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Statement of Need: Worked Example</w:t>
      </w:r>
    </w:p>
    <w:p>
      <w:r>
        <w:rPr>
          <w:i/>
        </w:rPr>
        <w:t>Fictional example: Sedgewater Family Network, Sedgewater County, its schools, partners, funder and every figure are invented to show a complete statement of need. The same project runs through GrantCue's other worked examples: the budget, logic model, evaluation plan, timeline, letter of intent and full proposal.</w:t>
      </w:r>
    </w:p>
    <w:p>
      <w:r>
        <w:rPr>
          <w:i/>
        </w:rPr>
        <w:t>Family Attendance Coaching Project · Sedgewater Family Network · Proposal to the Corwin Lake Community Foundation, Early Grades Fund · Request: $125,840 for July 1, 2027 to June 30, 2028</w:t>
      </w:r>
    </w:p>
    <w:p>
      <w:pPr>
        <w:pStyle w:val="Heading1"/>
      </w:pPr>
      <w:r>
        <w:t>1. The problem, quantified</w:t>
      </w:r>
    </w:p>
    <w:p>
      <w:r>
        <w:t>In the 2025-26 school year, 190 of the 612 students in kindergarten through third grade at Linnet Street Elementary and Ferrow Park Elementary in Ossery Falls, 31 percent, were chronically absent: they missed 10 percent or more of the days they were enrolled, which is 18 or more days of a 180-day year (Sedgewater County Schools attendance records, 2025-26, shared with us under our data-sharing agreement).</w:t>
      </w:r>
    </w:p>
    <w:p>
      <w:r>
        <w:t>That rate is more than double the state average for grades K to 3 of 14 percent, and well above the district's own K-3 rate of 20 percent (state education department school report cards, 2025-26). It has risen at both schools for two years running, from 24 percent in 2023-24. Linnet Street's rate is 32.7 percent (104 of 318 students) and Ferrow Park's is 29.3 percent (86 of 294). The cost shows up in reading: in spring 2026, 38 percent of third graders at the two schools met the state reading standard, against 52 percent statewide (state report cards, 2025-26).</w:t>
      </w:r>
    </w:p>
    <w:p>
      <w:pPr>
        <w:pStyle w:val="Heading1"/>
      </w:pPr>
      <w:r>
        <w:t>2. Who is affected</w:t>
      </w:r>
    </w:p>
    <w:p>
      <w:r>
        <w:t>The 190 chronically absent students are concentrated in the youngest grades: 61 in kindergarten, 49 in first grade, 42 in second and 38 in third. At the two schools, 78 percent of students qualify for free or reduced-price meals and 34 percent of families speak Spanish at home (district enrollment data, fall 2025). Most of these children are not refusing school. In the intake screens from our 2025-26 pilot, families named the same barriers again and again: transportation (17 of 38 families), a parent's early work shift (12), a child's untreated health problem such as asthma or dental pain (11) and unstable housing (7).</w:t>
      </w:r>
    </w:p>
    <w:p>
      <w:r>
        <w:t>One composite from the pilot, with details changed: a first grader whose mother starts work at 6:00 a.m. lost her bus stop when the walk zone widened, and by February she had missed 21 days, most of them excused. Her coach set up a shared ride with a neighbor and an early drop-off at the school breakfast program. She missed four more days in the rest of the year.</w:t>
      </w:r>
    </w:p>
    <w:p>
      <w:pPr>
        <w:pStyle w:val="Heading1"/>
      </w:pPr>
      <w:r>
        <w:t>3. Why now</w:t>
      </w:r>
    </w:p>
    <w:p>
      <w:r>
        <w:t>Three changes have pushed the rate up. In August 2025 the district widened the elementary walk zone from 1.0 to 1.5 miles to cut bus routes, and 140 K-3 students at the two schools lost bus service, many along roads without sidewalks. The two school family liaison positions paid for by federal pandemic relief funds ended in September 2024, so no one at either school now has time to call a family after the third absence. And our pilot's one-year grant ended in June 2026; we are running a reduced version at Linnet Street in 2026-27 from reserves, which we cannot do a second year. Without action, about one in three of these children will keep missing a month of school a year in the grades when reading is taught.</w:t>
      </w:r>
    </w:p>
    <w:p>
      <w:pPr>
        <w:pStyle w:val="Heading1"/>
      </w:pPr>
      <w:r>
        <w:t>4. Gaps in current services</w:t>
      </w:r>
    </w:p>
    <w:p>
      <w:r>
        <w:t>Each school sends automated letters at 5, 10 and 15 absences. The county's attendance referral process covers unexcused absences only, starting at 15, yet 71 percent of the absences among chronically absent K-3 students at the two schools were excused (district attendance records, 2025-26), so roughly three of every four missed days never reach the one formal response. One district social worker serves four schools and 1,700 students and must handle crisis cases first. School nurses see children when they are in school, not on the mornings when asthma or a toothache keeps them home. Each of these services does what it was designed to do. None was designed to find out, within the first weeks, why a six-year-old is missing school and to fix that reason.</w:t>
      </w:r>
    </w:p>
    <w:p>
      <w:pPr>
        <w:pStyle w:val="Heading1"/>
      </w:pPr>
      <w:r>
        <w:t>5. Why your organization</w:t>
      </w:r>
    </w:p>
    <w:p>
      <w:r>
        <w:t>Sedgewater Family Network has run the Family Resource Room inside Linnet Street Elementary since 2019 and served 1,240 families across the county in 2025; four of our nine staff are bilingual in English and Spanish. In our 2025-26 pilot, one half-time coach worked with 38 students who had been chronically absent the year before: 21 of them (55 percent) finished the year below the threshold, and their average days absent fell from 24.6 to 17.9. A data-sharing agreement with Sedgewater County Schools, signed in August 2025, lets coaches see daily attendance, and both principals, the county health department's clinic and the North Basin State University Center for Community Research have committed to the project in the attached letters.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Worked example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Need, Worked Example</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