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Family Attendance Coaching and Chronic Absence in the Early Grades: A Community-Partnered Comparison Study</w:t>
      </w:r>
    </w:p>
    <w:p>
      <w:r>
        <w:rPr>
          <w:i/>
          <w:color w:val="595959"/>
          <w:sz w:val="18"/>
        </w:rPr>
        <w:t>Fictional example: North Basin State University, Sedgewater Family Network, Sedgewater County and every figure are invented. This is the companion research application to GrantCue's worked-example proposal; the research award would fund the comparison study only, and the program itself is funded separately.</w:t>
      </w:r>
    </w:p>
    <w:p>
      <w:pPr>
        <w:pStyle w:val="Heading1"/>
      </w:pPr>
      <w:r>
        <w:t>The problem and the gap</w:t>
      </w:r>
    </w:p>
    <w:p>
      <w:r>
        <w:t>Chronic absence, usually defined as missing 10 percent or more of school days, is common in the early grades in many districts and is associated with weaker reading skills by the end of third grade. The attendance interventions tested most rigorously are low-cost, school-wide messages to families, such as mailed notices showing a child's absences; they reduce absences modestly across a school but were not designed for children who already miss a month of school a year. For many of those children the absences are excused and the causes are practical: transportation, parents' early work shifts, untreated health problems and unstable housing. Community-based coaching that addresses those barriers one family at a time is spreading, but evidence on whether it reduces chronic absence among students who are already chronically absent, for which families, and at what cost, remains limited.</w:t>
      </w:r>
    </w:p>
    <w:p>
      <w:pPr>
        <w:pStyle w:val="Heading1"/>
      </w:pPr>
      <w:r>
        <w:t>Central hypothesis and approach</w:t>
      </w:r>
    </w:p>
    <w:p>
      <w:r>
        <w:t>Our long-term goal is to give school districts and community partners the evidence to decide whether, and how, to fund early-grade attendance coaching. The objective of this two-year study is to estimate the effect of one coaching model on attendance and to learn which families it helps. Our central hypothesis is that coaching which pairs a barrier screen with practical help reduces days absent among K-3 students who were chronically absent the year before, and that the reduction is larger when the main barrier is logistical than when it is unstable housing. The hypothesis rests on a 2025-26 pilot at one school in Sedgewater County, where 21 of 38 coached students (55 percent) finished the year below the chronic absence threshold, against 17 of 51 chronically absent classmates (33 percent) who were not coached. Because families chose to enroll, and because students who are chronically absent one year often miss fewer days the next, that difference cannot be read as an effect. In 2027-28, Sedgewater Family Network will coach 120 students at two schools under a separately funded program, and the North Basin State University Center for Community Research will compare them, using district records, with similar students at the district's four other elementary schools.</w:t>
      </w:r>
    </w:p>
    <w:p>
      <w:pPr>
        <w:pStyle w:val="Heading1"/>
      </w:pPr>
      <w:r>
        <w:t>Specific aims</w:t>
      </w:r>
    </w:p>
    <w:p>
      <w:r>
        <w:rPr>
          <w:b/>
        </w:rPr>
        <w:t>Aim 1.</w:t>
      </w:r>
      <w:r>
        <w:t xml:space="preserve"> Estimate the effect of coaching on days absent and chronic absence in 2027-28. Using a difference-in-differences design, we will compare the 120 coached students with about 110 students at the comparison schools who meet the same eligibility rule, matched on grade, prior-year absences and school poverty level. We hypothesize that coached students will miss at least 3.5 fewer days than comparison students; with these samples, the study has 80 percent power to detect a difference of that size.</w:t>
      </w:r>
    </w:p>
    <w:p>
      <w:r>
        <w:rPr>
          <w:b/>
        </w:rPr>
        <w:t>Aim 2.</w:t>
      </w:r>
      <w:r>
        <w:t xml:space="preserve"> Identify which barriers predict improvement among coached students. Using the 12-item barrier screen completed at intake and the record of completed supports, we will model the change in days absent by main barrier type and by whether that barrier was addressed. We expect transportation and work-schedule barriers to respond more than housing instability, which would tell coaches which families need the intensive tier.</w:t>
      </w:r>
    </w:p>
    <w:p>
      <w:r>
        <w:rPr>
          <w:b/>
        </w:rPr>
        <w:t>Aim 3.</w:t>
      </w:r>
      <w:r>
        <w:t xml:space="preserve"> Measure implementation fidelity and the cost of coaching per family. Using coach time logs, case logs and the network's financial records, we will compare the dose each family received with the protocol and calculate the delivery cost per family and per tier. This aim yields a cost and fidelity profile whatever Aim 1 finds, and a cost per additional day of attendance if Aim 1 finds an effect.</w:t>
      </w:r>
    </w:p>
    <w:p>
      <w:pPr>
        <w:pStyle w:val="Heading1"/>
      </w:pPr>
      <w:r>
        <w:t>Expected outcomes and impact</w:t>
      </w:r>
    </w:p>
    <w:p>
      <w:r>
        <w:t>At the end of two years, the district, the network and similar communities will know whether coaching reduces chronic absence among students already behind on attendance, which families benefit most, and what it costs to deliver. The results will go to the school board before its 2029-30 budget decision, to a public brief and to a peer-reviewed article.</w:t>
      </w:r>
    </w:p>
    <w:sectPr w:rsidR="00FC693F" w:rsidRPr="0006063C" w:rsidSect="00034616">
      <w:footerReference w:type="default" r:id="rId9"/>
      <w:pgSz w:w="12240" w:h="15840"/>
      <w:pgMar w:top="720" w:right="720" w:bottom="720"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Worked example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0"/>
      <w:outlineLvl w:val="0"/>
    </w:pPr>
    <w:rPr>
      <w:rFonts w:ascii="Arial" w:hAnsi="Arial" w:cs="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Arial" w:hAnsi="Arial" w:cs="Arial"/>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Aims Page, Worked Example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