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 Youth Program</w:t>
      </w:r>
    </w:p>
    <w:p>
      <w:pPr>
        <w:pStyle w:val="Subtitle"/>
      </w:pPr>
      <w:r>
        <w:t>A complete, adaptable twelve-month request for a 60-slot after-school program at one middle school</w:t>
      </w:r>
    </w:p>
    <w:p>
      <w:r>
        <w:rPr>
          <w:b w:val="0"/>
          <w:i w:val="0"/>
        </w:rPr>
        <w:t>Request: $132,000 for a twelve-month project period</w:t>
      </w:r>
    </w:p>
    <w:p>
      <w:r>
        <w:rPr>
          <w:b w:val="0"/>
          <w:i w:val="0"/>
        </w:rPr>
        <w:t>Program: Daily out-of-school-time programming with academic support, enrichment, supper, transportation home, and a paid teen leadership track</w:t>
      </w:r>
    </w:p>
    <w:p>
      <w:r>
        <w:rPr>
          <w:b w:val="0"/>
          <w:i w:val="0"/>
        </w:rPr>
        <w:t>Applicant: Example Youth Alliance, a composite organization created for this template</w:t>
      </w:r>
    </w:p>
    <w:p>
      <w:r>
        <w:rPr>
          <w:b w:val="0"/>
          <w:i w:val="0"/>
        </w:rPr>
        <w:t>Document version: September 2026</w:t>
      </w:r>
    </w:p>
    <w:p>
      <w:pPr>
        <w:pStyle w:val="IntenseQuote"/>
      </w:pPr>
      <w:r>
        <w:t>Read this first. Example Youth Alliance is not a real organization, and Northline Middle School, Northline Public Schools, Cedar County, and the Eastgate attendance zone are not real places. They are a composite applicant built for this template. Every figure attributed to them, including enrollment counts, absenteeism rates, incomes, salaries, wage rates, and reimbursement projections, is illustrative and exists to show the arithmetic. Replace each number with your own before you submit. The regulatory citations, the meal program conditions, and the student records rules are real and are sourced at the end of this document.</w:t>
      </w:r>
    </w:p>
    <w:p>
      <w:r>
        <w:rPr>
          <w:b w:val="0"/>
          <w:i w:val="0"/>
        </w:rPr>
        <w:t>This document is written to be submitted, not just read. Every section is drafted in full prose so you can adapt it line by line rather than rebuild it from an outline. The only bracketed fields left in the text are the details no template can know: the funder, the dates, your address, your district, and the people who sign. Those are listed in the table under How to Use This Document.</w:t>
      </w:r>
    </w:p>
    <w:p>
      <w:r>
        <w:rPr>
          <w:b w:val="0"/>
          <w:i w:val="0"/>
        </w:rPr>
        <w:t>Nothing here is gated, watermarked, or cut short, and no section has been shortened to sell you something. Copy it, edit it, put your own organization's name on it, and submit it.</w:t>
      </w:r>
    </w:p>
    <w:p>
      <w:pPr>
        <w:pStyle w:val="Heading1"/>
      </w:pPr>
      <w:r>
        <w:t>Proposal Summary Sheet</w:t>
      </w:r>
    </w:p>
    <w:tbl>
      <w:tblPr>
        <w:tblStyle w:val="LightGrid-Accent1"/>
        <w:tblW w:type="auto" w:w="0"/>
        <w:jc w:val="center"/>
        <w:tblLayout w:type="fixed"/>
        <w:tblLook w:firstColumn="1" w:firstRow="1" w:lastColumn="0" w:lastRow="0" w:noHBand="0" w:noVBand="1" w:val="04A0"/>
      </w:tblPr>
      <w:tblGrid>
        <w:gridCol w:w="4680"/>
        <w:gridCol w:w="4680"/>
      </w:tblGrid>
      <w:tr>
        <w:tc>
          <w:tcPr>
            <w:tcW w:type="dxa" w:w="2736"/>
          </w:tcPr>
          <w:p>
            <w:pPr>
              <w:spacing w:after="40" w:before="40"/>
            </w:pPr>
            <w:r/>
            <w:r>
              <w:rPr>
                <w:b/>
                <w:sz w:val="19"/>
              </w:rPr>
              <w:t>Field</w:t>
            </w:r>
          </w:p>
        </w:tc>
        <w:tc>
          <w:tcPr>
            <w:tcW w:type="dxa" w:w="6624"/>
          </w:tcPr>
          <w:p>
            <w:pPr>
              <w:spacing w:after="40" w:before="40"/>
            </w:pPr>
            <w:r/>
            <w:r>
              <w:rPr>
                <w:b/>
                <w:sz w:val="19"/>
              </w:rPr>
              <w:t>Example entry</w:t>
            </w:r>
          </w:p>
        </w:tc>
      </w:tr>
      <w:tr>
        <w:tc>
          <w:tcPr>
            <w:tcW w:type="dxa" w:w="2736"/>
          </w:tcPr>
          <w:p>
            <w:pPr>
              <w:spacing w:after="40" w:before="40"/>
            </w:pPr>
            <w:r/>
            <w:r>
              <w:rPr>
                <w:sz w:val="19"/>
              </w:rPr>
              <w:t>Applicant organization</w:t>
            </w:r>
          </w:p>
        </w:tc>
        <w:tc>
          <w:tcPr>
            <w:tcW w:type="dxa" w:w="6624"/>
          </w:tcPr>
          <w:p>
            <w:pPr>
              <w:spacing w:after="40" w:before="40"/>
            </w:pPr>
            <w:r/>
            <w:r>
              <w:rPr>
                <w:sz w:val="19"/>
              </w:rPr>
              <w:t>Example Youth Alliance, a 501(c)(3) public charity</w:t>
            </w:r>
          </w:p>
        </w:tc>
      </w:tr>
      <w:tr>
        <w:tc>
          <w:tcPr>
            <w:tcW w:type="dxa" w:w="2736"/>
          </w:tcPr>
          <w:p>
            <w:pPr>
              <w:spacing w:after="40" w:before="40"/>
            </w:pPr>
            <w:r/>
            <w:r>
              <w:rPr>
                <w:sz w:val="19"/>
              </w:rPr>
              <w:t>Legal name and EIN</w:t>
            </w:r>
          </w:p>
        </w:tc>
        <w:tc>
          <w:tcPr>
            <w:tcW w:type="dxa" w:w="6624"/>
          </w:tcPr>
          <w:p>
            <w:pPr>
              <w:spacing w:after="40" w:before="40"/>
            </w:pPr>
            <w:r/>
            <w:r>
              <w:rPr>
                <w:sz w:val="19"/>
              </w:rPr>
              <w:t>[Your legal name as it appears on your IRS determination letter], EIN [00-0000000]</w:t>
            </w:r>
          </w:p>
        </w:tc>
      </w:tr>
      <w:tr>
        <w:tc>
          <w:tcPr>
            <w:tcW w:type="dxa" w:w="2736"/>
          </w:tcPr>
          <w:p>
            <w:pPr>
              <w:spacing w:after="40" w:before="40"/>
            </w:pPr>
            <w:r/>
            <w:r>
              <w:rPr>
                <w:sz w:val="19"/>
              </w:rPr>
              <w:t>Project title</w:t>
            </w:r>
          </w:p>
        </w:tc>
        <w:tc>
          <w:tcPr>
            <w:tcW w:type="dxa" w:w="6624"/>
          </w:tcPr>
          <w:p>
            <w:pPr>
              <w:spacing w:after="40" w:before="40"/>
            </w:pPr>
            <w:r/>
            <w:r>
              <w:rPr>
                <w:sz w:val="19"/>
              </w:rPr>
              <w:t>Northline After-School Initiative</w:t>
            </w:r>
          </w:p>
        </w:tc>
      </w:tr>
      <w:tr>
        <w:tc>
          <w:tcPr>
            <w:tcW w:type="dxa" w:w="2736"/>
          </w:tcPr>
          <w:p>
            <w:pPr>
              <w:spacing w:after="40" w:before="40"/>
            </w:pPr>
            <w:r/>
            <w:r>
              <w:rPr>
                <w:sz w:val="19"/>
              </w:rPr>
              <w:t>Amount requested</w:t>
            </w:r>
          </w:p>
        </w:tc>
        <w:tc>
          <w:tcPr>
            <w:tcW w:type="dxa" w:w="6624"/>
          </w:tcPr>
          <w:p>
            <w:pPr>
              <w:spacing w:after="40" w:before="40"/>
            </w:pPr>
            <w:r/>
            <w:r>
              <w:rPr>
                <w:sz w:val="19"/>
              </w:rPr>
              <w:t>$132,000</w:t>
            </w:r>
          </w:p>
        </w:tc>
      </w:tr>
      <w:tr>
        <w:tc>
          <w:tcPr>
            <w:tcW w:type="dxa" w:w="2736"/>
          </w:tcPr>
          <w:p>
            <w:pPr>
              <w:spacing w:after="40" w:before="40"/>
            </w:pPr>
            <w:r/>
            <w:r>
              <w:rPr>
                <w:sz w:val="19"/>
              </w:rPr>
              <w:t>Project period</w:t>
            </w:r>
          </w:p>
        </w:tc>
        <w:tc>
          <w:tcPr>
            <w:tcW w:type="dxa" w:w="6624"/>
          </w:tcPr>
          <w:p>
            <w:pPr>
              <w:spacing w:after="40" w:before="40"/>
            </w:pPr>
            <w:r/>
            <w:r>
              <w:rPr>
                <w:sz w:val="19"/>
              </w:rPr>
              <w:t>[start date] to [end date], twelve months</w:t>
            </w:r>
          </w:p>
        </w:tc>
      </w:tr>
      <w:tr>
        <w:tc>
          <w:tcPr>
            <w:tcW w:type="dxa" w:w="2736"/>
          </w:tcPr>
          <w:p>
            <w:pPr>
              <w:spacing w:after="40" w:before="40"/>
            </w:pPr>
            <w:r/>
            <w:r>
              <w:rPr>
                <w:sz w:val="19"/>
              </w:rPr>
              <w:t>Total project budget</w:t>
            </w:r>
          </w:p>
        </w:tc>
        <w:tc>
          <w:tcPr>
            <w:tcW w:type="dxa" w:w="6624"/>
          </w:tcPr>
          <w:p>
            <w:pPr>
              <w:spacing w:after="40" w:before="40"/>
            </w:pPr>
            <w:r/>
            <w:r>
              <w:rPr>
                <w:sz w:val="19"/>
              </w:rPr>
              <w:t>$132,000 in cash costs, plus in-kind and meal reimbursement described in Other Resources</w:t>
            </w:r>
          </w:p>
        </w:tc>
      </w:tr>
      <w:tr>
        <w:tc>
          <w:tcPr>
            <w:tcW w:type="dxa" w:w="2736"/>
          </w:tcPr>
          <w:p>
            <w:pPr>
              <w:spacing w:after="40" w:before="40"/>
            </w:pPr>
            <w:r/>
            <w:r>
              <w:rPr>
                <w:sz w:val="19"/>
              </w:rPr>
              <w:t>Total organizational budget</w:t>
            </w:r>
          </w:p>
        </w:tc>
        <w:tc>
          <w:tcPr>
            <w:tcW w:type="dxa" w:w="6624"/>
          </w:tcPr>
          <w:p>
            <w:pPr>
              <w:spacing w:after="40" w:before="40"/>
            </w:pPr>
            <w:r/>
            <w:r>
              <w:rPr>
                <w:sz w:val="19"/>
              </w:rPr>
              <w:t>$1,410,000 for the current fiscal year</w:t>
            </w:r>
          </w:p>
        </w:tc>
      </w:tr>
      <w:tr>
        <w:tc>
          <w:tcPr>
            <w:tcW w:type="dxa" w:w="2736"/>
          </w:tcPr>
          <w:p>
            <w:pPr>
              <w:spacing w:after="40" w:before="40"/>
            </w:pPr>
            <w:r/>
            <w:r>
              <w:rPr>
                <w:sz w:val="19"/>
              </w:rPr>
              <w:t>Population served</w:t>
            </w:r>
          </w:p>
        </w:tc>
        <w:tc>
          <w:tcPr>
            <w:tcW w:type="dxa" w:w="6624"/>
          </w:tcPr>
          <w:p>
            <w:pPr>
              <w:spacing w:after="40" w:before="40"/>
            </w:pPr>
            <w:r/>
            <w:r>
              <w:rPr>
                <w:sz w:val="19"/>
              </w:rPr>
              <w:t>60 enrolled students in grades 6 through 8, ages 11 to 14</w:t>
            </w:r>
          </w:p>
        </w:tc>
      </w:tr>
      <w:tr>
        <w:tc>
          <w:tcPr>
            <w:tcW w:type="dxa" w:w="2736"/>
          </w:tcPr>
          <w:p>
            <w:pPr>
              <w:spacing w:after="40" w:before="40"/>
            </w:pPr>
            <w:r/>
            <w:r>
              <w:rPr>
                <w:sz w:val="19"/>
              </w:rPr>
              <w:t>Program site</w:t>
            </w:r>
          </w:p>
        </w:tc>
        <w:tc>
          <w:tcPr>
            <w:tcW w:type="dxa" w:w="6624"/>
          </w:tcPr>
          <w:p>
            <w:pPr>
              <w:spacing w:after="40" w:before="40"/>
            </w:pPr>
            <w:r/>
            <w:r>
              <w:rPr>
                <w:sz w:val="19"/>
              </w:rPr>
              <w:t>Northline Middle School, one site, 165 program days</w:t>
            </w:r>
          </w:p>
        </w:tc>
      </w:tr>
      <w:tr>
        <w:tc>
          <w:tcPr>
            <w:tcW w:type="dxa" w:w="2736"/>
          </w:tcPr>
          <w:p>
            <w:pPr>
              <w:spacing w:after="40" w:before="40"/>
            </w:pPr>
            <w:r/>
            <w:r>
              <w:rPr>
                <w:sz w:val="19"/>
              </w:rPr>
              <w:t>Service area</w:t>
            </w:r>
          </w:p>
        </w:tc>
        <w:tc>
          <w:tcPr>
            <w:tcW w:type="dxa" w:w="6624"/>
          </w:tcPr>
          <w:p>
            <w:pPr>
              <w:spacing w:after="40" w:before="40"/>
            </w:pPr>
            <w:r/>
            <w:r>
              <w:rPr>
                <w:sz w:val="19"/>
              </w:rPr>
              <w:t>The Northline Middle School attendance zone, Eastgate neighborhood, Cedar County</w:t>
            </w:r>
          </w:p>
        </w:tc>
      </w:tr>
      <w:tr>
        <w:tc>
          <w:tcPr>
            <w:tcW w:type="dxa" w:w="2736"/>
          </w:tcPr>
          <w:p>
            <w:pPr>
              <w:spacing w:after="40" w:before="40"/>
            </w:pPr>
            <w:r/>
            <w:r>
              <w:rPr>
                <w:sz w:val="19"/>
              </w:rPr>
              <w:t>Funder and program</w:t>
            </w:r>
          </w:p>
        </w:tc>
        <w:tc>
          <w:tcPr>
            <w:tcW w:type="dxa" w:w="6624"/>
          </w:tcPr>
          <w:p>
            <w:pPr>
              <w:spacing w:after="40" w:before="40"/>
            </w:pPr>
            <w:r/>
            <w:r>
              <w:rPr>
                <w:sz w:val="19"/>
              </w:rPr>
              <w:t>[Funder legal name], [exact opportunity title from the guidelines]</w:t>
            </w:r>
          </w:p>
        </w:tc>
      </w:tr>
      <w:tr>
        <w:tc>
          <w:tcPr>
            <w:tcW w:type="dxa" w:w="2736"/>
          </w:tcPr>
          <w:p>
            <w:pPr>
              <w:spacing w:after="40" w:before="40"/>
            </w:pPr>
            <w:r/>
            <w:r>
              <w:rPr>
                <w:sz w:val="19"/>
              </w:rPr>
              <w:t>Grant contact</w:t>
            </w:r>
          </w:p>
        </w:tc>
        <w:tc>
          <w:tcPr>
            <w:tcW w:type="dxa" w:w="6624"/>
          </w:tcPr>
          <w:p>
            <w:pPr>
              <w:spacing w:after="40" w:before="40"/>
            </w:pPr>
            <w:r/>
            <w:r>
              <w:rPr>
                <w:sz w:val="19"/>
              </w:rPr>
              <w:t>[Contact name], [title], [phone], [email]</w:t>
            </w:r>
          </w:p>
        </w:tc>
      </w:tr>
      <w:tr>
        <w:tc>
          <w:tcPr>
            <w:tcW w:type="dxa" w:w="2736"/>
          </w:tcPr>
          <w:p>
            <w:pPr>
              <w:spacing w:after="40" w:before="40"/>
            </w:pPr>
            <w:r/>
            <w:r>
              <w:rPr>
                <w:sz w:val="19"/>
              </w:rPr>
              <w:t>Authorized representative</w:t>
            </w:r>
          </w:p>
        </w:tc>
        <w:tc>
          <w:tcPr>
            <w:tcW w:type="dxa" w:w="6624"/>
          </w:tcPr>
          <w:p>
            <w:pPr>
              <w:spacing w:after="40" w:before="40"/>
            </w:pPr>
            <w:r/>
            <w:r>
              <w:rPr>
                <w:sz w:val="19"/>
              </w:rPr>
              <w:t>[Name], [title], the person your bylaws authorize to bind the organization</w:t>
            </w:r>
          </w:p>
        </w:tc>
      </w:tr>
      <w:tr>
        <w:tc>
          <w:tcPr>
            <w:tcW w:type="dxa" w:w="2736"/>
          </w:tcPr>
          <w:p>
            <w:pPr>
              <w:spacing w:after="40" w:before="40"/>
            </w:pPr>
            <w:r/>
            <w:r>
              <w:rPr>
                <w:sz w:val="19"/>
              </w:rPr>
              <w:t>Fiscal year end</w:t>
            </w:r>
          </w:p>
        </w:tc>
        <w:tc>
          <w:tcPr>
            <w:tcW w:type="dxa" w:w="6624"/>
          </w:tcPr>
          <w:p>
            <w:pPr>
              <w:spacing w:after="40" w:before="40"/>
            </w:pPr>
            <w:r/>
            <w:r>
              <w:rPr>
                <w:sz w:val="19"/>
              </w:rPr>
              <w:t>[Month and day]</w:t>
            </w:r>
          </w:p>
        </w:tc>
      </w:tr>
      <w:tr>
        <w:tc>
          <w:tcPr>
            <w:tcW w:type="dxa" w:w="2736"/>
          </w:tcPr>
          <w:p>
            <w:pPr>
              <w:spacing w:after="40" w:before="40"/>
            </w:pPr>
            <w:r/>
            <w:r>
              <w:rPr>
                <w:sz w:val="19"/>
              </w:rPr>
              <w:t>Indirect cost basis</w:t>
            </w:r>
          </w:p>
        </w:tc>
        <w:tc>
          <w:tcPr>
            <w:tcW w:type="dxa" w:w="6624"/>
          </w:tcPr>
          <w:p>
            <w:pPr>
              <w:spacing w:after="40" w:before="40"/>
            </w:pPr>
            <w:r/>
            <w:r>
              <w:rPr>
                <w:sz w:val="19"/>
              </w:rPr>
              <w:t>Negotiated rate of 10 percent on a total direct cost base, agreement dated [date]</w:t>
            </w:r>
          </w:p>
        </w:tc>
      </w:tr>
    </w:tbl>
    <w:p>
      <w:pPr>
        <w:spacing w:after="0"/>
      </w:pPr>
    </w:p>
    <w:p>
      <w:pPr>
        <w:pStyle w:val="Heading1"/>
      </w:pPr>
      <w:r>
        <w:t>How to Use This Document</w:t>
      </w:r>
    </w:p>
    <w:p>
      <w:r>
        <w:rPr>
          <w:b w:val="0"/>
          <w:i w:val="0"/>
        </w:rPr>
        <w:t>This proposal follows the section order most youth funders ask for, and it is built around one out-of-school-time service at one site rather than a general description of an organization. Two chains run through it, and both are visible on the page. The first is dosage: the program design produces a number of hours, the objectives count how many participants receive those hours, and the evaluation reports against that same threshold. The second is supervision: every ratio and every clearance named in the program design turns into a budget line. Those two chains are what separates a youth application from a general nonprofit application, and they are the first things a youth reviewer checks.</w:t>
      </w:r>
    </w:p>
    <w:p>
      <w:pPr>
        <w:pStyle w:val="Heading2"/>
      </w:pPr>
      <w:r>
        <w:t>Fields to replace</w:t>
      </w:r>
    </w:p>
    <w:tbl>
      <w:tblPr>
        <w:tblStyle w:val="LightGrid-Accent1"/>
        <w:tblW w:type="auto" w:w="0"/>
        <w:jc w:val="center"/>
        <w:tblLayout w:type="fixed"/>
        <w:tblLook w:firstColumn="1" w:firstRow="1" w:lastColumn="0" w:lastRow="0" w:noHBand="0" w:noVBand="1" w:val="04A0"/>
      </w:tblPr>
      <w:tblGrid>
        <w:gridCol w:w="3120"/>
        <w:gridCol w:w="3120"/>
        <w:gridCol w:w="3120"/>
      </w:tblGrid>
      <w:tr>
        <w:tc>
          <w:tcPr>
            <w:tcW w:type="dxa" w:w="3168"/>
          </w:tcPr>
          <w:p>
            <w:pPr>
              <w:spacing w:after="40" w:before="40"/>
            </w:pPr>
            <w:r/>
            <w:r>
              <w:rPr>
                <w:b/>
                <w:sz w:val="19"/>
              </w:rPr>
              <w:t>Placeholder in this document</w:t>
            </w:r>
          </w:p>
        </w:tc>
        <w:tc>
          <w:tcPr>
            <w:tcW w:type="dxa" w:w="3600"/>
          </w:tcPr>
          <w:p>
            <w:pPr>
              <w:spacing w:after="40" w:before="40"/>
            </w:pPr>
            <w:r/>
            <w:r>
              <w:rPr>
                <w:b/>
                <w:sz w:val="19"/>
              </w:rPr>
              <w:t>Replace with</w:t>
            </w:r>
          </w:p>
        </w:tc>
        <w:tc>
          <w:tcPr>
            <w:tcW w:type="dxa" w:w="2592"/>
          </w:tcPr>
          <w:p>
            <w:pPr>
              <w:spacing w:after="40" w:before="40"/>
            </w:pPr>
            <w:r/>
            <w:r>
              <w:rPr>
                <w:b/>
                <w:sz w:val="19"/>
              </w:rPr>
              <w:t>Where it appears</w:t>
            </w:r>
          </w:p>
        </w:tc>
      </w:tr>
      <w:tr>
        <w:tc>
          <w:tcPr>
            <w:tcW w:type="dxa" w:w="3168"/>
          </w:tcPr>
          <w:p>
            <w:pPr>
              <w:spacing w:after="40" w:before="40"/>
            </w:pPr>
            <w:r/>
            <w:r>
              <w:rPr>
                <w:sz w:val="19"/>
              </w:rPr>
              <w:t>Example Youth Alliance (EYA)</w:t>
            </w:r>
          </w:p>
        </w:tc>
        <w:tc>
          <w:tcPr>
            <w:tcW w:type="dxa" w:w="3600"/>
          </w:tcPr>
          <w:p>
            <w:pPr>
              <w:spacing w:after="40" w:before="40"/>
            </w:pPr>
            <w:r/>
            <w:r>
              <w:rPr>
                <w:sz w:val="19"/>
              </w:rPr>
              <w:t>Your organization's legal name, then a short form</w:t>
            </w:r>
          </w:p>
        </w:tc>
        <w:tc>
          <w:tcPr>
            <w:tcW w:type="dxa" w:w="2592"/>
          </w:tcPr>
          <w:p>
            <w:pPr>
              <w:spacing w:after="40" w:before="40"/>
            </w:pPr>
            <w:r/>
            <w:r>
              <w:rPr>
                <w:sz w:val="19"/>
              </w:rPr>
              <w:t>Throughout</w:t>
            </w:r>
          </w:p>
        </w:tc>
      </w:tr>
      <w:tr>
        <w:tc>
          <w:tcPr>
            <w:tcW w:type="dxa" w:w="3168"/>
          </w:tcPr>
          <w:p>
            <w:pPr>
              <w:spacing w:after="40" w:before="40"/>
            </w:pPr>
            <w:r/>
            <w:r>
              <w:rPr>
                <w:sz w:val="19"/>
              </w:rPr>
              <w:t>Northline Middle School</w:t>
            </w:r>
          </w:p>
        </w:tc>
        <w:tc>
          <w:tcPr>
            <w:tcW w:type="dxa" w:w="3600"/>
          </w:tcPr>
          <w:p>
            <w:pPr>
              <w:spacing w:after="40" w:before="40"/>
            </w:pPr>
            <w:r/>
            <w:r>
              <w:rPr>
                <w:sz w:val="19"/>
              </w:rPr>
              <w:t>Your site school, or the list of sites you serve</w:t>
            </w:r>
          </w:p>
        </w:tc>
        <w:tc>
          <w:tcPr>
            <w:tcW w:type="dxa" w:w="2592"/>
          </w:tcPr>
          <w:p>
            <w:pPr>
              <w:spacing w:after="40" w:before="40"/>
            </w:pPr>
            <w:r/>
            <w:r>
              <w:rPr>
                <w:sz w:val="19"/>
              </w:rPr>
              <w:t>Need, design, evaluation</w:t>
            </w:r>
          </w:p>
        </w:tc>
      </w:tr>
      <w:tr>
        <w:tc>
          <w:tcPr>
            <w:tcW w:type="dxa" w:w="3168"/>
          </w:tcPr>
          <w:p>
            <w:pPr>
              <w:spacing w:after="40" w:before="40"/>
            </w:pPr>
            <w:r/>
            <w:r>
              <w:rPr>
                <w:sz w:val="19"/>
              </w:rPr>
              <w:t>Northline Public Schools</w:t>
            </w:r>
          </w:p>
        </w:tc>
        <w:tc>
          <w:tcPr>
            <w:tcW w:type="dxa" w:w="3600"/>
          </w:tcPr>
          <w:p>
            <w:pPr>
              <w:spacing w:after="40" w:before="40"/>
            </w:pPr>
            <w:r/>
            <w:r>
              <w:rPr>
                <w:sz w:val="19"/>
              </w:rPr>
              <w:t>Your school district's legal name</w:t>
            </w:r>
          </w:p>
        </w:tc>
        <w:tc>
          <w:tcPr>
            <w:tcW w:type="dxa" w:w="2592"/>
          </w:tcPr>
          <w:p>
            <w:pPr>
              <w:spacing w:after="40" w:before="40"/>
            </w:pPr>
            <w:r/>
            <w:r>
              <w:rPr>
                <w:sz w:val="19"/>
              </w:rPr>
              <w:t>Need, evaluation, partnerships</w:t>
            </w:r>
          </w:p>
        </w:tc>
      </w:tr>
      <w:tr>
        <w:tc>
          <w:tcPr>
            <w:tcW w:type="dxa" w:w="3168"/>
          </w:tcPr>
          <w:p>
            <w:pPr>
              <w:spacing w:after="40" w:before="40"/>
            </w:pPr>
            <w:r/>
            <w:r>
              <w:rPr>
                <w:sz w:val="19"/>
              </w:rPr>
              <w:t>Cedar County and the Eastgate attendance zone</w:t>
            </w:r>
          </w:p>
        </w:tc>
        <w:tc>
          <w:tcPr>
            <w:tcW w:type="dxa" w:w="3600"/>
          </w:tcPr>
          <w:p>
            <w:pPr>
              <w:spacing w:after="40" w:before="40"/>
            </w:pPr>
            <w:r/>
            <w:r>
              <w:rPr>
                <w:sz w:val="19"/>
              </w:rPr>
              <w:t>Your county and the attendance zone or neighborhood you serve</w:t>
            </w:r>
          </w:p>
        </w:tc>
        <w:tc>
          <w:tcPr>
            <w:tcW w:type="dxa" w:w="2592"/>
          </w:tcPr>
          <w:p>
            <w:pPr>
              <w:spacing w:after="40" w:before="40"/>
            </w:pPr>
            <w:r/>
            <w:r>
              <w:rPr>
                <w:sz w:val="19"/>
              </w:rPr>
              <w:t>Need, sustainability</w:t>
            </w:r>
          </w:p>
        </w:tc>
      </w:tr>
      <w:tr>
        <w:tc>
          <w:tcPr>
            <w:tcW w:type="dxa" w:w="3168"/>
          </w:tcPr>
          <w:p>
            <w:pPr>
              <w:spacing w:after="40" w:before="40"/>
            </w:pPr>
            <w:r/>
            <w:r>
              <w:rPr>
                <w:sz w:val="19"/>
              </w:rPr>
              <w:t>[Funder legal name]</w:t>
            </w:r>
          </w:p>
        </w:tc>
        <w:tc>
          <w:tcPr>
            <w:tcW w:type="dxa" w:w="3600"/>
          </w:tcPr>
          <w:p>
            <w:pPr>
              <w:spacing w:after="40" w:before="40"/>
            </w:pPr>
            <w:r/>
            <w:r>
              <w:rPr>
                <w:sz w:val="19"/>
              </w:rPr>
              <w:t>The funding organization's legal name</w:t>
            </w:r>
          </w:p>
        </w:tc>
        <w:tc>
          <w:tcPr>
            <w:tcW w:type="dxa" w:w="2592"/>
          </w:tcPr>
          <w:p>
            <w:pPr>
              <w:spacing w:after="40" w:before="40"/>
            </w:pPr>
            <w:r/>
            <w:r>
              <w:rPr>
                <w:sz w:val="19"/>
              </w:rPr>
              <w:t>Cover letter, summary, budget</w:t>
            </w:r>
          </w:p>
        </w:tc>
      </w:tr>
      <w:tr>
        <w:tc>
          <w:tcPr>
            <w:tcW w:type="dxa" w:w="3168"/>
          </w:tcPr>
          <w:p>
            <w:pPr>
              <w:spacing w:after="40" w:before="40"/>
            </w:pPr>
            <w:r/>
            <w:r>
              <w:rPr>
                <w:sz w:val="19"/>
              </w:rPr>
              <w:t>[Exact opportunity title]</w:t>
            </w:r>
          </w:p>
        </w:tc>
        <w:tc>
          <w:tcPr>
            <w:tcW w:type="dxa" w:w="3600"/>
          </w:tcPr>
          <w:p>
            <w:pPr>
              <w:spacing w:after="40" w:before="40"/>
            </w:pPr>
            <w:r/>
            <w:r>
              <w:rPr>
                <w:sz w:val="19"/>
              </w:rPr>
              <w:t>The opportunity title exactly as the notice prints it</w:t>
            </w:r>
          </w:p>
        </w:tc>
        <w:tc>
          <w:tcPr>
            <w:tcW w:type="dxa" w:w="2592"/>
          </w:tcPr>
          <w:p>
            <w:pPr>
              <w:spacing w:after="40" w:before="40"/>
            </w:pPr>
            <w:r/>
            <w:r>
              <w:rPr>
                <w:sz w:val="19"/>
              </w:rPr>
              <w:t>Cover letter, summary</w:t>
            </w:r>
          </w:p>
        </w:tc>
      </w:tr>
      <w:tr>
        <w:tc>
          <w:tcPr>
            <w:tcW w:type="dxa" w:w="3168"/>
          </w:tcPr>
          <w:p>
            <w:pPr>
              <w:spacing w:after="40" w:before="40"/>
            </w:pPr>
            <w:r/>
            <w:r>
              <w:rPr>
                <w:sz w:val="19"/>
              </w:rPr>
              <w:t>[Date]</w:t>
            </w:r>
          </w:p>
        </w:tc>
        <w:tc>
          <w:tcPr>
            <w:tcW w:type="dxa" w:w="3600"/>
          </w:tcPr>
          <w:p>
            <w:pPr>
              <w:spacing w:after="40" w:before="40"/>
            </w:pPr>
            <w:r/>
            <w:r>
              <w:rPr>
                <w:sz w:val="19"/>
              </w:rPr>
              <w:t>The submission date</w:t>
            </w:r>
          </w:p>
        </w:tc>
        <w:tc>
          <w:tcPr>
            <w:tcW w:type="dxa" w:w="2592"/>
          </w:tcPr>
          <w:p>
            <w:pPr>
              <w:spacing w:after="40" w:before="40"/>
            </w:pPr>
            <w:r/>
            <w:r>
              <w:rPr>
                <w:sz w:val="19"/>
              </w:rPr>
              <w:t>Cover letter</w:t>
            </w:r>
          </w:p>
        </w:tc>
      </w:tr>
      <w:tr>
        <w:tc>
          <w:tcPr>
            <w:tcW w:type="dxa" w:w="3168"/>
          </w:tcPr>
          <w:p>
            <w:pPr>
              <w:spacing w:after="40" w:before="40"/>
            </w:pPr>
            <w:r/>
            <w:r>
              <w:rPr>
                <w:sz w:val="19"/>
              </w:rPr>
              <w:t>[start date] and [end date]</w:t>
            </w:r>
          </w:p>
        </w:tc>
        <w:tc>
          <w:tcPr>
            <w:tcW w:type="dxa" w:w="3600"/>
          </w:tcPr>
          <w:p>
            <w:pPr>
              <w:spacing w:after="40" w:before="40"/>
            </w:pPr>
            <w:r/>
            <w:r>
              <w:rPr>
                <w:sz w:val="19"/>
              </w:rPr>
              <w:t>Your twelve-month project period</w:t>
            </w:r>
          </w:p>
        </w:tc>
        <w:tc>
          <w:tcPr>
            <w:tcW w:type="dxa" w:w="2592"/>
          </w:tcPr>
          <w:p>
            <w:pPr>
              <w:spacing w:after="40" w:before="40"/>
            </w:pPr>
            <w:r/>
            <w:r>
              <w:rPr>
                <w:sz w:val="19"/>
              </w:rPr>
              <w:t>Cover letter, timeline, budget</w:t>
            </w:r>
          </w:p>
        </w:tc>
      </w:tr>
      <w:tr>
        <w:tc>
          <w:tcPr>
            <w:tcW w:type="dxa" w:w="3168"/>
          </w:tcPr>
          <w:p>
            <w:pPr>
              <w:spacing w:after="40" w:before="40"/>
            </w:pPr>
            <w:r/>
            <w:r>
              <w:rPr>
                <w:sz w:val="19"/>
              </w:rPr>
              <w:t>[Street address], [City, State ZIP]</w:t>
            </w:r>
          </w:p>
        </w:tc>
        <w:tc>
          <w:tcPr>
            <w:tcW w:type="dxa" w:w="3600"/>
          </w:tcPr>
          <w:p>
            <w:pPr>
              <w:spacing w:after="40" w:before="40"/>
            </w:pPr>
            <w:r/>
            <w:r>
              <w:rPr>
                <w:sz w:val="19"/>
              </w:rPr>
              <w:t>Your mailing address and the funder's</w:t>
            </w:r>
          </w:p>
        </w:tc>
        <w:tc>
          <w:tcPr>
            <w:tcW w:type="dxa" w:w="2592"/>
          </w:tcPr>
          <w:p>
            <w:pPr>
              <w:spacing w:after="40" w:before="40"/>
            </w:pPr>
            <w:r/>
            <w:r>
              <w:rPr>
                <w:sz w:val="19"/>
              </w:rPr>
              <w:t>Cover letter</w:t>
            </w:r>
          </w:p>
        </w:tc>
      </w:tr>
      <w:tr>
        <w:tc>
          <w:tcPr>
            <w:tcW w:type="dxa" w:w="3168"/>
          </w:tcPr>
          <w:p>
            <w:pPr>
              <w:spacing w:after="40" w:before="40"/>
            </w:pPr>
            <w:r/>
            <w:r>
              <w:rPr>
                <w:sz w:val="19"/>
              </w:rPr>
              <w:t>[Name], Board Chair and [Name], Executive Director</w:t>
            </w:r>
          </w:p>
        </w:tc>
        <w:tc>
          <w:tcPr>
            <w:tcW w:type="dxa" w:w="3600"/>
          </w:tcPr>
          <w:p>
            <w:pPr>
              <w:spacing w:after="40" w:before="40"/>
            </w:pPr>
            <w:r/>
            <w:r>
              <w:rPr>
                <w:sz w:val="19"/>
              </w:rPr>
              <w:t>The signatories your bylaws require</w:t>
            </w:r>
          </w:p>
        </w:tc>
        <w:tc>
          <w:tcPr>
            <w:tcW w:type="dxa" w:w="2592"/>
          </w:tcPr>
          <w:p>
            <w:pPr>
              <w:spacing w:after="40" w:before="40"/>
            </w:pPr>
            <w:r/>
            <w:r>
              <w:rPr>
                <w:sz w:val="19"/>
              </w:rPr>
              <w:t>Cover letter signature block</w:t>
            </w:r>
          </w:p>
        </w:tc>
      </w:tr>
      <w:tr>
        <w:tc>
          <w:tcPr>
            <w:tcW w:type="dxa" w:w="3168"/>
          </w:tcPr>
          <w:p>
            <w:pPr>
              <w:spacing w:after="40" w:before="40"/>
            </w:pPr>
            <w:r/>
            <w:r>
              <w:rPr>
                <w:sz w:val="19"/>
              </w:rPr>
              <w:t>[Contact name], [title], [phone], [email]</w:t>
            </w:r>
          </w:p>
        </w:tc>
        <w:tc>
          <w:tcPr>
            <w:tcW w:type="dxa" w:w="3600"/>
          </w:tcPr>
          <w:p>
            <w:pPr>
              <w:spacing w:after="40" w:before="40"/>
            </w:pPr>
            <w:r/>
            <w:r>
              <w:rPr>
                <w:sz w:val="19"/>
              </w:rPr>
              <w:t>Your grant contact</w:t>
            </w:r>
          </w:p>
        </w:tc>
        <w:tc>
          <w:tcPr>
            <w:tcW w:type="dxa" w:w="2592"/>
          </w:tcPr>
          <w:p>
            <w:pPr>
              <w:spacing w:after="40" w:before="40"/>
            </w:pPr>
            <w:r/>
            <w:r>
              <w:rPr>
                <w:sz w:val="19"/>
              </w:rPr>
              <w:t>Cover letter, summary sheet</w:t>
            </w:r>
          </w:p>
        </w:tc>
      </w:tr>
      <w:tr>
        <w:tc>
          <w:tcPr>
            <w:tcW w:type="dxa" w:w="3168"/>
          </w:tcPr>
          <w:p>
            <w:pPr>
              <w:spacing w:after="40" w:before="40"/>
            </w:pPr>
            <w:r/>
            <w:r>
              <w:rPr>
                <w:sz w:val="19"/>
              </w:rPr>
              <w:t>[Your state's licensing rule]</w:t>
            </w:r>
          </w:p>
        </w:tc>
        <w:tc>
          <w:tcPr>
            <w:tcW w:type="dxa" w:w="3600"/>
          </w:tcPr>
          <w:p>
            <w:pPr>
              <w:spacing w:after="40" w:before="40"/>
            </w:pPr>
            <w:r/>
            <w:r>
              <w:rPr>
                <w:sz w:val="19"/>
              </w:rPr>
              <w:t>The citation for the rule that governs your site</w:t>
            </w:r>
          </w:p>
        </w:tc>
        <w:tc>
          <w:tcPr>
            <w:tcW w:type="dxa" w:w="2592"/>
          </w:tcPr>
          <w:p>
            <w:pPr>
              <w:spacing w:after="40" w:before="40"/>
            </w:pPr>
            <w:r/>
            <w:r>
              <w:rPr>
                <w:sz w:val="19"/>
              </w:rPr>
              <w:t>Program design, ratios and screening</w:t>
            </w:r>
          </w:p>
        </w:tc>
      </w:tr>
      <w:tr>
        <w:tc>
          <w:tcPr>
            <w:tcW w:type="dxa" w:w="3168"/>
          </w:tcPr>
          <w:p>
            <w:pPr>
              <w:spacing w:after="40" w:before="40"/>
            </w:pPr>
            <w:r/>
            <w:r>
              <w:rPr>
                <w:sz w:val="19"/>
              </w:rPr>
              <w:t>[Your validated youth survey]</w:t>
            </w:r>
          </w:p>
        </w:tc>
        <w:tc>
          <w:tcPr>
            <w:tcW w:type="dxa" w:w="3600"/>
          </w:tcPr>
          <w:p>
            <w:pPr>
              <w:spacing w:after="40" w:before="40"/>
            </w:pPr>
            <w:r/>
            <w:r>
              <w:rPr>
                <w:sz w:val="19"/>
              </w:rPr>
              <w:t>The instrument you actually license and administer, with its citation</w:t>
            </w:r>
          </w:p>
        </w:tc>
        <w:tc>
          <w:tcPr>
            <w:tcW w:type="dxa" w:w="2592"/>
          </w:tcPr>
          <w:p>
            <w:pPr>
              <w:spacing w:after="40" w:before="40"/>
            </w:pPr>
            <w:r/>
            <w:r>
              <w:rPr>
                <w:sz w:val="19"/>
              </w:rPr>
              <w:t>Objectives, evaluation, budget</w:t>
            </w:r>
          </w:p>
        </w:tc>
      </w:tr>
    </w:tbl>
    <w:p>
      <w:pPr>
        <w:spacing w:after="0"/>
      </w:pPr>
    </w:p>
    <w:p>
      <w:pPr>
        <w:pStyle w:val="Heading2"/>
      </w:pPr>
      <w:r>
        <w:t>What to keep and what to rebuild</w:t>
      </w:r>
    </w:p>
    <w:p>
      <w:r>
        <w:rPr>
          <w:b w:val="0"/>
          <w:i w:val="0"/>
        </w:rPr>
        <w:t>Keep the structure, the block-by-block ratio table, the dosage definition, the four-field format of the outcome table, the basis column in the budget, and the sustainability step-down. Those are the parts reviewers score, and they are the parts most first drafts leave out.</w:t>
      </w:r>
    </w:p>
    <w:p>
      <w:r>
        <w:rPr>
          <w:b w:val="0"/>
          <w:i w:val="0"/>
        </w:rPr>
        <w:t>Rebuild every number from your own records. In practice that means six pulls before you start writing: your school or district report card figures for enrollment, chronic absenteeism, and free and reduced-price meal eligibility at your specific site; census tract figures for the attendance zone; your prior-year attendance export, including days attended per participant; your waitlist; a wage benchmark for the positions you are funding; and your indirect cost rate with its base. If you cannot produce the attendance export, fix that before you write the objectives, because every dosage claim in this document rests on it.</w:t>
      </w:r>
    </w:p>
    <w:p>
      <w:r>
        <w:rPr>
          <w:b w:val="0"/>
          <w:i w:val="0"/>
        </w:rPr>
        <w:t>Adapt in the order the sections are numbered below, not the order they will be read. Need data first, then the dosage threshold and the objectives that follow from it, then the budget, then the evaluation instruments, and the executive summary last. Each step constrains the one after it, and a summary written first will contradict the budget written third.</w:t>
      </w:r>
    </w:p>
    <w:p>
      <w:pPr>
        <w:spacing w:after="200"/>
      </w:pPr>
      <w:r>
        <w:rPr>
          <w:i/>
          <w:color w:val="5A5A5A"/>
          <w:sz w:val="18"/>
        </w:rPr>
        <w:t>One rule overrides everything in this file: the funder's own instructions. Where a funder publishes a section list, an order, a page limit, or a character count, submit theirs and use this document as source material.</w:t>
      </w:r>
    </w:p>
    <w:p>
      <w:pPr>
        <w:pStyle w:val="Heading1"/>
      </w:pPr>
      <w:r>
        <w:t>Cover Letter</w:t>
      </w:r>
    </w:p>
    <w:p>
      <w:r>
        <w:rPr>
          <w:b w:val="0"/>
          <w:i w:val="0"/>
        </w:rPr>
        <w:t>[Date]</w:t>
      </w:r>
    </w:p>
    <w:p>
      <w:r>
        <w:rPr>
          <w:b w:val="0"/>
          <w:i w:val="0"/>
        </w:rPr>
        <w:t>[Contact name], [title]</w:t>
      </w:r>
    </w:p>
    <w:p>
      <w:r>
        <w:rPr>
          <w:b w:val="0"/>
          <w:i w:val="0"/>
        </w:rPr>
        <w:t>[Funder legal name]</w:t>
      </w:r>
    </w:p>
    <w:p>
      <w:r>
        <w:rPr>
          <w:b w:val="0"/>
          <w:i w:val="0"/>
        </w:rPr>
        <w:t>[Street address]</w:t>
      </w:r>
    </w:p>
    <w:p>
      <w:r>
        <w:rPr>
          <w:b w:val="0"/>
          <w:i w:val="0"/>
        </w:rPr>
        <w:t>[City, State ZIP]</w:t>
      </w:r>
    </w:p>
    <w:p>
      <w:r>
        <w:rPr>
          <w:b w:val="0"/>
          <w:i w:val="0"/>
        </w:rPr>
        <w:t>Re: Request for $132,000 to operate the Northline After-School Initiative, [exact opportunity title]</w:t>
      </w:r>
    </w:p>
    <w:p>
      <w:r>
        <w:rPr>
          <w:b w:val="0"/>
          <w:i w:val="0"/>
        </w:rPr>
        <w:t>Dear [Contact name]:</w:t>
      </w:r>
    </w:p>
    <w:p>
      <w:r>
        <w:rPr>
          <w:b w:val="0"/>
          <w:i w:val="0"/>
        </w:rPr>
        <w:t>On behalf of the Board of Directors of Example Youth Alliance, I am requesting $132,000 over twelve months, from [start date] to [end date], to operate a 60-slot after-school program at Northline Middle School in Cedar County.</w:t>
      </w:r>
    </w:p>
    <w:p>
      <w:r>
        <w:rPr>
          <w:b w:val="0"/>
          <w:i w:val="0"/>
        </w:rPr>
        <w:t>The gap we are closing is a gap in hours. Northline Middle School dismisses at 2:40 p.m. The earliest caregiver return reported on our enrollment survey is 5:30 p.m. Across 165 school days, that is roughly 470 hours a year in which a Northline student in the Eastgate attendance zone has no adult, no meal, and no place to do homework. No free programming operates in the zone during that window. The nearest fee-based program sits 3.2 miles away, charges $120 a month, and provides no transportation.</w:t>
      </w:r>
    </w:p>
    <w:p>
      <w:r>
        <w:rPr>
          <w:b w:val="0"/>
          <w:i w:val="0"/>
        </w:rPr>
        <w:t>This grant pays for a full-time site coordinator, three part-time youth development staff, the clearances and training every adult completes before working with participants, one van route home, supper on the days the federal meal program does not cover, enrichment materials, two contracted instructors, stipends for eight teen leaders, and the evaluation that reports on all of it. The program runs 2:40 to 6:00 p.m., 165 days, at a ratio of one adult to ten participants during academic support and one to twelve during enrichment.</w:t>
      </w:r>
    </w:p>
    <w:p>
      <w:r>
        <w:rPr>
          <w:b w:val="0"/>
          <w:i w:val="0"/>
        </w:rPr>
        <w:t>We count a participant as served at 60 program days, not at one. That threshold is stated in our objectives, used in our evaluation plan, and will appear in every report we send you. Our targets are 60 students enrolled, 45 of them reaching 60 or more program days, and average daily attendance of 38 or above. Outcomes are reported against school-day attendance, course marks, and behavior referrals pulled from the district under a written data sharing agreement, alongside a validated youth survey administered at baseline and year end.</w:t>
      </w:r>
    </w:p>
    <w:p>
      <w:r>
        <w:rPr>
          <w:b w:val="0"/>
          <w:i w:val="0"/>
        </w:rPr>
        <w:t>The program is designed to outlast this grant. Supper is already reimbursed through the At-Risk Afterschool Meals component of the Child and Adult Care Food Program, the district provides the space and custodial coverage at no cost, and our plan reduces the grant share of program cost to 70 percent in year two and 45 percent in year three through a district site contract, a county youth services allocation, sliding-scale family activity fees, and a state out-of-school-time subgrant application already scheduled.</w:t>
      </w:r>
    </w:p>
    <w:p>
      <w:r>
        <w:rPr>
          <w:b w:val="0"/>
          <w:i w:val="0"/>
        </w:rPr>
        <w:t>Our IRS determination letter, audited financial statements, board roster, staffing chart by activity block, adult screening policy and clearance log, transportation and release procedure, emergency operations plan, enrollment packet, and district data sharing agreement are enclosed as attachments. [Contact name], [title], can answer questions at [phone] or [email].</w:t>
      </w:r>
    </w:p>
    <w:p>
      <w:r>
        <w:rPr>
          <w:b w:val="0"/>
          <w:i w:val="0"/>
        </w:rPr>
        <w:t>Thank you for considering this request.</w:t>
      </w:r>
    </w:p>
    <w:p>
      <w:r>
        <w:rPr>
          <w:b w:val="0"/>
          <w:i w:val="0"/>
        </w:rPr>
        <w:t>Sincerely,</w:t>
      </w:r>
    </w:p>
    <w:p>
      <w:r>
        <w:rPr>
          <w:b w:val="0"/>
          <w:i w:val="0"/>
        </w:rPr>
        <w:t>[Name], Board Chair</w:t>
      </w:r>
    </w:p>
    <w:p>
      <w:r>
        <w:rPr>
          <w:b w:val="0"/>
          <w:i w:val="0"/>
        </w:rPr>
        <w:t>Example Youth Alliance</w:t>
      </w:r>
    </w:p>
    <w:p>
      <w:r>
        <w:rPr>
          <w:b w:val="0"/>
          <w:i w:val="0"/>
        </w:rPr>
        <w:t>[Name], Executive Director</w:t>
      </w:r>
    </w:p>
    <w:p>
      <w:r>
        <w:rPr>
          <w:b w:val="0"/>
          <w:i w:val="0"/>
        </w:rPr>
        <w:t>Example Youth Alliance</w:t>
      </w:r>
    </w:p>
    <w:p>
      <w:pPr>
        <w:pStyle w:val="Heading1"/>
      </w:pPr>
      <w:r>
        <w:t>1. Executive Summary</w:t>
      </w:r>
    </w:p>
    <w:p>
      <w:r>
        <w:rPr>
          <w:b w:val="0"/>
          <w:i w:val="0"/>
        </w:rPr>
        <w:t>Example Youth Alliance (EYA) requests $132,000 from [Funder legal name] over twelve months to operate the Northline After-School Initiative, a 60-slot daily out-of-school-time program for students in grades 6 through 8 at Northline Middle School in Cedar County.</w:t>
      </w:r>
    </w:p>
    <w:p>
      <w:pPr>
        <w:pStyle w:val="Heading2"/>
      </w:pPr>
      <w:r>
        <w:t>The problem</w:t>
      </w:r>
    </w:p>
    <w:p>
      <w:r>
        <w:rPr>
          <w:b w:val="0"/>
          <w:i w:val="0"/>
        </w:rPr>
        <w:t>Northline Middle School enrolls 612 students, 71 percent of whom qualify for free or reduced-price school meals. Chronic absenteeism at the school stands at 28 percent. The school dismisses at 2:40 p.m., and the earliest caregiver return reported on EYA's own enrollment survey is 5:30 p.m. That is 2 hours and 50 minutes a day, roughly 470 hours across the school year, with no supervision, no meal, and no academic support available for free anywhere in the Eastgate attendance zone. Last year EYA could seat 44 students and turned away 41.</w:t>
      </w:r>
    </w:p>
    <w:p>
      <w:pPr>
        <w:pStyle w:val="Heading2"/>
      </w:pPr>
      <w:r>
        <w:t>The service</w:t>
      </w:r>
    </w:p>
    <w:p>
      <w:r>
        <w:rPr>
          <w:b w:val="0"/>
          <w:i w:val="0"/>
        </w:rPr>
        <w:t>EYA operates the program on site at Northline Middle School from 2:40 to 6:00 p.m. on 165 school days. Each afternoon runs the same six blocks: arrival and attendance check, supper, homework and academic support, an enrichment rotation, a closing circle, and a supervised dismissal that includes one van route through the Eastgate zone. Academic support runs at one adult to ten participants and enrichment at one to twelve, including the physical activity rotation. Every adult with participant contact completes a criminal history check, a fingerprint-based check, a child abuse registry check, and mandated reporter training before the first unsupervised contact.</w:t>
      </w:r>
    </w:p>
    <w:p>
      <w:pPr>
        <w:pStyle w:val="Heading2"/>
      </w:pPr>
      <w:r>
        <w:t>The numbers</w:t>
      </w:r>
    </w:p>
    <w:p>
      <w:pPr>
        <w:spacing w:after="200"/>
      </w:pPr>
      <w:r>
        <w:rPr>
          <w:i/>
          <w:color w:val="5A5A5A"/>
          <w:sz w:val="18"/>
        </w:rPr>
        <w:t>Illustrative targets for a composite program. Substitute your own site capacity and prior-year attendance records.</w:t>
      </w:r>
    </w:p>
    <w:tbl>
      <w:tblPr>
        <w:tblStyle w:val="LightGrid-Accent1"/>
        <w:tblW w:type="auto" w:w="0"/>
        <w:jc w:val="center"/>
        <w:tblLayout w:type="fixed"/>
        <w:tblLook w:firstColumn="1" w:firstRow="1" w:lastColumn="0" w:lastRow="0" w:noHBand="0" w:noVBand="1" w:val="04A0"/>
      </w:tblPr>
      <w:tblGrid>
        <w:gridCol w:w="3120"/>
        <w:gridCol w:w="3120"/>
        <w:gridCol w:w="3120"/>
      </w:tblGrid>
      <w:tr>
        <w:tc>
          <w:tcPr>
            <w:tcW w:type="dxa" w:w="2880"/>
          </w:tcPr>
          <w:p>
            <w:pPr>
              <w:spacing w:after="40" w:before="40"/>
            </w:pPr>
            <w:r/>
            <w:r>
              <w:rPr>
                <w:b/>
                <w:sz w:val="19"/>
              </w:rPr>
              <w:t>Target</w:t>
            </w:r>
          </w:p>
        </w:tc>
        <w:tc>
          <w:tcPr>
            <w:tcW w:type="dxa" w:w="2016"/>
          </w:tcPr>
          <w:p>
            <w:pPr>
              <w:spacing w:after="40" w:before="40"/>
            </w:pPr>
            <w:r/>
            <w:r>
              <w:rPr>
                <w:b/>
                <w:sz w:val="19"/>
              </w:rPr>
              <w:t>Figure</w:t>
            </w:r>
          </w:p>
        </w:tc>
        <w:tc>
          <w:tcPr>
            <w:tcW w:type="dxa" w:w="4464"/>
          </w:tcPr>
          <w:p>
            <w:pPr>
              <w:spacing w:after="40" w:before="40"/>
            </w:pPr>
            <w:r/>
            <w:r>
              <w:rPr>
                <w:b/>
                <w:sz w:val="19"/>
              </w:rPr>
              <w:t>How it is counted</w:t>
            </w:r>
          </w:p>
        </w:tc>
      </w:tr>
      <w:tr>
        <w:tc>
          <w:tcPr>
            <w:tcW w:type="dxa" w:w="2880"/>
          </w:tcPr>
          <w:p>
            <w:pPr>
              <w:spacing w:after="40" w:before="40"/>
            </w:pPr>
            <w:r/>
            <w:r>
              <w:rPr>
                <w:sz w:val="19"/>
              </w:rPr>
              <w:t>Students enrolled</w:t>
            </w:r>
          </w:p>
        </w:tc>
        <w:tc>
          <w:tcPr>
            <w:tcW w:type="dxa" w:w="2016"/>
          </w:tcPr>
          <w:p>
            <w:pPr>
              <w:spacing w:after="40" w:before="40"/>
            </w:pPr>
            <w:r/>
            <w:r>
              <w:rPr>
                <w:sz w:val="19"/>
              </w:rPr>
              <w:t>60</w:t>
            </w:r>
          </w:p>
        </w:tc>
        <w:tc>
          <w:tcPr>
            <w:tcW w:type="dxa" w:w="4464"/>
          </w:tcPr>
          <w:p>
            <w:pPr>
              <w:spacing w:after="40" w:before="40"/>
            </w:pPr>
            <w:r/>
            <w:r>
              <w:rPr>
                <w:sz w:val="19"/>
              </w:rPr>
              <w:t>Completed enrollment packet on file</w:t>
            </w:r>
          </w:p>
        </w:tc>
      </w:tr>
      <w:tr>
        <w:tc>
          <w:tcPr>
            <w:tcW w:type="dxa" w:w="2880"/>
          </w:tcPr>
          <w:p>
            <w:pPr>
              <w:spacing w:after="40" w:before="40"/>
            </w:pPr>
            <w:r/>
            <w:r>
              <w:rPr>
                <w:sz w:val="19"/>
              </w:rPr>
              <w:t>Regular attendees</w:t>
            </w:r>
          </w:p>
        </w:tc>
        <w:tc>
          <w:tcPr>
            <w:tcW w:type="dxa" w:w="2016"/>
          </w:tcPr>
          <w:p>
            <w:pPr>
              <w:spacing w:after="40" w:before="40"/>
            </w:pPr>
            <w:r/>
            <w:r>
              <w:rPr>
                <w:sz w:val="19"/>
              </w:rPr>
              <w:t>45</w:t>
            </w:r>
          </w:p>
        </w:tc>
        <w:tc>
          <w:tcPr>
            <w:tcW w:type="dxa" w:w="4464"/>
          </w:tcPr>
          <w:p>
            <w:pPr>
              <w:spacing w:after="40" w:before="40"/>
            </w:pPr>
            <w:r/>
            <w:r>
              <w:rPr>
                <w:sz w:val="19"/>
              </w:rPr>
              <w:t>60 or more program days attended</w:t>
            </w:r>
          </w:p>
        </w:tc>
      </w:tr>
      <w:tr>
        <w:tc>
          <w:tcPr>
            <w:tcW w:type="dxa" w:w="2880"/>
          </w:tcPr>
          <w:p>
            <w:pPr>
              <w:spacing w:after="40" w:before="40"/>
            </w:pPr>
            <w:r/>
            <w:r>
              <w:rPr>
                <w:sz w:val="19"/>
              </w:rPr>
              <w:t>Average daily attendance</w:t>
            </w:r>
          </w:p>
        </w:tc>
        <w:tc>
          <w:tcPr>
            <w:tcW w:type="dxa" w:w="2016"/>
          </w:tcPr>
          <w:p>
            <w:pPr>
              <w:spacing w:after="40" w:before="40"/>
            </w:pPr>
            <w:r/>
            <w:r>
              <w:rPr>
                <w:sz w:val="19"/>
              </w:rPr>
              <w:t>38 or above</w:t>
            </w:r>
          </w:p>
        </w:tc>
        <w:tc>
          <w:tcPr>
            <w:tcW w:type="dxa" w:w="4464"/>
          </w:tcPr>
          <w:p>
            <w:pPr>
              <w:spacing w:after="40" w:before="40"/>
            </w:pPr>
            <w:r/>
            <w:r>
              <w:rPr>
                <w:sz w:val="19"/>
              </w:rPr>
              <w:t>Daily sign-in, averaged across 165 program days</w:t>
            </w:r>
          </w:p>
        </w:tc>
      </w:tr>
      <w:tr>
        <w:tc>
          <w:tcPr>
            <w:tcW w:type="dxa" w:w="2880"/>
          </w:tcPr>
          <w:p>
            <w:pPr>
              <w:spacing w:after="40" w:before="40"/>
            </w:pPr>
            <w:r/>
            <w:r>
              <w:rPr>
                <w:sz w:val="19"/>
              </w:rPr>
              <w:t>Program days operated</w:t>
            </w:r>
          </w:p>
        </w:tc>
        <w:tc>
          <w:tcPr>
            <w:tcW w:type="dxa" w:w="2016"/>
          </w:tcPr>
          <w:p>
            <w:pPr>
              <w:spacing w:after="40" w:before="40"/>
            </w:pPr>
            <w:r/>
            <w:r>
              <w:rPr>
                <w:sz w:val="19"/>
              </w:rPr>
              <w:t>165</w:t>
            </w:r>
          </w:p>
        </w:tc>
        <w:tc>
          <w:tcPr>
            <w:tcW w:type="dxa" w:w="4464"/>
          </w:tcPr>
          <w:p>
            <w:pPr>
              <w:spacing w:after="40" w:before="40"/>
            </w:pPr>
            <w:r/>
            <w:r>
              <w:rPr>
                <w:sz w:val="19"/>
              </w:rPr>
              <w:t>Program calendar, reconciled to sign-in records</w:t>
            </w:r>
          </w:p>
        </w:tc>
      </w:tr>
      <w:tr>
        <w:tc>
          <w:tcPr>
            <w:tcW w:type="dxa" w:w="2880"/>
          </w:tcPr>
          <w:p>
            <w:pPr>
              <w:spacing w:after="40" w:before="40"/>
            </w:pPr>
            <w:r/>
            <w:r>
              <w:rPr>
                <w:sz w:val="19"/>
              </w:rPr>
              <w:t>Academic support per participant</w:t>
            </w:r>
          </w:p>
        </w:tc>
        <w:tc>
          <w:tcPr>
            <w:tcW w:type="dxa" w:w="2016"/>
          </w:tcPr>
          <w:p>
            <w:pPr>
              <w:spacing w:after="40" w:before="40"/>
            </w:pPr>
            <w:r>
              <w:t>3 hours per week</w:t>
            </w:r>
            <w:r>
              <w:rPr>
                <w:sz w:val="19"/>
              </w:rPr>
            </w:r>
          </w:p>
        </w:tc>
        <w:tc>
          <w:tcPr>
            <w:tcW w:type="dxa" w:w="4464"/>
          </w:tcPr>
          <w:p>
            <w:pPr>
              <w:spacing w:after="40" w:before="40"/>
            </w:pPr>
            <w:r>
              <w:t>Block schedule audit, monthly, at an average of three attended days</w:t>
            </w:r>
            <w:r>
              <w:rPr>
                <w:sz w:val="19"/>
              </w:rPr>
            </w:r>
          </w:p>
        </w:tc>
      </w:tr>
      <w:tr>
        <w:tc>
          <w:tcPr>
            <w:tcW w:type="dxa" w:w="2880"/>
          </w:tcPr>
          <w:p>
            <w:pPr>
              <w:spacing w:after="40" w:before="40"/>
            </w:pPr>
            <w:r/>
            <w:r>
              <w:rPr>
                <w:sz w:val="19"/>
              </w:rPr>
              <w:t>Enrichment per participant</w:t>
            </w:r>
          </w:p>
        </w:tc>
        <w:tc>
          <w:tcPr>
            <w:tcW w:type="dxa" w:w="2016"/>
          </w:tcPr>
          <w:p>
            <w:pPr>
              <w:spacing w:after="40" w:before="40"/>
            </w:pPr>
            <w:r/>
            <w:r>
              <w:rPr>
                <w:sz w:val="19"/>
              </w:rPr>
              <w:t>3 hours per week</w:t>
            </w:r>
          </w:p>
        </w:tc>
        <w:tc>
          <w:tcPr>
            <w:tcW w:type="dxa" w:w="4464"/>
          </w:tcPr>
          <w:p>
            <w:pPr>
              <w:spacing w:after="40" w:before="40"/>
            </w:pPr>
            <w:r/>
            <w:r>
              <w:rPr>
                <w:sz w:val="19"/>
              </w:rPr>
              <w:t>Block schedule audit, monthly</w:t>
            </w:r>
          </w:p>
        </w:tc>
      </w:tr>
      <w:tr>
        <w:tc>
          <w:tcPr>
            <w:tcW w:type="dxa" w:w="2880"/>
          </w:tcPr>
          <w:p>
            <w:pPr>
              <w:spacing w:after="40" w:before="40"/>
            </w:pPr>
            <w:r/>
            <w:r>
              <w:rPr>
                <w:sz w:val="19"/>
              </w:rPr>
              <w:t>Teen leaders paid a stipend</w:t>
            </w:r>
          </w:p>
        </w:tc>
        <w:tc>
          <w:tcPr>
            <w:tcW w:type="dxa" w:w="2016"/>
          </w:tcPr>
          <w:p>
            <w:pPr>
              <w:spacing w:after="40" w:before="40"/>
            </w:pPr>
            <w:r/>
            <w:r>
              <w:rPr>
                <w:sz w:val="19"/>
              </w:rPr>
              <w:t>8</w:t>
            </w:r>
          </w:p>
        </w:tc>
        <w:tc>
          <w:tcPr>
            <w:tcW w:type="dxa" w:w="4464"/>
          </w:tcPr>
          <w:p>
            <w:pPr>
              <w:spacing w:after="40" w:before="40"/>
            </w:pPr>
            <w:r/>
            <w:r>
              <w:rPr>
                <w:sz w:val="19"/>
              </w:rPr>
              <w:t>Logged leadership hours and completed training</w:t>
            </w:r>
          </w:p>
        </w:tc>
      </w:tr>
      <w:tr>
        <w:tc>
          <w:tcPr>
            <w:tcW w:type="dxa" w:w="2880"/>
          </w:tcPr>
          <w:p>
            <w:pPr>
              <w:spacing w:after="40" w:before="40"/>
            </w:pPr>
            <w:r/>
            <w:r>
              <w:rPr>
                <w:sz w:val="19"/>
              </w:rPr>
              <w:t>Cost per regular attendee</w:t>
            </w:r>
          </w:p>
        </w:tc>
        <w:tc>
          <w:tcPr>
            <w:tcW w:type="dxa" w:w="2016"/>
          </w:tcPr>
          <w:p>
            <w:pPr>
              <w:spacing w:after="40" w:before="40"/>
            </w:pPr>
            <w:r/>
            <w:r>
              <w:rPr>
                <w:sz w:val="19"/>
              </w:rPr>
              <w:t>$2,933</w:t>
            </w:r>
          </w:p>
        </w:tc>
        <w:tc>
          <w:tcPr>
            <w:tcW w:type="dxa" w:w="4464"/>
          </w:tcPr>
          <w:p>
            <w:pPr>
              <w:spacing w:after="40" w:before="40"/>
            </w:pPr>
            <w:r/>
            <w:r>
              <w:rPr>
                <w:sz w:val="19"/>
              </w:rPr>
              <w:t>$132,000 divided by 45 regular attendees</w:t>
            </w:r>
          </w:p>
        </w:tc>
      </w:tr>
      <w:tr>
        <w:tc>
          <w:tcPr>
            <w:tcW w:type="dxa" w:w="2880"/>
          </w:tcPr>
          <w:p>
            <w:pPr>
              <w:spacing w:after="40" w:before="40"/>
            </w:pPr>
            <w:r/>
            <w:r>
              <w:rPr>
                <w:sz w:val="19"/>
              </w:rPr>
              <w:t>Cost per program day per participant</w:t>
            </w:r>
          </w:p>
        </w:tc>
        <w:tc>
          <w:tcPr>
            <w:tcW w:type="dxa" w:w="2016"/>
          </w:tcPr>
          <w:p>
            <w:pPr>
              <w:spacing w:after="40" w:before="40"/>
            </w:pPr>
            <w:r/>
            <w:r>
              <w:rPr>
                <w:sz w:val="19"/>
              </w:rPr>
              <w:t>$21</w:t>
            </w:r>
          </w:p>
        </w:tc>
        <w:tc>
          <w:tcPr>
            <w:tcW w:type="dxa" w:w="4464"/>
          </w:tcPr>
          <w:p>
            <w:pPr>
              <w:spacing w:after="40" w:before="40"/>
            </w:pPr>
            <w:r/>
            <w:r>
              <w:rPr>
                <w:sz w:val="19"/>
              </w:rPr>
              <w:t>$132,000 divided by 38 average daily attendance and 165 days</w:t>
            </w:r>
          </w:p>
        </w:tc>
      </w:tr>
    </w:tbl>
    <w:p>
      <w:pPr>
        <w:spacing w:after="0"/>
      </w:pPr>
    </w:p>
    <w:p>
      <w:pPr>
        <w:pStyle w:val="Heading2"/>
      </w:pPr>
      <w:r>
        <w:t>The measure</w:t>
      </w:r>
    </w:p>
    <w:p>
      <w:r>
        <w:rPr>
          <w:b w:val="0"/>
          <w:i w:val="0"/>
        </w:rPr>
        <w:t>Dosage is the base measure and everything else is reported against it. EYA counts a participant as served at 60 program days and will not report a headcount that ignores that threshold. Paired with dosage, the program reports three school-day measures pulled from Northline Public Schools under a written data sharing agreement, school-day attendance rate, course marks, and behavior referrals, and one validated youth survey administered at baseline and at year end. The agreement route and its execution date appear in the project timeline in section 8.</w:t>
      </w:r>
    </w:p>
    <w:p>
      <w:pPr>
        <w:pStyle w:val="Heading2"/>
      </w:pPr>
      <w:r>
        <w:t>The path after the grant</w:t>
      </w:r>
    </w:p>
    <w:p>
      <w:r>
        <w:rPr>
          <w:b w:val="0"/>
          <w:i w:val="0"/>
        </w:rPr>
        <w:t>Supper is reimbursed through the At-Risk Afterschool Meals component of the Child and Adult Care Food Program, so this request pays for food only on the 18 program days that fall outside the school-year claiming window. The district provides classroom and gym space and custodial coverage at no cost. Grant share of program cost steps down to 70 percent in year two and 45 percent in year three, replaced by a district site contract, a Cedar County youth services allocation, sliding-scale family activity fees, and a state subgrant under the 21st Century Community Learning Centers formula program, which Northline's state educational agency competes on a published cycle.</w:t>
      </w:r>
    </w:p>
    <w:p>
      <w:pPr>
        <w:pStyle w:val="Heading1"/>
      </w:pPr>
      <w:r>
        <w:t>2. Statement of Need</w:t>
      </w:r>
    </w:p>
    <w:p>
      <w:r>
        <w:rPr>
          <w:b w:val="0"/>
          <w:i w:val="0"/>
        </w:rPr>
        <w:t>A youth statement of need proves that a specific group of young people has unsupervised hours and unmet academic or social support, and it proves it with data tied to the school and the blocks the program sits on. A national youth statistic describes a country. It does not describe Northline.</w:t>
      </w:r>
    </w:p>
    <w:p>
      <w:pPr>
        <w:spacing w:after="200"/>
      </w:pPr>
      <w:r>
        <w:rPr>
          <w:i/>
          <w:color w:val="5A5A5A"/>
          <w:sz w:val="18"/>
        </w:rPr>
        <w:t>Every figure in this section belongs to the composite. Replace each one from the sources named in the right-hand column of the table below before you submit. If a figure is not available for your school, say so and use the closest published level, rather than substituting a national number without saying that is what you did.</w:t>
      </w:r>
    </w:p>
    <w:p>
      <w:pPr>
        <w:pStyle w:val="Heading2"/>
      </w:pPr>
      <w:r>
        <w:t>The school and the attendance zone</w:t>
      </w:r>
    </w:p>
    <w:p>
      <w:r>
        <w:rPr>
          <w:b w:val="0"/>
          <w:i w:val="0"/>
        </w:rPr>
        <w:t>Northline Middle School serves grades 6 through 8 in the Eastgate neighborhood of Cedar County. It enrolls 612 students. Seventy-one percent qualify for free or reduced-price school meals, and 28 percent are chronically absent, meaning they miss 10 percent or more of enrolled school days. The Eastgate attendance zone has a median household income of $38,400, and 46 percent of its households with children under 18 are headed by a single adult who is in the labor force.</w:t>
      </w:r>
    </w:p>
    <w:tbl>
      <w:tblPr>
        <w:tblStyle w:val="LightGrid-Accent1"/>
        <w:tblW w:type="auto" w:w="0"/>
        <w:jc w:val="center"/>
        <w:tblLayout w:type="fixed"/>
        <w:tblLook w:firstColumn="1" w:firstRow="1" w:lastColumn="0" w:lastRow="0" w:noHBand="0" w:noVBand="1" w:val="04A0"/>
      </w:tblPr>
      <w:tblGrid>
        <w:gridCol w:w="3120"/>
        <w:gridCol w:w="3120"/>
        <w:gridCol w:w="3120"/>
      </w:tblGrid>
      <w:tr>
        <w:tc>
          <w:tcPr>
            <w:tcW w:type="dxa" w:w="3456"/>
          </w:tcPr>
          <w:p>
            <w:pPr>
              <w:spacing w:after="40" w:before="40"/>
            </w:pPr>
            <w:r/>
            <w:r>
              <w:rPr>
                <w:b/>
                <w:sz w:val="19"/>
              </w:rPr>
              <w:t>Indicator</w:t>
            </w:r>
          </w:p>
        </w:tc>
        <w:tc>
          <w:tcPr>
            <w:tcW w:type="dxa" w:w="2448"/>
          </w:tcPr>
          <w:p>
            <w:pPr>
              <w:spacing w:after="40" w:before="40"/>
            </w:pPr>
            <w:r/>
            <w:r>
              <w:rPr>
                <w:b/>
                <w:sz w:val="19"/>
              </w:rPr>
              <w:t>Example figure</w:t>
            </w:r>
          </w:p>
        </w:tc>
        <w:tc>
          <w:tcPr>
            <w:tcW w:type="dxa" w:w="3456"/>
          </w:tcPr>
          <w:p>
            <w:pPr>
              <w:spacing w:after="40" w:before="40"/>
            </w:pPr>
            <w:r/>
            <w:r>
              <w:rPr>
                <w:b/>
                <w:sz w:val="19"/>
              </w:rPr>
              <w:t>Where to get your own</w:t>
            </w:r>
          </w:p>
        </w:tc>
      </w:tr>
      <w:tr>
        <w:tc>
          <w:tcPr>
            <w:tcW w:type="dxa" w:w="3456"/>
          </w:tcPr>
          <w:p>
            <w:pPr>
              <w:spacing w:after="40" w:before="40"/>
            </w:pPr>
            <w:r/>
            <w:r>
              <w:rPr>
                <w:sz w:val="19"/>
              </w:rPr>
              <w:t>Enrollment, grades 6 to 8</w:t>
            </w:r>
          </w:p>
        </w:tc>
        <w:tc>
          <w:tcPr>
            <w:tcW w:type="dxa" w:w="2448"/>
          </w:tcPr>
          <w:p>
            <w:pPr>
              <w:spacing w:after="40" w:before="40"/>
            </w:pPr>
            <w:r/>
            <w:r>
              <w:rPr>
                <w:sz w:val="19"/>
              </w:rPr>
              <w:t>612</w:t>
            </w:r>
          </w:p>
        </w:tc>
        <w:tc>
          <w:tcPr>
            <w:tcW w:type="dxa" w:w="3456"/>
          </w:tcPr>
          <w:p>
            <w:pPr>
              <w:spacing w:after="40" w:before="40"/>
            </w:pPr>
            <w:r/>
            <w:r>
              <w:rPr>
                <w:sz w:val="19"/>
              </w:rPr>
              <w:t>State or district school report card for your site</w:t>
            </w:r>
          </w:p>
        </w:tc>
      </w:tr>
      <w:tr>
        <w:tc>
          <w:tcPr>
            <w:tcW w:type="dxa" w:w="3456"/>
          </w:tcPr>
          <w:p>
            <w:pPr>
              <w:spacing w:after="40" w:before="40"/>
            </w:pPr>
            <w:r/>
            <w:r>
              <w:rPr>
                <w:sz w:val="19"/>
              </w:rPr>
              <w:t>Free or reduced-price meal eligibility</w:t>
            </w:r>
          </w:p>
        </w:tc>
        <w:tc>
          <w:tcPr>
            <w:tcW w:type="dxa" w:w="2448"/>
          </w:tcPr>
          <w:p>
            <w:pPr>
              <w:spacing w:after="40" w:before="40"/>
            </w:pPr>
            <w:r/>
            <w:r>
              <w:rPr>
                <w:sz w:val="19"/>
              </w:rPr>
              <w:t>71 percent</w:t>
            </w:r>
          </w:p>
        </w:tc>
        <w:tc>
          <w:tcPr>
            <w:tcW w:type="dxa" w:w="3456"/>
          </w:tcPr>
          <w:p>
            <w:pPr>
              <w:spacing w:after="40" w:before="40"/>
            </w:pPr>
            <w:r/>
            <w:r>
              <w:rPr>
                <w:sz w:val="19"/>
              </w:rPr>
              <w:t>State report card, or your district's child nutrition office</w:t>
            </w:r>
          </w:p>
        </w:tc>
      </w:tr>
      <w:tr>
        <w:tc>
          <w:tcPr>
            <w:tcW w:type="dxa" w:w="3456"/>
          </w:tcPr>
          <w:p>
            <w:pPr>
              <w:spacing w:after="40" w:before="40"/>
            </w:pPr>
            <w:r/>
            <w:r>
              <w:rPr>
                <w:sz w:val="19"/>
              </w:rPr>
              <w:t>Chronic absenteeism</w:t>
            </w:r>
          </w:p>
        </w:tc>
        <w:tc>
          <w:tcPr>
            <w:tcW w:type="dxa" w:w="2448"/>
          </w:tcPr>
          <w:p>
            <w:pPr>
              <w:spacing w:after="40" w:before="40"/>
            </w:pPr>
            <w:r/>
            <w:r>
              <w:rPr>
                <w:sz w:val="19"/>
              </w:rPr>
              <w:t>28 percent</w:t>
            </w:r>
          </w:p>
        </w:tc>
        <w:tc>
          <w:tcPr>
            <w:tcW w:type="dxa" w:w="3456"/>
          </w:tcPr>
          <w:p>
            <w:pPr>
              <w:spacing w:after="40" w:before="40"/>
            </w:pPr>
            <w:r/>
            <w:r>
              <w:rPr>
                <w:sz w:val="19"/>
              </w:rPr>
              <w:t>State report card, site level, not district level</w:t>
            </w:r>
          </w:p>
        </w:tc>
      </w:tr>
      <w:tr>
        <w:tc>
          <w:tcPr>
            <w:tcW w:type="dxa" w:w="3456"/>
          </w:tcPr>
          <w:p>
            <w:pPr>
              <w:spacing w:after="40" w:before="40"/>
            </w:pPr>
            <w:r/>
            <w:r>
              <w:rPr>
                <w:sz w:val="19"/>
              </w:rPr>
              <w:t>Median household income, attendance zone</w:t>
            </w:r>
          </w:p>
        </w:tc>
        <w:tc>
          <w:tcPr>
            <w:tcW w:type="dxa" w:w="2448"/>
          </w:tcPr>
          <w:p>
            <w:pPr>
              <w:spacing w:after="40" w:before="40"/>
            </w:pPr>
            <w:r/>
            <w:r>
              <w:rPr>
                <w:sz w:val="19"/>
              </w:rPr>
              <w:t>$38,400</w:t>
            </w:r>
          </w:p>
        </w:tc>
        <w:tc>
          <w:tcPr>
            <w:tcW w:type="dxa" w:w="3456"/>
          </w:tcPr>
          <w:p>
            <w:pPr>
              <w:spacing w:after="40" w:before="40"/>
            </w:pPr>
            <w:r/>
            <w:r>
              <w:rPr>
                <w:sz w:val="19"/>
              </w:rPr>
              <w:t>U.S. Census Bureau, American Community Survey, tract level</w:t>
            </w:r>
          </w:p>
        </w:tc>
      </w:tr>
      <w:tr>
        <w:tc>
          <w:tcPr>
            <w:tcW w:type="dxa" w:w="3456"/>
          </w:tcPr>
          <w:p>
            <w:pPr>
              <w:spacing w:after="40" w:before="40"/>
            </w:pPr>
            <w:r/>
            <w:r>
              <w:rPr>
                <w:sz w:val="19"/>
              </w:rPr>
              <w:t>Households with children headed by one working adult</w:t>
            </w:r>
          </w:p>
        </w:tc>
        <w:tc>
          <w:tcPr>
            <w:tcW w:type="dxa" w:w="2448"/>
          </w:tcPr>
          <w:p>
            <w:pPr>
              <w:spacing w:after="40" w:before="40"/>
            </w:pPr>
            <w:r/>
            <w:r>
              <w:rPr>
                <w:sz w:val="19"/>
              </w:rPr>
              <w:t>46 percent</w:t>
            </w:r>
          </w:p>
        </w:tc>
        <w:tc>
          <w:tcPr>
            <w:tcW w:type="dxa" w:w="3456"/>
          </w:tcPr>
          <w:p>
            <w:pPr>
              <w:spacing w:after="40" w:before="40"/>
            </w:pPr>
            <w:r/>
            <w:r>
              <w:rPr>
                <w:sz w:val="19"/>
              </w:rPr>
              <w:t>American Community Survey, tract level</w:t>
            </w:r>
          </w:p>
        </w:tc>
      </w:tr>
      <w:tr>
        <w:tc>
          <w:tcPr>
            <w:tcW w:type="dxa" w:w="3456"/>
          </w:tcPr>
          <w:p>
            <w:pPr>
              <w:spacing w:after="40" w:before="40"/>
            </w:pPr>
            <w:r/>
            <w:r>
              <w:rPr>
                <w:sz w:val="19"/>
              </w:rPr>
              <w:t>Students on the program waitlist last year</w:t>
            </w:r>
          </w:p>
        </w:tc>
        <w:tc>
          <w:tcPr>
            <w:tcW w:type="dxa" w:w="2448"/>
          </w:tcPr>
          <w:p>
            <w:pPr>
              <w:spacing w:after="40" w:before="40"/>
            </w:pPr>
            <w:r/>
            <w:r>
              <w:rPr>
                <w:sz w:val="19"/>
              </w:rPr>
              <w:t>41</w:t>
            </w:r>
          </w:p>
        </w:tc>
        <w:tc>
          <w:tcPr>
            <w:tcW w:type="dxa" w:w="3456"/>
          </w:tcPr>
          <w:p>
            <w:pPr>
              <w:spacing w:after="40" w:before="40"/>
            </w:pPr>
            <w:r/>
            <w:r>
              <w:rPr>
                <w:sz w:val="19"/>
              </w:rPr>
              <w:t>Your own enrollment system</w:t>
            </w:r>
          </w:p>
        </w:tc>
      </w:tr>
      <w:tr>
        <w:tc>
          <w:tcPr>
            <w:tcW w:type="dxa" w:w="3456"/>
          </w:tcPr>
          <w:p>
            <w:pPr>
              <w:spacing w:after="40" w:before="40"/>
            </w:pPr>
            <w:r/>
            <w:r>
              <w:rPr>
                <w:sz w:val="19"/>
              </w:rPr>
              <w:t>Program slots available last year</w:t>
            </w:r>
          </w:p>
        </w:tc>
        <w:tc>
          <w:tcPr>
            <w:tcW w:type="dxa" w:w="2448"/>
          </w:tcPr>
          <w:p>
            <w:pPr>
              <w:spacing w:after="40" w:before="40"/>
            </w:pPr>
            <w:r/>
            <w:r>
              <w:rPr>
                <w:sz w:val="19"/>
              </w:rPr>
              <w:t>44</w:t>
            </w:r>
          </w:p>
        </w:tc>
        <w:tc>
          <w:tcPr>
            <w:tcW w:type="dxa" w:w="3456"/>
          </w:tcPr>
          <w:p>
            <w:pPr>
              <w:spacing w:after="40" w:before="40"/>
            </w:pPr>
            <w:r/>
            <w:r>
              <w:rPr>
                <w:sz w:val="19"/>
              </w:rPr>
              <w:t>Your own enrollment system</w:t>
            </w:r>
          </w:p>
        </w:tc>
      </w:tr>
      <w:tr>
        <w:tc>
          <w:tcPr>
            <w:tcW w:type="dxa" w:w="3456"/>
          </w:tcPr>
          <w:p>
            <w:pPr>
              <w:spacing w:after="40" w:before="40"/>
            </w:pPr>
            <w:r/>
            <w:r>
              <w:rPr>
                <w:sz w:val="19"/>
              </w:rPr>
              <w:t>Free programming in the zone from 2:40 to 6:00 p.m.</w:t>
            </w:r>
          </w:p>
        </w:tc>
        <w:tc>
          <w:tcPr>
            <w:tcW w:type="dxa" w:w="2448"/>
          </w:tcPr>
          <w:p>
            <w:pPr>
              <w:spacing w:after="40" w:before="40"/>
            </w:pPr>
            <w:r/>
            <w:r>
              <w:rPr>
                <w:sz w:val="19"/>
              </w:rPr>
              <w:t>None</w:t>
            </w:r>
          </w:p>
        </w:tc>
        <w:tc>
          <w:tcPr>
            <w:tcW w:type="dxa" w:w="3456"/>
          </w:tcPr>
          <w:p>
            <w:pPr>
              <w:spacing w:after="40" w:before="40"/>
            </w:pPr>
            <w:r/>
            <w:r>
              <w:rPr>
                <w:sz w:val="19"/>
              </w:rPr>
              <w:t>Your county or municipal youth services directory, plus a phone check</w:t>
            </w:r>
          </w:p>
        </w:tc>
      </w:tr>
      <w:tr>
        <w:tc>
          <w:tcPr>
            <w:tcW w:type="dxa" w:w="3456"/>
          </w:tcPr>
          <w:p>
            <w:pPr>
              <w:spacing w:after="40" w:before="40"/>
            </w:pPr>
            <w:r/>
            <w:r>
              <w:rPr>
                <w:sz w:val="19"/>
              </w:rPr>
              <w:t>Nearest fee-based alternative</w:t>
            </w:r>
          </w:p>
        </w:tc>
        <w:tc>
          <w:tcPr>
            <w:tcW w:type="dxa" w:w="2448"/>
          </w:tcPr>
          <w:p>
            <w:pPr>
              <w:spacing w:after="40" w:before="40"/>
            </w:pPr>
            <w:r/>
            <w:r>
              <w:rPr>
                <w:sz w:val="19"/>
              </w:rPr>
              <w:t>3.2 miles, $120 per month, no transportation</w:t>
            </w:r>
          </w:p>
        </w:tc>
        <w:tc>
          <w:tcPr>
            <w:tcW w:type="dxa" w:w="3456"/>
          </w:tcPr>
          <w:p>
            <w:pPr>
              <w:spacing w:after="40" w:before="40"/>
            </w:pPr>
            <w:r/>
            <w:r>
              <w:rPr>
                <w:sz w:val="19"/>
              </w:rPr>
              <w:t>Direct inquiry, with the date of the call recorded</w:t>
            </w:r>
          </w:p>
        </w:tc>
      </w:tr>
    </w:tbl>
    <w:p>
      <w:pPr>
        <w:spacing w:after="0"/>
      </w:pPr>
    </w:p>
    <w:p>
      <w:pPr>
        <w:pStyle w:val="Heading2"/>
      </w:pPr>
      <w:r>
        <w:t>The gap in hours</w:t>
      </w:r>
    </w:p>
    <w:p>
      <w:r>
        <w:rPr>
          <w:b w:val="0"/>
          <w:i w:val="0"/>
        </w:rPr>
        <w:t>Northline Middle School dismisses at 2:40 p.m. The earliest caregiver return reported on EYA's enrollment survey, completed by 44 families last year, is 5:30 p.m., and the median reported return is 5:55 p.m. That produces a supervision gap of 2 hours and 50 minutes on every school day, or roughly 470 hours across 165 school days, for students whose caregivers are working during exactly the window the school building empties.</w:t>
      </w:r>
    </w:p>
    <w:p>
      <w:r>
        <w:rPr>
          <w:b w:val="0"/>
          <w:i w:val="0"/>
        </w:rPr>
        <w:t>Cedar County's published juvenile justice summary reports its largest concentration of school-day-adjacent incidents in the 3:00 to 6:00 p.m. window. That summary is cited here because it is local and published. If your county does not publish one, omit the sentence rather than replacing it with a national figure.</w:t>
      </w:r>
    </w:p>
    <w:p>
      <w:pPr>
        <w:pStyle w:val="Heading2"/>
      </w:pPr>
      <w:r>
        <w:t>What already exists, and what does not</w:t>
      </w:r>
    </w:p>
    <w:p>
      <w:r>
        <w:rPr>
          <w:b w:val="0"/>
          <w:i w:val="0"/>
        </w:rPr>
        <w:t>Three programs operate in Cedar County during the after-school window. One is a fee-based enrichment academy 3.2 miles from Northline charging $120 a month with no transportation. One is a twice-weekly athletic league that runs for eight weeks in the fall and serves 30 students countywide. One is a county library homework help table staffed two afternoons a week with no attendance tracking and no meal. None runs daily, none provides a ride home, and none operates inside the Eastgate attendance zone.</w:t>
      </w:r>
    </w:p>
    <w:p>
      <w:r>
        <w:rPr>
          <w:b w:val="0"/>
          <w:i w:val="0"/>
        </w:rPr>
        <w:t>EYA's waitlist is the evidence a reviewer cannot argue with. Last year the program could seat 44 students at Northline and 41 families applied and were not seated. Thirty-one of those 41 families indicated on the application that no adult would be home before 5:00 p.m.</w:t>
      </w:r>
    </w:p>
    <w:p>
      <w:pPr>
        <w:pStyle w:val="Heading2"/>
      </w:pPr>
      <w:r>
        <w:t>Who the program serves and how participants are selected</w:t>
      </w:r>
    </w:p>
    <w:p>
      <w:r>
        <w:rPr>
          <w:b w:val="0"/>
          <w:i w:val="0"/>
        </w:rPr>
        <w:t>The program serves 60 students in grades 6 through 8 enrolled at Northline Middle School. Enrollment opens to all Northline families in August through the school's registration packet and the program's own open house. Where applications exceed 60, EYA seats participants in this order: students referred by a school counselor or the school's attendance team; students whose enrollment form indicates no adult at home before 5:00 p.m.; students returning from the prior year; and then remaining applicants by application date. Ten of the 60 slots are held until October 15 for counselor referrals made after the school year begins, because the students a counselor identifies in September are frequently not the students whose families applied in August.</w:t>
      </w:r>
    </w:p>
    <w:p>
      <w:r>
        <w:rPr>
          <w:b w:val="0"/>
          <w:i w:val="0"/>
        </w:rPr>
        <w:t>Saying nothing about selection invites a question, because the proposal has not told the reviewer which young people the program will actually reach. State the order, state who applies it, and state what happens to the families you cannot seat. EYA keeps the unseated list, contacts those families first when a slot opens, and reports the list size in every interim report.</w:t>
      </w:r>
    </w:p>
    <w:p>
      <w:pPr>
        <w:pStyle w:val="Heading2"/>
      </w:pPr>
      <w:r>
        <w:t>What happens without this program</w:t>
      </w:r>
    </w:p>
    <w:p>
      <w:r>
        <w:rPr>
          <w:b w:val="0"/>
          <w:i w:val="0"/>
        </w:rPr>
        <w:t>Without the program, 60 Northline students return to roughly 470 unsupervised hours a year. The specific losses are concrete rather than rhetorical: no supper on days a household is stretched, no adult reviewing homework before it is due, no ride home for the 12 participants who live beyond safe walking distance, and no adult who notices when a student's school-day attendance starts slipping in October rather than in February. EYA served 44 students last year and turned away 41. Those 41 are the population this request is for.</w:t>
      </w:r>
    </w:p>
    <w:p>
      <w:pPr>
        <w:pStyle w:val="Heading1"/>
      </w:pPr>
      <w:r>
        <w:t>3. Program Design</w:t>
      </w:r>
    </w:p>
    <w:p>
      <w:r>
        <w:rPr>
          <w:b w:val="0"/>
          <w:i w:val="0"/>
        </w:rPr>
        <w:t>The program design section is where a youth application is won or lost, and it is usually the thinnest part of a first draft. It has to give clock times, a ratio for every activity block rather than a program average, the screening every adult completes before contact with participants, how participants get home, what they eat, and what happens on the days school is closed. Write this section before the budget, because every ratio and every training named here becomes a budget line.</w:t>
      </w:r>
    </w:p>
    <w:p>
      <w:pPr>
        <w:pStyle w:val="Heading2"/>
      </w:pPr>
      <w:r>
        <w:t>The daily block schedule</w:t>
      </w:r>
    </w:p>
    <w:p>
      <w:r>
        <w:rPr>
          <w:b w:val="0"/>
          <w:i w:val="0"/>
        </w:rPr>
        <w:t>The program runs 2:40 to 6:00 p.m. on 165 school days, immediately following dismissal, in three classrooms, the cafeteria, and the gymnasium at Northline Middle School.</w:t>
      </w:r>
    </w:p>
    <w:tbl>
      <w:tblPr>
        <w:tblStyle w:val="LightGrid-Accent1"/>
        <w:tblW w:type="auto" w:w="0"/>
        <w:jc w:val="center"/>
        <w:tblLayout w:type="fixed"/>
        <w:tblLook w:firstColumn="1" w:firstRow="1" w:lastColumn="0" w:lastRow="0" w:noHBand="0" w:noVBand="1" w:val="04A0"/>
      </w:tblPr>
      <w:tblGrid>
        <w:gridCol w:w="1872"/>
        <w:gridCol w:w="1872"/>
        <w:gridCol w:w="1872"/>
        <w:gridCol w:w="1872"/>
        <w:gridCol w:w="1872"/>
      </w:tblGrid>
      <w:tr>
        <w:tc>
          <w:tcPr>
            <w:tcW w:type="dxa" w:w="1224"/>
          </w:tcPr>
          <w:p>
            <w:pPr>
              <w:spacing w:after="40" w:before="40"/>
            </w:pPr>
            <w:r/>
            <w:r>
              <w:rPr>
                <w:b/>
                <w:sz w:val="19"/>
              </w:rPr>
              <w:t>Time</w:t>
            </w:r>
          </w:p>
        </w:tc>
        <w:tc>
          <w:tcPr>
            <w:tcW w:type="dxa" w:w="1800"/>
          </w:tcPr>
          <w:p>
            <w:pPr>
              <w:spacing w:after="40" w:before="40"/>
            </w:pPr>
            <w:r/>
            <w:r>
              <w:rPr>
                <w:b/>
                <w:sz w:val="19"/>
              </w:rPr>
              <w:t>Block</w:t>
            </w:r>
          </w:p>
        </w:tc>
        <w:tc>
          <w:tcPr>
            <w:tcW w:type="dxa" w:w="3744"/>
          </w:tcPr>
          <w:p>
            <w:pPr>
              <w:spacing w:after="40" w:before="40"/>
            </w:pPr>
            <w:r/>
            <w:r>
              <w:rPr>
                <w:b/>
                <w:sz w:val="19"/>
              </w:rPr>
              <w:t>What happens</w:t>
            </w:r>
          </w:p>
        </w:tc>
        <w:tc>
          <w:tcPr>
            <w:tcW w:type="dxa" w:w="792"/>
          </w:tcPr>
          <w:p>
            <w:pPr>
              <w:spacing w:after="40" w:before="40"/>
            </w:pPr>
            <w:r/>
            <w:r>
              <w:rPr>
                <w:b/>
                <w:sz w:val="19"/>
              </w:rPr>
              <w:t>Adults</w:t>
            </w:r>
          </w:p>
        </w:tc>
        <w:tc>
          <w:tcPr>
            <w:tcW w:type="dxa" w:w="792"/>
          </w:tcPr>
          <w:p>
            <w:pPr>
              <w:spacing w:after="40" w:before="40"/>
            </w:pPr>
            <w:r/>
            <w:r>
              <w:rPr>
                <w:b/>
                <w:sz w:val="19"/>
              </w:rPr>
              <w:t>Ratio</w:t>
            </w:r>
          </w:p>
        </w:tc>
      </w:tr>
      <w:tr>
        <w:tc>
          <w:tcPr>
            <w:tcW w:type="dxa" w:w="1224"/>
          </w:tcPr>
          <w:p>
            <w:pPr>
              <w:spacing w:after="40" w:before="40"/>
            </w:pPr>
            <w:r/>
            <w:r>
              <w:rPr>
                <w:sz w:val="19"/>
              </w:rPr>
              <w:t>2:40 - 3:00</w:t>
            </w:r>
          </w:p>
        </w:tc>
        <w:tc>
          <w:tcPr>
            <w:tcW w:type="dxa" w:w="1800"/>
          </w:tcPr>
          <w:p>
            <w:pPr>
              <w:spacing w:after="40" w:before="40"/>
            </w:pPr>
            <w:r/>
            <w:r>
              <w:rPr>
                <w:sz w:val="19"/>
              </w:rPr>
              <w:t>Arrival and attendance check</w:t>
            </w:r>
          </w:p>
        </w:tc>
        <w:tc>
          <w:tcPr>
            <w:tcW w:type="dxa" w:w="3744"/>
          </w:tcPr>
          <w:p>
            <w:pPr>
              <w:spacing w:after="40" w:before="40"/>
            </w:pPr>
            <w:r/>
            <w:r>
              <w:rPr>
                <w:sz w:val="19"/>
              </w:rPr>
              <w:t>Sign-in at a single supervised door, backpack drop, absence follow-up call to any expected participant who does not appear</w:t>
            </w:r>
          </w:p>
        </w:tc>
        <w:tc>
          <w:tcPr>
            <w:tcW w:type="dxa" w:w="792"/>
          </w:tcPr>
          <w:p>
            <w:pPr>
              <w:spacing w:after="40" w:before="40"/>
            </w:pPr>
            <w:r/>
            <w:r>
              <w:rPr>
                <w:sz w:val="19"/>
              </w:rPr>
              <w:t>4</w:t>
            </w:r>
          </w:p>
        </w:tc>
        <w:tc>
          <w:tcPr>
            <w:tcW w:type="dxa" w:w="792"/>
          </w:tcPr>
          <w:p>
            <w:pPr>
              <w:spacing w:after="40" w:before="40"/>
            </w:pPr>
            <w:r/>
            <w:r>
              <w:rPr>
                <w:sz w:val="19"/>
              </w:rPr>
              <w:t>1:10</w:t>
            </w:r>
          </w:p>
        </w:tc>
      </w:tr>
      <w:tr>
        <w:tc>
          <w:tcPr>
            <w:tcW w:type="dxa" w:w="1224"/>
          </w:tcPr>
          <w:p>
            <w:pPr>
              <w:spacing w:after="40" w:before="40"/>
            </w:pPr>
            <w:r/>
            <w:r>
              <w:rPr>
                <w:sz w:val="19"/>
              </w:rPr>
              <w:t>3:00 - 3:20</w:t>
            </w:r>
          </w:p>
        </w:tc>
        <w:tc>
          <w:tcPr>
            <w:tcW w:type="dxa" w:w="1800"/>
          </w:tcPr>
          <w:p>
            <w:pPr>
              <w:spacing w:after="40" w:before="40"/>
            </w:pPr>
            <w:r/>
            <w:r>
              <w:rPr>
                <w:sz w:val="19"/>
              </w:rPr>
              <w:t>Supper</w:t>
            </w:r>
          </w:p>
        </w:tc>
        <w:tc>
          <w:tcPr>
            <w:tcW w:type="dxa" w:w="3744"/>
          </w:tcPr>
          <w:p>
            <w:pPr>
              <w:spacing w:after="40" w:before="40"/>
            </w:pPr>
            <w:r/>
            <w:r>
              <w:rPr>
                <w:sz w:val="19"/>
              </w:rPr>
              <w:t>Family-style supper served in the cafeteria, claimed under the At-Risk Afterschool Meals component of CACFP</w:t>
            </w:r>
          </w:p>
        </w:tc>
        <w:tc>
          <w:tcPr>
            <w:tcW w:type="dxa" w:w="792"/>
          </w:tcPr>
          <w:p>
            <w:pPr>
              <w:spacing w:after="40" w:before="40"/>
            </w:pPr>
            <w:r/>
            <w:r>
              <w:rPr>
                <w:sz w:val="19"/>
              </w:rPr>
              <w:t>4</w:t>
            </w:r>
          </w:p>
        </w:tc>
        <w:tc>
          <w:tcPr>
            <w:tcW w:type="dxa" w:w="792"/>
          </w:tcPr>
          <w:p>
            <w:pPr>
              <w:spacing w:after="40" w:before="40"/>
            </w:pPr>
            <w:r/>
            <w:r>
              <w:rPr>
                <w:sz w:val="19"/>
              </w:rPr>
              <w:t>1:10</w:t>
            </w:r>
          </w:p>
        </w:tc>
      </w:tr>
      <w:tr>
        <w:tc>
          <w:tcPr>
            <w:tcW w:type="dxa" w:w="1224"/>
          </w:tcPr>
          <w:p>
            <w:pPr>
              <w:spacing w:after="40" w:before="40"/>
            </w:pPr>
            <w:r/>
            <w:r>
              <w:rPr>
                <w:sz w:val="19"/>
              </w:rPr>
              <w:t>3:20 - 4:20</w:t>
            </w:r>
          </w:p>
        </w:tc>
        <w:tc>
          <w:tcPr>
            <w:tcW w:type="dxa" w:w="1800"/>
          </w:tcPr>
          <w:p>
            <w:pPr>
              <w:spacing w:after="40" w:before="40"/>
            </w:pPr>
            <w:r/>
            <w:r>
              <w:rPr>
                <w:sz w:val="19"/>
              </w:rPr>
              <w:t>Homework and academic support</w:t>
            </w:r>
          </w:p>
        </w:tc>
        <w:tc>
          <w:tcPr>
            <w:tcW w:type="dxa" w:w="3744"/>
          </w:tcPr>
          <w:p>
            <w:pPr>
              <w:spacing w:after="40" w:before="40"/>
            </w:pPr>
            <w:r/>
            <w:r>
              <w:rPr>
                <w:sz w:val="19"/>
              </w:rPr>
              <w:t>Three small groups by grade, each with one adult, plus a quiet room for independent work; two district-assigned certified teachers join two afternoons a week</w:t>
            </w:r>
          </w:p>
        </w:tc>
        <w:tc>
          <w:tcPr>
            <w:tcW w:type="dxa" w:w="792"/>
          </w:tcPr>
          <w:p>
            <w:pPr>
              <w:spacing w:after="40" w:before="40"/>
            </w:pPr>
            <w:r/>
            <w:r>
              <w:rPr>
                <w:sz w:val="19"/>
              </w:rPr>
              <w:t>4 to 6</w:t>
            </w:r>
          </w:p>
        </w:tc>
        <w:tc>
          <w:tcPr>
            <w:tcW w:type="dxa" w:w="792"/>
          </w:tcPr>
          <w:p>
            <w:pPr>
              <w:spacing w:after="40" w:before="40"/>
            </w:pPr>
            <w:r/>
            <w:r>
              <w:rPr>
                <w:sz w:val="19"/>
              </w:rPr>
              <w:t>1:10</w:t>
            </w:r>
          </w:p>
        </w:tc>
      </w:tr>
      <w:tr>
        <w:tc>
          <w:tcPr>
            <w:tcW w:type="dxa" w:w="1224"/>
          </w:tcPr>
          <w:p>
            <w:pPr>
              <w:spacing w:after="40" w:before="40"/>
            </w:pPr>
            <w:r/>
            <w:r>
              <w:rPr>
                <w:sz w:val="19"/>
              </w:rPr>
              <w:t>4:20 - 5:20</w:t>
            </w:r>
          </w:p>
        </w:tc>
        <w:tc>
          <w:tcPr>
            <w:tcW w:type="dxa" w:w="1800"/>
          </w:tcPr>
          <w:p>
            <w:pPr>
              <w:spacing w:after="40" w:before="40"/>
            </w:pPr>
            <w:r/>
            <w:r>
              <w:rPr>
                <w:sz w:val="19"/>
              </w:rPr>
              <w:t>Enrichment rotation</w:t>
            </w:r>
          </w:p>
        </w:tc>
        <w:tc>
          <w:tcPr>
            <w:tcW w:type="dxa" w:w="3744"/>
          </w:tcPr>
          <w:p>
            <w:pPr>
              <w:spacing w:after="40" w:before="40"/>
            </w:pPr>
            <w:r/>
            <w:r>
              <w:rPr>
                <w:sz w:val="19"/>
              </w:rPr>
              <w:t>Four-week rotations in STEM, visual and performing arts, and physical activity; contracted instructors lead two afternoons a week</w:t>
            </w:r>
          </w:p>
        </w:tc>
        <w:tc>
          <w:tcPr>
            <w:tcW w:type="dxa" w:w="792"/>
          </w:tcPr>
          <w:p>
            <w:pPr>
              <w:spacing w:after="40" w:before="40"/>
            </w:pPr>
            <w:r/>
            <w:r>
              <w:rPr>
                <w:sz w:val="19"/>
              </w:rPr>
              <w:t>4</w:t>
            </w:r>
          </w:p>
        </w:tc>
        <w:tc>
          <w:tcPr>
            <w:tcW w:type="dxa" w:w="792"/>
          </w:tcPr>
          <w:p>
            <w:pPr>
              <w:spacing w:after="40" w:before="40"/>
            </w:pPr>
            <w:r/>
            <w:r>
              <w:rPr>
                <w:sz w:val="19"/>
              </w:rPr>
              <w:t>1:12</w:t>
            </w:r>
          </w:p>
        </w:tc>
      </w:tr>
      <w:tr>
        <w:tc>
          <w:tcPr>
            <w:tcW w:type="dxa" w:w="1224"/>
          </w:tcPr>
          <w:p>
            <w:pPr>
              <w:spacing w:after="40" w:before="40"/>
            </w:pPr>
            <w:r/>
            <w:r>
              <w:rPr>
                <w:sz w:val="19"/>
              </w:rPr>
              <w:t>5:20 - 5:35</w:t>
            </w:r>
          </w:p>
        </w:tc>
        <w:tc>
          <w:tcPr>
            <w:tcW w:type="dxa" w:w="1800"/>
          </w:tcPr>
          <w:p>
            <w:pPr>
              <w:spacing w:after="40" w:before="40"/>
            </w:pPr>
            <w:r/>
            <w:r>
              <w:rPr>
                <w:sz w:val="19"/>
              </w:rPr>
              <w:t>Closing circle</w:t>
            </w:r>
          </w:p>
        </w:tc>
        <w:tc>
          <w:tcPr>
            <w:tcW w:type="dxa" w:w="3744"/>
          </w:tcPr>
          <w:p>
            <w:pPr>
              <w:spacing w:after="40" w:before="40"/>
            </w:pPr>
            <w:r/>
            <w:r>
              <w:rPr>
                <w:sz w:val="19"/>
              </w:rPr>
              <w:t>Group check-in, next-day preview, clean-up assignments led by teen leaders</w:t>
            </w:r>
          </w:p>
        </w:tc>
        <w:tc>
          <w:tcPr>
            <w:tcW w:type="dxa" w:w="792"/>
          </w:tcPr>
          <w:p>
            <w:pPr>
              <w:spacing w:after="40" w:before="40"/>
            </w:pPr>
            <w:r/>
            <w:r>
              <w:rPr>
                <w:sz w:val="19"/>
              </w:rPr>
              <w:t>4</w:t>
            </w:r>
          </w:p>
        </w:tc>
        <w:tc>
          <w:tcPr>
            <w:tcW w:type="dxa" w:w="792"/>
          </w:tcPr>
          <w:p>
            <w:pPr>
              <w:spacing w:after="40" w:before="40"/>
            </w:pPr>
            <w:r/>
            <w:r>
              <w:rPr>
                <w:sz w:val="19"/>
              </w:rPr>
              <w:t>1:12</w:t>
            </w:r>
          </w:p>
        </w:tc>
      </w:tr>
      <w:tr>
        <w:tc>
          <w:tcPr>
            <w:tcW w:type="dxa" w:w="1224"/>
          </w:tcPr>
          <w:p>
            <w:pPr>
              <w:spacing w:after="40" w:before="40"/>
            </w:pPr>
            <w:r/>
            <w:r>
              <w:rPr>
                <w:sz w:val="19"/>
              </w:rPr>
              <w:t>5:35 - 6:00</w:t>
            </w:r>
          </w:p>
        </w:tc>
        <w:tc>
          <w:tcPr>
            <w:tcW w:type="dxa" w:w="1800"/>
          </w:tcPr>
          <w:p>
            <w:pPr>
              <w:spacing w:after="40" w:before="40"/>
            </w:pPr>
            <w:r/>
            <w:r>
              <w:rPr>
                <w:sz w:val="19"/>
              </w:rPr>
              <w:t>Dismissal</w:t>
            </w:r>
          </w:p>
        </w:tc>
        <w:tc>
          <w:tcPr>
            <w:tcW w:type="dxa" w:w="3744"/>
          </w:tcPr>
          <w:p>
            <w:pPr>
              <w:spacing w:after="40" w:before="40"/>
            </w:pPr>
            <w:r/>
            <w:r>
              <w:rPr>
                <w:sz w:val="19"/>
              </w:rPr>
              <w:t>Walker release, caregiver pickup against the authorized list, and one van route with two adults aboard</w:t>
            </w:r>
          </w:p>
        </w:tc>
        <w:tc>
          <w:tcPr>
            <w:tcW w:type="dxa" w:w="792"/>
          </w:tcPr>
          <w:p>
            <w:pPr>
              <w:spacing w:after="40" w:before="40"/>
            </w:pPr>
            <w:r/>
            <w:r>
              <w:rPr>
                <w:sz w:val="19"/>
              </w:rPr>
              <w:t>4</w:t>
            </w:r>
          </w:p>
        </w:tc>
        <w:tc>
          <w:tcPr>
            <w:tcW w:type="dxa" w:w="792"/>
          </w:tcPr>
          <w:p>
            <w:pPr>
              <w:spacing w:after="40" w:before="40"/>
            </w:pPr>
            <w:r/>
            <w:r>
              <w:rPr>
                <w:sz w:val="19"/>
              </w:rPr>
              <w:t>1:10</w:t>
            </w:r>
          </w:p>
        </w:tc>
      </w:tr>
    </w:tbl>
    <w:p>
      <w:pPr>
        <w:spacing w:after="0"/>
      </w:pPr>
    </w:p>
    <w:p>
      <w:pPr>
        <w:spacing w:after="200"/>
      </w:pPr>
      <w:r>
        <w:rPr>
          <w:i/>
          <w:color w:val="5A5A5A"/>
          <w:sz w:val="18"/>
        </w:rPr>
        <w:t>Ratio requirements differ by state, by activity type, and by whether your site is licensed or license-exempt. Replace the ratio column with your own state's rule and cite it: [Your state's licensing rule]. Where your rule is looser than the ratios above, state the ratio you will actually staff to, because that is the number the reviewer will hold you to.</w:t>
      </w:r>
    </w:p>
    <w:p>
      <w:r>
        <w:rPr>
          <w:b w:val="0"/>
          <w:i w:val="0"/>
        </w:rPr>
        <w:t>The physical activity rotation is the block where a program average hides a problem. A program that reports one adult to ten as an average can be running one adult to twenty-two in the gym, and a reviewer who has scored youth applications before will look for that. EYA caps the gym group at 24 participants with two adults present, which holds the ratio at one to twelve in the loudest and least contained block of the afternoon. The remaining participants are in the STEM or arts rotation with the other two adults.</w:t>
      </w:r>
    </w:p>
    <w:p>
      <w:pPr>
        <w:pStyle w:val="Heading2"/>
      </w:pPr>
      <w:r>
        <w:t>Staffing plan</w:t>
      </w:r>
    </w:p>
    <w:tbl>
      <w:tblPr>
        <w:tblStyle w:val="LightGrid-Accent1"/>
        <w:tblW w:type="auto" w:w="0"/>
        <w:jc w:val="center"/>
        <w:tblLayout w:type="fixed"/>
        <w:tblLook w:firstColumn="1" w:firstRow="1" w:lastColumn="0" w:lastRow="0" w:noHBand="0" w:noVBand="1" w:val="04A0"/>
      </w:tblPr>
      <w:tblGrid>
        <w:gridCol w:w="2340"/>
        <w:gridCol w:w="2340"/>
        <w:gridCol w:w="2340"/>
        <w:gridCol w:w="2340"/>
      </w:tblGrid>
      <w:tr>
        <w:tc>
          <w:tcPr>
            <w:tcW w:type="dxa" w:w="2736"/>
          </w:tcPr>
          <w:p>
            <w:pPr>
              <w:spacing w:after="40" w:before="40"/>
            </w:pPr>
            <w:r/>
            <w:r>
              <w:rPr>
                <w:b/>
                <w:sz w:val="19"/>
              </w:rPr>
              <w:t>Role</w:t>
            </w:r>
          </w:p>
        </w:tc>
        <w:tc>
          <w:tcPr>
            <w:tcW w:type="dxa" w:w="864"/>
          </w:tcPr>
          <w:p>
            <w:pPr>
              <w:spacing w:after="40" w:before="40"/>
            </w:pPr>
            <w:r/>
            <w:r>
              <w:rPr>
                <w:b/>
                <w:sz w:val="19"/>
              </w:rPr>
              <w:t>Count</w:t>
            </w:r>
          </w:p>
        </w:tc>
        <w:tc>
          <w:tcPr>
            <w:tcW w:type="dxa" w:w="3600"/>
          </w:tcPr>
          <w:p>
            <w:pPr>
              <w:spacing w:after="40" w:before="40"/>
            </w:pPr>
            <w:r/>
            <w:r>
              <w:rPr>
                <w:b/>
                <w:sz w:val="19"/>
              </w:rPr>
              <w:t>Schedule</w:t>
            </w:r>
          </w:p>
        </w:tc>
        <w:tc>
          <w:tcPr>
            <w:tcW w:type="dxa" w:w="2160"/>
          </w:tcPr>
          <w:p>
            <w:pPr>
              <w:spacing w:after="40" w:before="40"/>
            </w:pPr>
            <w:r/>
            <w:r>
              <w:rPr>
                <w:b/>
                <w:sz w:val="19"/>
              </w:rPr>
              <w:t>Funded by</w:t>
            </w:r>
          </w:p>
        </w:tc>
      </w:tr>
      <w:tr>
        <w:tc>
          <w:tcPr>
            <w:tcW w:type="dxa" w:w="2736"/>
          </w:tcPr>
          <w:p>
            <w:pPr>
              <w:spacing w:after="40" w:before="40"/>
            </w:pPr>
            <w:r/>
            <w:r>
              <w:rPr>
                <w:sz w:val="19"/>
              </w:rPr>
              <w:t>Site coordinator</w:t>
            </w:r>
          </w:p>
        </w:tc>
        <w:tc>
          <w:tcPr>
            <w:tcW w:type="dxa" w:w="864"/>
          </w:tcPr>
          <w:p>
            <w:pPr>
              <w:spacing w:after="40" w:before="40"/>
            </w:pPr>
            <w:r/>
            <w:r>
              <w:rPr>
                <w:sz w:val="19"/>
              </w:rPr>
              <w:t>1</w:t>
            </w:r>
          </w:p>
        </w:tc>
        <w:tc>
          <w:tcPr>
            <w:tcW w:type="dxa" w:w="3600"/>
          </w:tcPr>
          <w:p>
            <w:pPr>
              <w:spacing w:after="40" w:before="40"/>
            </w:pPr>
            <w:r/>
            <w:r>
              <w:rPr>
                <w:sz w:val="19"/>
              </w:rPr>
              <w:t>1.0 FTE, on site every program day, plus planning and family contact hours</w:t>
            </w:r>
          </w:p>
        </w:tc>
        <w:tc>
          <w:tcPr>
            <w:tcW w:type="dxa" w:w="2160"/>
          </w:tcPr>
          <w:p>
            <w:pPr>
              <w:spacing w:after="40" w:before="40"/>
            </w:pPr>
            <w:r/>
            <w:r>
              <w:rPr>
                <w:sz w:val="19"/>
              </w:rPr>
              <w:t>This request</w:t>
            </w:r>
          </w:p>
        </w:tc>
      </w:tr>
      <w:tr>
        <w:tc>
          <w:tcPr>
            <w:tcW w:type="dxa" w:w="2736"/>
          </w:tcPr>
          <w:p>
            <w:pPr>
              <w:spacing w:after="40" w:before="40"/>
            </w:pPr>
            <w:r/>
            <w:r>
              <w:rPr>
                <w:sz w:val="19"/>
              </w:rPr>
              <w:t>Youth development staff</w:t>
            </w:r>
          </w:p>
        </w:tc>
        <w:tc>
          <w:tcPr>
            <w:tcW w:type="dxa" w:w="864"/>
          </w:tcPr>
          <w:p>
            <w:pPr>
              <w:spacing w:after="40" w:before="40"/>
            </w:pPr>
            <w:r/>
            <w:r>
              <w:rPr>
                <w:sz w:val="19"/>
              </w:rPr>
              <w:t>3</w:t>
            </w:r>
          </w:p>
        </w:tc>
        <w:tc>
          <w:tcPr>
            <w:tcW w:type="dxa" w:w="3600"/>
          </w:tcPr>
          <w:p>
            <w:pPr>
              <w:spacing w:after="40" w:before="40"/>
            </w:pPr>
            <w:r/>
            <w:r>
              <w:rPr>
                <w:sz w:val="19"/>
              </w:rPr>
              <w:t>2.5 hours per program day, 450 hours each across the year including training</w:t>
            </w:r>
          </w:p>
        </w:tc>
        <w:tc>
          <w:tcPr>
            <w:tcW w:type="dxa" w:w="2160"/>
          </w:tcPr>
          <w:p>
            <w:pPr>
              <w:spacing w:after="40" w:before="40"/>
            </w:pPr>
            <w:r/>
            <w:r>
              <w:rPr>
                <w:sz w:val="19"/>
              </w:rPr>
              <w:t>This request</w:t>
            </w:r>
          </w:p>
        </w:tc>
      </w:tr>
      <w:tr>
        <w:tc>
          <w:tcPr>
            <w:tcW w:type="dxa" w:w="2736"/>
          </w:tcPr>
          <w:p>
            <w:pPr>
              <w:spacing w:after="40" w:before="40"/>
            </w:pPr>
            <w:r/>
            <w:r>
              <w:rPr>
                <w:sz w:val="19"/>
              </w:rPr>
              <w:t>Van driver</w:t>
            </w:r>
          </w:p>
        </w:tc>
        <w:tc>
          <w:tcPr>
            <w:tcW w:type="dxa" w:w="864"/>
          </w:tcPr>
          <w:p>
            <w:pPr>
              <w:spacing w:after="40" w:before="40"/>
            </w:pPr>
            <w:r/>
            <w:r>
              <w:rPr>
                <w:sz w:val="19"/>
              </w:rPr>
              <w:t>1</w:t>
            </w:r>
          </w:p>
        </w:tc>
        <w:tc>
          <w:tcPr>
            <w:tcW w:type="dxa" w:w="3600"/>
          </w:tcPr>
          <w:p>
            <w:pPr>
              <w:spacing w:after="40" w:before="40"/>
            </w:pPr>
            <w:r/>
            <w:r>
              <w:rPr>
                <w:sz w:val="19"/>
              </w:rPr>
              <w:t>1 hour per program day plus route training</w:t>
            </w:r>
          </w:p>
        </w:tc>
        <w:tc>
          <w:tcPr>
            <w:tcW w:type="dxa" w:w="2160"/>
          </w:tcPr>
          <w:p>
            <w:pPr>
              <w:spacing w:after="40" w:before="40"/>
            </w:pPr>
            <w:r/>
            <w:r>
              <w:rPr>
                <w:sz w:val="19"/>
              </w:rPr>
              <w:t>This request</w:t>
            </w:r>
          </w:p>
        </w:tc>
      </w:tr>
      <w:tr>
        <w:tc>
          <w:tcPr>
            <w:tcW w:type="dxa" w:w="2736"/>
          </w:tcPr>
          <w:p>
            <w:pPr>
              <w:spacing w:after="40" w:before="40"/>
            </w:pPr>
            <w:r/>
            <w:r>
              <w:rPr>
                <w:sz w:val="19"/>
              </w:rPr>
              <w:t>Contracted teaching artists and coaches</w:t>
            </w:r>
          </w:p>
        </w:tc>
        <w:tc>
          <w:tcPr>
            <w:tcW w:type="dxa" w:w="864"/>
          </w:tcPr>
          <w:p>
            <w:pPr>
              <w:spacing w:after="40" w:before="40"/>
            </w:pPr>
            <w:r/>
            <w:r>
              <w:rPr>
                <w:sz w:val="19"/>
              </w:rPr>
              <w:t>2</w:t>
            </w:r>
          </w:p>
        </w:tc>
        <w:tc>
          <w:tcPr>
            <w:tcW w:type="dxa" w:w="3600"/>
          </w:tcPr>
          <w:p>
            <w:pPr>
              <w:spacing w:after="40" w:before="40"/>
            </w:pPr>
            <w:r/>
            <w:r>
              <w:rPr>
                <w:sz w:val="19"/>
              </w:rPr>
              <w:t>30 two-hour sessions each, two afternoons a week</w:t>
            </w:r>
          </w:p>
        </w:tc>
        <w:tc>
          <w:tcPr>
            <w:tcW w:type="dxa" w:w="2160"/>
          </w:tcPr>
          <w:p>
            <w:pPr>
              <w:spacing w:after="40" w:before="40"/>
            </w:pPr>
            <w:r/>
            <w:r>
              <w:rPr>
                <w:sz w:val="19"/>
              </w:rPr>
              <w:t>This request</w:t>
            </w:r>
          </w:p>
        </w:tc>
      </w:tr>
      <w:tr>
        <w:tc>
          <w:tcPr>
            <w:tcW w:type="dxa" w:w="2736"/>
          </w:tcPr>
          <w:p>
            <w:pPr>
              <w:spacing w:after="40" w:before="40"/>
            </w:pPr>
            <w:r/>
            <w:r>
              <w:rPr>
                <w:sz w:val="19"/>
              </w:rPr>
              <w:t>District-assigned certified teachers</w:t>
            </w:r>
          </w:p>
        </w:tc>
        <w:tc>
          <w:tcPr>
            <w:tcW w:type="dxa" w:w="864"/>
          </w:tcPr>
          <w:p>
            <w:pPr>
              <w:spacing w:after="40" w:before="40"/>
            </w:pPr>
            <w:r/>
            <w:r>
              <w:rPr>
                <w:sz w:val="19"/>
              </w:rPr>
              <w:t>2</w:t>
            </w:r>
          </w:p>
        </w:tc>
        <w:tc>
          <w:tcPr>
            <w:tcW w:type="dxa" w:w="3600"/>
          </w:tcPr>
          <w:p>
            <w:pPr>
              <w:spacing w:after="40" w:before="40"/>
            </w:pPr>
            <w:r/>
            <w:r>
              <w:rPr>
                <w:sz w:val="19"/>
              </w:rPr>
              <w:t>Two afternoons a week during academic support</w:t>
            </w:r>
          </w:p>
        </w:tc>
        <w:tc>
          <w:tcPr>
            <w:tcW w:type="dxa" w:w="2160"/>
          </w:tcPr>
          <w:p>
            <w:pPr>
              <w:spacing w:after="40" w:before="40"/>
            </w:pPr>
            <w:r/>
            <w:r>
              <w:rPr>
                <w:sz w:val="19"/>
              </w:rPr>
              <w:t>District in-kind</w:t>
            </w:r>
          </w:p>
        </w:tc>
      </w:tr>
      <w:tr>
        <w:tc>
          <w:tcPr>
            <w:tcW w:type="dxa" w:w="2736"/>
          </w:tcPr>
          <w:p>
            <w:pPr>
              <w:spacing w:after="40" w:before="40"/>
            </w:pPr>
            <w:r/>
            <w:r>
              <w:rPr>
                <w:sz w:val="19"/>
              </w:rPr>
              <w:t>Screened volunteers</w:t>
            </w:r>
          </w:p>
        </w:tc>
        <w:tc>
          <w:tcPr>
            <w:tcW w:type="dxa" w:w="864"/>
          </w:tcPr>
          <w:p>
            <w:pPr>
              <w:spacing w:after="40" w:before="40"/>
            </w:pPr>
            <w:r/>
            <w:r>
              <w:rPr>
                <w:sz w:val="19"/>
              </w:rPr>
              <w:t>5</w:t>
            </w:r>
          </w:p>
        </w:tc>
        <w:tc>
          <w:tcPr>
            <w:tcW w:type="dxa" w:w="3600"/>
          </w:tcPr>
          <w:p>
            <w:pPr>
              <w:spacing w:after="40" w:before="40"/>
            </w:pPr>
            <w:r/>
            <w:r>
              <w:rPr>
                <w:sz w:val="19"/>
              </w:rPr>
              <w:t>Rotating, at least one per afternoon, never counted toward a required ratio</w:t>
            </w:r>
          </w:p>
        </w:tc>
        <w:tc>
          <w:tcPr>
            <w:tcW w:type="dxa" w:w="2160"/>
          </w:tcPr>
          <w:p>
            <w:pPr>
              <w:spacing w:after="40" w:before="40"/>
            </w:pPr>
            <w:r/>
            <w:r>
              <w:rPr>
                <w:sz w:val="19"/>
              </w:rPr>
              <w:t>In-kind</w:t>
            </w:r>
          </w:p>
        </w:tc>
      </w:tr>
      <w:tr>
        <w:tc>
          <w:tcPr>
            <w:tcW w:type="dxa" w:w="2736"/>
          </w:tcPr>
          <w:p>
            <w:pPr>
              <w:spacing w:after="40" w:before="40"/>
            </w:pPr>
            <w:r/>
            <w:r>
              <w:rPr>
                <w:sz w:val="19"/>
              </w:rPr>
              <w:t>Teen leaders</w:t>
            </w:r>
          </w:p>
        </w:tc>
        <w:tc>
          <w:tcPr>
            <w:tcW w:type="dxa" w:w="864"/>
          </w:tcPr>
          <w:p>
            <w:pPr>
              <w:spacing w:after="40" w:before="40"/>
            </w:pPr>
            <w:r/>
            <w:r>
              <w:rPr>
                <w:sz w:val="19"/>
              </w:rPr>
              <w:t>8</w:t>
            </w:r>
          </w:p>
        </w:tc>
        <w:tc>
          <w:tcPr>
            <w:tcW w:type="dxa" w:w="3600"/>
          </w:tcPr>
          <w:p>
            <w:pPr>
              <w:spacing w:after="40" w:before="40"/>
            </w:pPr>
            <w:r/>
            <w:r>
              <w:rPr>
                <w:sz w:val="19"/>
              </w:rPr>
              <w:t>Closing circle, arrival greeting, and rotation set-up, 30 hours per semester each</w:t>
            </w:r>
          </w:p>
        </w:tc>
        <w:tc>
          <w:tcPr>
            <w:tcW w:type="dxa" w:w="2160"/>
          </w:tcPr>
          <w:p>
            <w:pPr>
              <w:spacing w:after="40" w:before="40"/>
            </w:pPr>
            <w:r/>
            <w:r>
              <w:rPr>
                <w:sz w:val="19"/>
              </w:rPr>
              <w:t>Stipends in this request</w:t>
            </w:r>
          </w:p>
        </w:tc>
      </w:tr>
    </w:tbl>
    <w:p>
      <w:pPr>
        <w:spacing w:after="0"/>
      </w:pPr>
    </w:p>
    <w:p>
      <w:r>
        <w:rPr>
          <w:b w:val="0"/>
          <w:i w:val="0"/>
        </w:rPr>
        <w:t>Fourteen adults have participant contact across the year: the site coordinator, three youth development staff, the driver, two contracted instructors, two district-assigned teachers, and five volunteers. All fourteen complete the screening below, which is why the budget carries 14 clearances rather than four. Volunteers are never counted toward a required ratio and are never alone with a participant, so a volunteer no-show does not put the program out of compliance.</w:t>
      </w:r>
    </w:p>
    <w:p>
      <w:pPr>
        <w:pStyle w:val="Heading2"/>
      </w:pPr>
      <w:r>
        <w:t>Adult screening, clearance, and training</w:t>
      </w:r>
    </w:p>
    <w:p>
      <w:r>
        <w:rPr>
          <w:b w:val="0"/>
          <w:i w:val="0"/>
        </w:rPr>
        <w:t>No adult has unsupervised contact with a participant before the checks below clear. The site coordinator maintains the clearance log, reviews it on the first business day of each month, and holds an adult out of the room when a clearance lapses. Expiration tracking is the part that fails in practice, so it has a named owner and a date.</w:t>
      </w:r>
    </w:p>
    <w:tbl>
      <w:tblPr>
        <w:tblStyle w:val="LightGrid-Accent1"/>
        <w:tblW w:type="auto" w:w="0"/>
        <w:jc w:val="center"/>
        <w:tblLayout w:type="fixed"/>
        <w:tblLook w:firstColumn="1" w:firstRow="1" w:lastColumn="0" w:lastRow="0" w:noHBand="0" w:noVBand="1" w:val="04A0"/>
      </w:tblPr>
      <w:tblGrid>
        <w:gridCol w:w="1872"/>
        <w:gridCol w:w="1872"/>
        <w:gridCol w:w="1872"/>
        <w:gridCol w:w="1872"/>
        <w:gridCol w:w="1872"/>
      </w:tblGrid>
      <w:tr>
        <w:tc>
          <w:tcPr>
            <w:tcW w:type="dxa" w:w="2448"/>
          </w:tcPr>
          <w:p>
            <w:pPr>
              <w:spacing w:after="40" w:before="40"/>
            </w:pPr>
            <w:r/>
            <w:r>
              <w:rPr>
                <w:b/>
                <w:sz w:val="19"/>
              </w:rPr>
              <w:t>Requirement</w:t>
            </w:r>
          </w:p>
        </w:tc>
        <w:tc>
          <w:tcPr>
            <w:tcW w:type="dxa" w:w="2160"/>
          </w:tcPr>
          <w:p>
            <w:pPr>
              <w:spacing w:after="40" w:before="40"/>
            </w:pPr>
            <w:r/>
            <w:r>
              <w:rPr>
                <w:b/>
                <w:sz w:val="19"/>
              </w:rPr>
              <w:t>Who completes it</w:t>
            </w:r>
          </w:p>
        </w:tc>
        <w:tc>
          <w:tcPr>
            <w:tcW w:type="dxa" w:w="2016"/>
          </w:tcPr>
          <w:p>
            <w:pPr>
              <w:spacing w:after="40" w:before="40"/>
            </w:pPr>
            <w:r/>
            <w:r>
              <w:rPr>
                <w:b/>
                <w:sz w:val="19"/>
              </w:rPr>
              <w:t>When</w:t>
            </w:r>
          </w:p>
        </w:tc>
        <w:tc>
          <w:tcPr>
            <w:tcW w:type="dxa" w:w="1224"/>
          </w:tcPr>
          <w:p>
            <w:pPr>
              <w:spacing w:after="40" w:before="40"/>
            </w:pPr>
            <w:r/>
            <w:r>
              <w:rPr>
                <w:b/>
                <w:sz w:val="19"/>
              </w:rPr>
              <w:t>Renewal</w:t>
            </w:r>
          </w:p>
        </w:tc>
        <w:tc>
          <w:tcPr>
            <w:tcW w:type="dxa" w:w="1512"/>
          </w:tcPr>
          <w:p>
            <w:pPr>
              <w:spacing w:after="40" w:before="40"/>
            </w:pPr>
            <w:r/>
            <w:r>
              <w:rPr>
                <w:b/>
                <w:sz w:val="19"/>
              </w:rPr>
              <w:t>Tracked by</w:t>
            </w:r>
          </w:p>
        </w:tc>
      </w:tr>
      <w:tr>
        <w:tc>
          <w:tcPr>
            <w:tcW w:type="dxa" w:w="2448"/>
          </w:tcPr>
          <w:p>
            <w:pPr>
              <w:spacing w:after="40" w:before="40"/>
            </w:pPr>
            <w:r/>
            <w:r>
              <w:rPr>
                <w:sz w:val="19"/>
              </w:rPr>
              <w:t>State criminal history check</w:t>
            </w:r>
          </w:p>
        </w:tc>
        <w:tc>
          <w:tcPr>
            <w:tcW w:type="dxa" w:w="2160"/>
          </w:tcPr>
          <w:p>
            <w:pPr>
              <w:spacing w:after="40" w:before="40"/>
            </w:pPr>
            <w:r/>
            <w:r>
              <w:rPr>
                <w:sz w:val="19"/>
              </w:rPr>
              <w:t>Every adult with participant contact</w:t>
            </w:r>
          </w:p>
        </w:tc>
        <w:tc>
          <w:tcPr>
            <w:tcW w:type="dxa" w:w="2016"/>
          </w:tcPr>
          <w:p>
            <w:pPr>
              <w:spacing w:after="40" w:before="40"/>
            </w:pPr>
            <w:r/>
            <w:r>
              <w:rPr>
                <w:sz w:val="19"/>
              </w:rPr>
              <w:t>Before first unsupervised contact</w:t>
            </w:r>
          </w:p>
        </w:tc>
        <w:tc>
          <w:tcPr>
            <w:tcW w:type="dxa" w:w="1224"/>
          </w:tcPr>
          <w:p>
            <w:pPr>
              <w:spacing w:after="40" w:before="40"/>
            </w:pPr>
            <w:r/>
            <w:r>
              <w:rPr>
                <w:sz w:val="19"/>
              </w:rPr>
              <w:t>Per state schedule</w:t>
            </w:r>
          </w:p>
        </w:tc>
        <w:tc>
          <w:tcPr>
            <w:tcW w:type="dxa" w:w="1512"/>
          </w:tcPr>
          <w:p>
            <w:pPr>
              <w:spacing w:after="40" w:before="40"/>
            </w:pPr>
            <w:r/>
            <w:r>
              <w:rPr>
                <w:sz w:val="19"/>
              </w:rPr>
              <w:t>Site coordinator, clearance log</w:t>
            </w:r>
          </w:p>
        </w:tc>
      </w:tr>
      <w:tr>
        <w:tc>
          <w:tcPr>
            <w:tcW w:type="dxa" w:w="2448"/>
          </w:tcPr>
          <w:p>
            <w:pPr>
              <w:spacing w:after="40" w:before="40"/>
            </w:pPr>
            <w:r/>
            <w:r>
              <w:rPr>
                <w:sz w:val="19"/>
              </w:rPr>
              <w:t>Fingerprint-based national check</w:t>
            </w:r>
          </w:p>
        </w:tc>
        <w:tc>
          <w:tcPr>
            <w:tcW w:type="dxa" w:w="2160"/>
          </w:tcPr>
          <w:p>
            <w:pPr>
              <w:spacing w:after="40" w:before="40"/>
            </w:pPr>
            <w:r/>
            <w:r>
              <w:rPr>
                <w:sz w:val="19"/>
              </w:rPr>
              <w:t>Every adult with participant contact</w:t>
            </w:r>
          </w:p>
        </w:tc>
        <w:tc>
          <w:tcPr>
            <w:tcW w:type="dxa" w:w="2016"/>
          </w:tcPr>
          <w:p>
            <w:pPr>
              <w:spacing w:after="40" w:before="40"/>
            </w:pPr>
            <w:r/>
            <w:r>
              <w:rPr>
                <w:sz w:val="19"/>
              </w:rPr>
              <w:t>Before first unsupervised contact</w:t>
            </w:r>
          </w:p>
        </w:tc>
        <w:tc>
          <w:tcPr>
            <w:tcW w:type="dxa" w:w="1224"/>
          </w:tcPr>
          <w:p>
            <w:pPr>
              <w:spacing w:after="40" w:before="40"/>
            </w:pPr>
            <w:r/>
            <w:r>
              <w:rPr>
                <w:sz w:val="19"/>
              </w:rPr>
              <w:t>Per state schedule</w:t>
            </w:r>
          </w:p>
        </w:tc>
        <w:tc>
          <w:tcPr>
            <w:tcW w:type="dxa" w:w="1512"/>
          </w:tcPr>
          <w:p>
            <w:pPr>
              <w:spacing w:after="40" w:before="40"/>
            </w:pPr>
            <w:r/>
            <w:r>
              <w:rPr>
                <w:sz w:val="19"/>
              </w:rPr>
              <w:t>Site coordinator, clearance log</w:t>
            </w:r>
          </w:p>
        </w:tc>
      </w:tr>
      <w:tr>
        <w:tc>
          <w:tcPr>
            <w:tcW w:type="dxa" w:w="2448"/>
          </w:tcPr>
          <w:p>
            <w:pPr>
              <w:spacing w:after="40" w:before="40"/>
            </w:pPr>
            <w:r/>
            <w:r>
              <w:rPr>
                <w:sz w:val="19"/>
              </w:rPr>
              <w:t>Child abuse and neglect registry check</w:t>
            </w:r>
          </w:p>
        </w:tc>
        <w:tc>
          <w:tcPr>
            <w:tcW w:type="dxa" w:w="2160"/>
          </w:tcPr>
          <w:p>
            <w:pPr>
              <w:spacing w:after="40" w:before="40"/>
            </w:pPr>
            <w:r/>
            <w:r>
              <w:rPr>
                <w:sz w:val="19"/>
              </w:rPr>
              <w:t>Every adult with participant contact</w:t>
            </w:r>
          </w:p>
        </w:tc>
        <w:tc>
          <w:tcPr>
            <w:tcW w:type="dxa" w:w="2016"/>
          </w:tcPr>
          <w:p>
            <w:pPr>
              <w:spacing w:after="40" w:before="40"/>
            </w:pPr>
            <w:r/>
            <w:r>
              <w:rPr>
                <w:sz w:val="19"/>
              </w:rPr>
              <w:t>Before first unsupervised contact</w:t>
            </w:r>
          </w:p>
        </w:tc>
        <w:tc>
          <w:tcPr>
            <w:tcW w:type="dxa" w:w="1224"/>
          </w:tcPr>
          <w:p>
            <w:pPr>
              <w:spacing w:after="40" w:before="40"/>
            </w:pPr>
            <w:r/>
            <w:r>
              <w:rPr>
                <w:sz w:val="19"/>
              </w:rPr>
              <w:t>Per state schedule</w:t>
            </w:r>
          </w:p>
        </w:tc>
        <w:tc>
          <w:tcPr>
            <w:tcW w:type="dxa" w:w="1512"/>
          </w:tcPr>
          <w:p>
            <w:pPr>
              <w:spacing w:after="40" w:before="40"/>
            </w:pPr>
            <w:r/>
            <w:r>
              <w:rPr>
                <w:sz w:val="19"/>
              </w:rPr>
              <w:t>Site coordinator, clearance log</w:t>
            </w:r>
          </w:p>
        </w:tc>
      </w:tr>
      <w:tr>
        <w:tc>
          <w:tcPr>
            <w:tcW w:type="dxa" w:w="2448"/>
          </w:tcPr>
          <w:p>
            <w:pPr>
              <w:spacing w:after="40" w:before="40"/>
            </w:pPr>
            <w:r/>
            <w:r>
              <w:rPr>
                <w:sz w:val="19"/>
              </w:rPr>
              <w:t>Three reference checks</w:t>
            </w:r>
          </w:p>
        </w:tc>
        <w:tc>
          <w:tcPr>
            <w:tcW w:type="dxa" w:w="2160"/>
          </w:tcPr>
          <w:p>
            <w:pPr>
              <w:spacing w:after="40" w:before="40"/>
            </w:pPr>
            <w:r/>
            <w:r>
              <w:rPr>
                <w:sz w:val="19"/>
              </w:rPr>
              <w:t>Paid staff and regular volunteers</w:t>
            </w:r>
          </w:p>
        </w:tc>
        <w:tc>
          <w:tcPr>
            <w:tcW w:type="dxa" w:w="2016"/>
          </w:tcPr>
          <w:p>
            <w:pPr>
              <w:spacing w:after="40" w:before="40"/>
            </w:pPr>
            <w:r/>
            <w:r>
              <w:rPr>
                <w:sz w:val="19"/>
              </w:rPr>
              <w:t>At hire or intake</w:t>
            </w:r>
          </w:p>
        </w:tc>
        <w:tc>
          <w:tcPr>
            <w:tcW w:type="dxa" w:w="1224"/>
          </w:tcPr>
          <w:p>
            <w:pPr>
              <w:spacing w:after="40" w:before="40"/>
            </w:pPr>
            <w:r/>
            <w:r>
              <w:rPr>
                <w:sz w:val="19"/>
              </w:rPr>
              <w:t>Not applicable</w:t>
            </w:r>
          </w:p>
        </w:tc>
        <w:tc>
          <w:tcPr>
            <w:tcW w:type="dxa" w:w="1512"/>
          </w:tcPr>
          <w:p>
            <w:pPr>
              <w:spacing w:after="40" w:before="40"/>
            </w:pPr>
            <w:r/>
            <w:r>
              <w:rPr>
                <w:sz w:val="19"/>
              </w:rPr>
              <w:t>Executive director</w:t>
            </w:r>
          </w:p>
        </w:tc>
      </w:tr>
      <w:tr>
        <w:tc>
          <w:tcPr>
            <w:tcW w:type="dxa" w:w="2448"/>
          </w:tcPr>
          <w:p>
            <w:pPr>
              <w:spacing w:after="40" w:before="40"/>
            </w:pPr>
            <w:r/>
            <w:r>
              <w:rPr>
                <w:sz w:val="19"/>
              </w:rPr>
              <w:t>Mandated reporter training</w:t>
            </w:r>
          </w:p>
        </w:tc>
        <w:tc>
          <w:tcPr>
            <w:tcW w:type="dxa" w:w="2160"/>
          </w:tcPr>
          <w:p>
            <w:pPr>
              <w:spacing w:after="40" w:before="40"/>
            </w:pPr>
            <w:r/>
            <w:r>
              <w:rPr>
                <w:sz w:val="19"/>
              </w:rPr>
              <w:t>Every adult with participant contact</w:t>
            </w:r>
          </w:p>
        </w:tc>
        <w:tc>
          <w:tcPr>
            <w:tcW w:type="dxa" w:w="2016"/>
          </w:tcPr>
          <w:p>
            <w:pPr>
              <w:spacing w:after="40" w:before="40"/>
            </w:pPr>
            <w:r/>
            <w:r>
              <w:rPr>
                <w:sz w:val="19"/>
              </w:rPr>
              <w:t>Before first unsupervised contact</w:t>
            </w:r>
          </w:p>
        </w:tc>
        <w:tc>
          <w:tcPr>
            <w:tcW w:type="dxa" w:w="1224"/>
          </w:tcPr>
          <w:p>
            <w:pPr>
              <w:spacing w:after="40" w:before="40"/>
            </w:pPr>
            <w:r/>
            <w:r>
              <w:rPr>
                <w:sz w:val="19"/>
              </w:rPr>
              <w:t>Annual</w:t>
            </w:r>
          </w:p>
        </w:tc>
        <w:tc>
          <w:tcPr>
            <w:tcW w:type="dxa" w:w="1512"/>
          </w:tcPr>
          <w:p>
            <w:pPr>
              <w:spacing w:after="40" w:before="40"/>
            </w:pPr>
            <w:r/>
            <w:r>
              <w:rPr>
                <w:sz w:val="19"/>
              </w:rPr>
              <w:t>Site coordinator</w:t>
            </w:r>
          </w:p>
        </w:tc>
      </w:tr>
      <w:tr>
        <w:tc>
          <w:tcPr>
            <w:tcW w:type="dxa" w:w="2448"/>
          </w:tcPr>
          <w:p>
            <w:pPr>
              <w:spacing w:after="40" w:before="40"/>
            </w:pPr>
            <w:r/>
            <w:r>
              <w:rPr>
                <w:sz w:val="19"/>
              </w:rPr>
              <w:t>De-escalation and behavior support</w:t>
            </w:r>
          </w:p>
        </w:tc>
        <w:tc>
          <w:tcPr>
            <w:tcW w:type="dxa" w:w="2160"/>
          </w:tcPr>
          <w:p>
            <w:pPr>
              <w:spacing w:after="40" w:before="40"/>
            </w:pPr>
            <w:r/>
            <w:r>
              <w:rPr>
                <w:sz w:val="19"/>
              </w:rPr>
              <w:t>Paid staff and contracted instructors</w:t>
            </w:r>
          </w:p>
        </w:tc>
        <w:tc>
          <w:tcPr>
            <w:tcW w:type="dxa" w:w="2016"/>
          </w:tcPr>
          <w:p>
            <w:pPr>
              <w:spacing w:after="40" w:before="40"/>
            </w:pPr>
            <w:r/>
            <w:r>
              <w:rPr>
                <w:sz w:val="19"/>
              </w:rPr>
              <w:t>Before leading a block alone</w:t>
            </w:r>
          </w:p>
        </w:tc>
        <w:tc>
          <w:tcPr>
            <w:tcW w:type="dxa" w:w="1224"/>
          </w:tcPr>
          <w:p>
            <w:pPr>
              <w:spacing w:after="40" w:before="40"/>
            </w:pPr>
            <w:r/>
            <w:r>
              <w:rPr>
                <w:sz w:val="19"/>
              </w:rPr>
              <w:t>Annual</w:t>
            </w:r>
          </w:p>
        </w:tc>
        <w:tc>
          <w:tcPr>
            <w:tcW w:type="dxa" w:w="1512"/>
          </w:tcPr>
          <w:p>
            <w:pPr>
              <w:spacing w:after="40" w:before="40"/>
            </w:pPr>
            <w:r/>
            <w:r>
              <w:rPr>
                <w:sz w:val="19"/>
              </w:rPr>
              <w:t>Site coordinator</w:t>
            </w:r>
          </w:p>
        </w:tc>
      </w:tr>
      <w:tr>
        <w:tc>
          <w:tcPr>
            <w:tcW w:type="dxa" w:w="2448"/>
          </w:tcPr>
          <w:p>
            <w:pPr>
              <w:spacing w:after="40" w:before="40"/>
            </w:pPr>
            <w:r/>
            <w:r>
              <w:rPr>
                <w:sz w:val="19"/>
              </w:rPr>
              <w:t>CPR and first aid</w:t>
            </w:r>
          </w:p>
        </w:tc>
        <w:tc>
          <w:tcPr>
            <w:tcW w:type="dxa" w:w="2160"/>
          </w:tcPr>
          <w:p>
            <w:pPr>
              <w:spacing w:after="40" w:before="40"/>
            </w:pPr>
            <w:r/>
            <w:r>
              <w:rPr>
                <w:sz w:val="19"/>
              </w:rPr>
              <w:t>At least two adults on site at all times</w:t>
            </w:r>
          </w:p>
        </w:tc>
        <w:tc>
          <w:tcPr>
            <w:tcW w:type="dxa" w:w="2016"/>
          </w:tcPr>
          <w:p>
            <w:pPr>
              <w:spacing w:after="40" w:before="40"/>
            </w:pPr>
            <w:r/>
            <w:r>
              <w:rPr>
                <w:sz w:val="19"/>
              </w:rPr>
              <w:t>Before program start</w:t>
            </w:r>
          </w:p>
        </w:tc>
        <w:tc>
          <w:tcPr>
            <w:tcW w:type="dxa" w:w="1224"/>
          </w:tcPr>
          <w:p>
            <w:pPr>
              <w:spacing w:after="40" w:before="40"/>
            </w:pPr>
            <w:r/>
            <w:r>
              <w:rPr>
                <w:sz w:val="19"/>
              </w:rPr>
              <w:t>Every two years</w:t>
            </w:r>
          </w:p>
        </w:tc>
        <w:tc>
          <w:tcPr>
            <w:tcW w:type="dxa" w:w="1512"/>
          </w:tcPr>
          <w:p>
            <w:pPr>
              <w:spacing w:after="40" w:before="40"/>
            </w:pPr>
            <w:r/>
            <w:r>
              <w:rPr>
                <w:sz w:val="19"/>
              </w:rPr>
              <w:t>Site coordinator</w:t>
            </w:r>
          </w:p>
        </w:tc>
      </w:tr>
      <w:tr>
        <w:tc>
          <w:tcPr>
            <w:tcW w:type="dxa" w:w="2448"/>
          </w:tcPr>
          <w:p>
            <w:pPr>
              <w:spacing w:after="40" w:before="40"/>
            </w:pPr>
            <w:r/>
            <w:r>
              <w:rPr>
                <w:sz w:val="19"/>
              </w:rPr>
              <w:t>Positive youth development training</w:t>
            </w:r>
          </w:p>
        </w:tc>
        <w:tc>
          <w:tcPr>
            <w:tcW w:type="dxa" w:w="2160"/>
          </w:tcPr>
          <w:p>
            <w:pPr>
              <w:spacing w:after="40" w:before="40"/>
            </w:pPr>
            <w:r/>
            <w:r>
              <w:rPr>
                <w:sz w:val="19"/>
              </w:rPr>
              <w:t>Paid staff</w:t>
            </w:r>
          </w:p>
        </w:tc>
        <w:tc>
          <w:tcPr>
            <w:tcW w:type="dxa" w:w="2016"/>
          </w:tcPr>
          <w:p>
            <w:pPr>
              <w:spacing w:after="40" w:before="40"/>
            </w:pPr>
            <w:r/>
            <w:r>
              <w:rPr>
                <w:sz w:val="19"/>
              </w:rPr>
              <w:t>Within 60 days of hire</w:t>
            </w:r>
          </w:p>
        </w:tc>
        <w:tc>
          <w:tcPr>
            <w:tcW w:type="dxa" w:w="1224"/>
          </w:tcPr>
          <w:p>
            <w:pPr>
              <w:spacing w:after="40" w:before="40"/>
            </w:pPr>
            <w:r/>
            <w:r>
              <w:rPr>
                <w:sz w:val="19"/>
              </w:rPr>
              <w:t>Annual</w:t>
            </w:r>
          </w:p>
        </w:tc>
        <w:tc>
          <w:tcPr>
            <w:tcW w:type="dxa" w:w="1512"/>
          </w:tcPr>
          <w:p>
            <w:pPr>
              <w:spacing w:after="40" w:before="40"/>
            </w:pPr>
            <w:r/>
            <w:r>
              <w:rPr>
                <w:sz w:val="19"/>
              </w:rPr>
              <w:t>Executive director</w:t>
            </w:r>
          </w:p>
        </w:tc>
      </w:tr>
      <w:tr>
        <w:tc>
          <w:tcPr>
            <w:tcW w:type="dxa" w:w="2448"/>
          </w:tcPr>
          <w:p>
            <w:pPr>
              <w:spacing w:after="40" w:before="40"/>
            </w:pPr>
            <w:r/>
            <w:r>
              <w:rPr>
                <w:sz w:val="19"/>
              </w:rPr>
              <w:t>Allergy, medication, and emergency procedures</w:t>
            </w:r>
          </w:p>
        </w:tc>
        <w:tc>
          <w:tcPr>
            <w:tcW w:type="dxa" w:w="2160"/>
          </w:tcPr>
          <w:p>
            <w:pPr>
              <w:spacing w:after="40" w:before="40"/>
            </w:pPr>
            <w:r/>
            <w:r>
              <w:rPr>
                <w:sz w:val="19"/>
              </w:rPr>
              <w:t>Paid staff and volunteers</w:t>
            </w:r>
          </w:p>
        </w:tc>
        <w:tc>
          <w:tcPr>
            <w:tcW w:type="dxa" w:w="2016"/>
          </w:tcPr>
          <w:p>
            <w:pPr>
              <w:spacing w:after="40" w:before="40"/>
            </w:pPr>
            <w:r/>
            <w:r>
              <w:rPr>
                <w:sz w:val="19"/>
              </w:rPr>
              <w:t>Before program start</w:t>
            </w:r>
          </w:p>
        </w:tc>
        <w:tc>
          <w:tcPr>
            <w:tcW w:type="dxa" w:w="1224"/>
          </w:tcPr>
          <w:p>
            <w:pPr>
              <w:spacing w:after="40" w:before="40"/>
            </w:pPr>
            <w:r/>
            <w:r>
              <w:rPr>
                <w:sz w:val="19"/>
              </w:rPr>
              <w:t>Annual</w:t>
            </w:r>
          </w:p>
        </w:tc>
        <w:tc>
          <w:tcPr>
            <w:tcW w:type="dxa" w:w="1512"/>
          </w:tcPr>
          <w:p>
            <w:pPr>
              <w:spacing w:after="40" w:before="40"/>
            </w:pPr>
            <w:r/>
            <w:r>
              <w:rPr>
                <w:sz w:val="19"/>
              </w:rPr>
              <w:t>Site coordinator</w:t>
            </w:r>
          </w:p>
        </w:tc>
      </w:tr>
      <w:tr>
        <w:tc>
          <w:tcPr>
            <w:tcW w:type="dxa" w:w="2448"/>
          </w:tcPr>
          <w:p>
            <w:pPr>
              <w:spacing w:after="40" w:before="40"/>
            </w:pPr>
            <w:r/>
            <w:r>
              <w:rPr>
                <w:sz w:val="19"/>
              </w:rPr>
              <w:t>Driving record check and license class verification</w:t>
            </w:r>
          </w:p>
        </w:tc>
        <w:tc>
          <w:tcPr>
            <w:tcW w:type="dxa" w:w="2160"/>
          </w:tcPr>
          <w:p>
            <w:pPr>
              <w:spacing w:after="40" w:before="40"/>
            </w:pPr>
            <w:r/>
            <w:r>
              <w:rPr>
                <w:sz w:val="19"/>
              </w:rPr>
              <w:t>Van driver</w:t>
            </w:r>
          </w:p>
        </w:tc>
        <w:tc>
          <w:tcPr>
            <w:tcW w:type="dxa" w:w="2016"/>
          </w:tcPr>
          <w:p>
            <w:pPr>
              <w:spacing w:after="40" w:before="40"/>
            </w:pPr>
            <w:r/>
            <w:r>
              <w:rPr>
                <w:sz w:val="19"/>
              </w:rPr>
              <w:t>Before first route</w:t>
            </w:r>
          </w:p>
        </w:tc>
        <w:tc>
          <w:tcPr>
            <w:tcW w:type="dxa" w:w="1224"/>
          </w:tcPr>
          <w:p>
            <w:pPr>
              <w:spacing w:after="40" w:before="40"/>
            </w:pPr>
            <w:r/>
            <w:r>
              <w:rPr>
                <w:sz w:val="19"/>
              </w:rPr>
              <w:t>Annual</w:t>
            </w:r>
          </w:p>
        </w:tc>
        <w:tc>
          <w:tcPr>
            <w:tcW w:type="dxa" w:w="1512"/>
          </w:tcPr>
          <w:p>
            <w:pPr>
              <w:spacing w:after="40" w:before="40"/>
            </w:pPr>
            <w:r/>
            <w:r>
              <w:rPr>
                <w:sz w:val="19"/>
              </w:rPr>
              <w:t>Executive director</w:t>
            </w:r>
          </w:p>
        </w:tc>
      </w:tr>
    </w:tbl>
    <w:p>
      <w:pPr>
        <w:spacing w:after="0"/>
      </w:pPr>
    </w:p>
    <w:p>
      <w:pPr>
        <w:spacing w:after="200"/>
      </w:pPr>
      <w:r>
        <w:rPr>
          <w:i/>
          <w:color w:val="5A5A5A"/>
          <w:sz w:val="18"/>
        </w:rPr>
        <w:t>This is the composite's schedule. Replace the requirement list and the renewal intervals with what your state and your own policy require, and attach the policy itself. Where your state sets a shorter renewal interval than an annual one, the budget line for clearances goes up accordingly.</w:t>
      </w:r>
    </w:p>
    <w:p>
      <w:r>
        <w:rPr>
          <w:b w:val="0"/>
          <w:i w:val="0"/>
        </w:rPr>
        <w:t>Three supervision rules apply beyond screening. No adult is alone and unobserved with a single participant: doors stay open, interior windows stay unobstructed, and a one-to-one conversation happens in view of another adult. All electronic contact with a participant runs through program accounts with the site coordinator copied, never through a staff member's personal number or account. Visitors sign in at the same supervised door participants use and are escorted for the length of the visit.</w:t>
      </w:r>
    </w:p>
    <w:p>
      <w:pPr>
        <w:pStyle w:val="Heading2"/>
      </w:pPr>
      <w:r>
        <w:t>Transportation</w:t>
      </w:r>
    </w:p>
    <w:p>
      <w:r>
        <w:rPr>
          <w:b w:val="0"/>
          <w:i w:val="0"/>
        </w:rPr>
        <w:t>For a middle school program in a low-density attendance zone, transportation is what turns enrollment into attendance. A proposal that sets an enrollment target and says nothing about the ride home has nothing holding the target up.</w:t>
      </w:r>
    </w:p>
    <w:p>
      <w:r>
        <w:rPr>
          <w:b w:val="0"/>
          <w:i w:val="0"/>
        </w:rPr>
        <w:t>EYA operates one van route through the Eastgate zone. The route has four stops, covers 6.4 miles, and runs twice each afternoon: departure at 5:35 p.m. with the last drop at 6:05 p.m., and a second capacity run over the same four stops at 6:20 p.m. with the last drop at 6:50 p.m. Twelve participants use the van, 16 are picked up at the door by a caregiver, and 10 walk home within the school's designated walk zone.</w:t>
      </w:r>
    </w:p>
    <w:tbl>
      <w:tblPr>
        <w:tblStyle w:val="LightGrid-Accent1"/>
        <w:tblW w:type="auto" w:w="0"/>
        <w:jc w:val="center"/>
        <w:tblLayout w:type="fixed"/>
        <w:tblLook w:firstColumn="1" w:firstRow="1" w:lastColumn="0" w:lastRow="0" w:noHBand="0" w:noVBand="1" w:val="04A0"/>
      </w:tblPr>
      <w:tblGrid>
        <w:gridCol w:w="4680"/>
        <w:gridCol w:w="4680"/>
      </w:tblGrid>
      <w:tr>
        <w:tc>
          <w:tcPr>
            <w:tcW w:type="dxa" w:w="2016"/>
          </w:tcPr>
          <w:p>
            <w:pPr>
              <w:spacing w:after="40" w:before="40"/>
            </w:pPr>
            <w:r/>
            <w:r>
              <w:rPr>
                <w:b/>
                <w:sz w:val="19"/>
              </w:rPr>
              <w:t>Element</w:t>
            </w:r>
          </w:p>
        </w:tc>
        <w:tc>
          <w:tcPr>
            <w:tcW w:type="dxa" w:w="7344"/>
          </w:tcPr>
          <w:p>
            <w:pPr>
              <w:spacing w:after="40" w:before="40"/>
            </w:pPr>
            <w:r/>
            <w:r>
              <w:rPr>
                <w:b/>
                <w:sz w:val="19"/>
              </w:rPr>
              <w:t>Example provision</w:t>
            </w:r>
          </w:p>
        </w:tc>
      </w:tr>
      <w:tr>
        <w:tc>
          <w:tcPr>
            <w:tcW w:type="dxa" w:w="2016"/>
          </w:tcPr>
          <w:p>
            <w:pPr>
              <w:spacing w:after="40" w:before="40"/>
            </w:pPr>
            <w:r/>
            <w:r>
              <w:rPr>
                <w:sz w:val="19"/>
              </w:rPr>
              <w:t>Vehicle</w:t>
            </w:r>
          </w:p>
        </w:tc>
        <w:tc>
          <w:tcPr>
            <w:tcW w:type="dxa" w:w="7344"/>
          </w:tcPr>
          <w:p>
            <w:pPr>
              <w:spacing w:after="40" w:before="40"/>
            </w:pPr>
            <w:r/>
            <w:r>
              <w:rPr>
                <w:sz w:val="19"/>
              </w:rPr>
              <w:t>One organization-owned eight-passenger van, inspected on the state's required schedule, with records in Attachment J</w:t>
            </w:r>
          </w:p>
        </w:tc>
      </w:tr>
      <w:tr>
        <w:tc>
          <w:tcPr>
            <w:tcW w:type="dxa" w:w="2016"/>
          </w:tcPr>
          <w:p>
            <w:pPr>
              <w:spacing w:after="40" w:before="40"/>
            </w:pPr>
            <w:r/>
            <w:r>
              <w:rPr>
                <w:sz w:val="19"/>
              </w:rPr>
              <w:t>Driver</w:t>
            </w:r>
          </w:p>
        </w:tc>
        <w:tc>
          <w:tcPr>
            <w:tcW w:type="dxa" w:w="7344"/>
          </w:tcPr>
          <w:p>
            <w:pPr>
              <w:spacing w:after="40" w:before="40"/>
            </w:pPr>
            <w:r/>
            <w:r>
              <w:rPr>
                <w:sz w:val="19"/>
              </w:rPr>
              <w:t>One employee with the license class your state requires for this vehicle and this trip type, an annual driving record check, and route training before the first run</w:t>
            </w:r>
          </w:p>
        </w:tc>
      </w:tr>
      <w:tr>
        <w:tc>
          <w:tcPr>
            <w:tcW w:type="dxa" w:w="2016"/>
          </w:tcPr>
          <w:p>
            <w:pPr>
              <w:spacing w:after="40" w:before="40"/>
            </w:pPr>
            <w:r/>
            <w:r>
              <w:rPr>
                <w:sz w:val="19"/>
              </w:rPr>
              <w:t>Adults aboard</w:t>
            </w:r>
          </w:p>
        </w:tc>
        <w:tc>
          <w:tcPr>
            <w:tcW w:type="dxa" w:w="7344"/>
          </w:tcPr>
          <w:p>
            <w:pPr>
              <w:spacing w:after="40" w:before="40"/>
            </w:pPr>
            <w:r/>
            <w:r>
              <w:rPr>
                <w:sz w:val="19"/>
              </w:rPr>
              <w:t>Two: the driver and one youth development staff member, so no adult is alone with participants in the vehicle</w:t>
            </w:r>
          </w:p>
        </w:tc>
      </w:tr>
      <w:tr>
        <w:tc>
          <w:tcPr>
            <w:tcW w:type="dxa" w:w="2016"/>
          </w:tcPr>
          <w:p>
            <w:pPr>
              <w:spacing w:after="40" w:before="40"/>
            </w:pPr>
            <w:r/>
            <w:r>
              <w:rPr>
                <w:sz w:val="19"/>
              </w:rPr>
              <w:t>Manifest</w:t>
            </w:r>
          </w:p>
        </w:tc>
        <w:tc>
          <w:tcPr>
            <w:tcW w:type="dxa" w:w="7344"/>
          </w:tcPr>
          <w:p>
            <w:pPr>
              <w:spacing w:after="40" w:before="40"/>
            </w:pPr>
            <w:r/>
            <w:r>
              <w:rPr>
                <w:sz w:val="19"/>
              </w:rPr>
              <w:t>A printed stop-by-stop manifest carried on every run and reconciled against the sign-out log on return</w:t>
            </w:r>
          </w:p>
        </w:tc>
      </w:tr>
      <w:tr>
        <w:tc>
          <w:tcPr>
            <w:tcW w:type="dxa" w:w="2016"/>
          </w:tcPr>
          <w:p>
            <w:pPr>
              <w:spacing w:after="40" w:before="40"/>
            </w:pPr>
            <w:r/>
            <w:r>
              <w:rPr>
                <w:sz w:val="19"/>
              </w:rPr>
              <w:t>Release at drop-off</w:t>
            </w:r>
          </w:p>
        </w:tc>
        <w:tc>
          <w:tcPr>
            <w:tcW w:type="dxa" w:w="7344"/>
          </w:tcPr>
          <w:p>
            <w:pPr>
              <w:spacing w:after="40" w:before="40"/>
            </w:pPr>
            <w:r/>
            <w:r>
              <w:rPr>
                <w:sz w:val="19"/>
              </w:rPr>
              <w:t>A participant is released only to an adult on the authorization form, or to a self-release designation signed by the guardian at enrollment</w:t>
            </w:r>
          </w:p>
        </w:tc>
      </w:tr>
      <w:tr>
        <w:tc>
          <w:tcPr>
            <w:tcW w:type="dxa" w:w="2016"/>
          </w:tcPr>
          <w:p>
            <w:pPr>
              <w:spacing w:after="40" w:before="40"/>
            </w:pPr>
            <w:r/>
            <w:r>
              <w:rPr>
                <w:sz w:val="19"/>
              </w:rPr>
              <w:t>Photo identification</w:t>
            </w:r>
          </w:p>
        </w:tc>
        <w:tc>
          <w:tcPr>
            <w:tcW w:type="dxa" w:w="7344"/>
          </w:tcPr>
          <w:p>
            <w:pPr>
              <w:spacing w:after="40" w:before="40"/>
            </w:pPr>
            <w:r/>
            <w:r>
              <w:rPr>
                <w:sz w:val="19"/>
              </w:rPr>
              <w:t>Required from any adult not known to the driver, every time, with no exceptions for familiar faces</w:t>
            </w:r>
          </w:p>
        </w:tc>
      </w:tr>
      <w:tr>
        <w:tc>
          <w:tcPr>
            <w:tcW w:type="dxa" w:w="2016"/>
          </w:tcPr>
          <w:p>
            <w:pPr>
              <w:spacing w:after="40" w:before="40"/>
            </w:pPr>
            <w:r/>
            <w:r>
              <w:rPr>
                <w:sz w:val="19"/>
              </w:rPr>
              <w:t>Not-picked-up procedure</w:t>
            </w:r>
          </w:p>
        </w:tc>
        <w:tc>
          <w:tcPr>
            <w:tcW w:type="dxa" w:w="7344"/>
          </w:tcPr>
          <w:p>
            <w:pPr>
              <w:spacing w:after="40" w:before="40"/>
            </w:pPr>
            <w:r/>
            <w:r>
              <w:rPr>
                <w:sz w:val="19"/>
              </w:rPr>
              <w:t>Written steps beginning at 6:15 p.m. for a participant waiting on caregiver pickup at the door, and at the stop itself for a van rider no authorized adult meets: call the guardian, call the authorized list in order, then follow the escalation path in the emergency operations plan</w:t>
            </w:r>
          </w:p>
        </w:tc>
      </w:tr>
      <w:tr>
        <w:tc>
          <w:tcPr>
            <w:tcW w:type="dxa" w:w="2016"/>
          </w:tcPr>
          <w:p>
            <w:pPr>
              <w:spacing w:after="40" w:before="40"/>
            </w:pPr>
            <w:r/>
            <w:r>
              <w:rPr>
                <w:sz w:val="19"/>
              </w:rPr>
              <w:t>Walk zone</w:t>
            </w:r>
          </w:p>
        </w:tc>
        <w:tc>
          <w:tcPr>
            <w:tcW w:type="dxa" w:w="7344"/>
          </w:tcPr>
          <w:p>
            <w:pPr>
              <w:spacing w:after="40" w:before="40"/>
            </w:pPr>
            <w:r/>
            <w:r>
              <w:rPr>
                <w:sz w:val="19"/>
              </w:rPr>
              <w:t>Participants walking home are released only with the guardian's written designation, in daylight, in groups where the route allows</w:t>
            </w:r>
          </w:p>
        </w:tc>
      </w:tr>
    </w:tbl>
    <w:p>
      <w:pPr>
        <w:spacing w:after="0"/>
      </w:pPr>
    </w:p>
    <w:p>
      <w:pPr>
        <w:spacing w:after="200"/>
      </w:pPr>
      <w:r>
        <w:rPr>
          <w:i/>
          <w:color w:val="5A5A5A"/>
          <w:sz w:val="18"/>
        </w:rPr>
        <w:t>Confirm which vehicle classes your state permits for transporting students to and from a program site, and whether your trips are classified as school-related. The rules differ by seating capacity and by trip purpose, and getting the classification wrong is both a compliance problem and an insurance problem.</w:t>
      </w:r>
    </w:p>
    <w:p>
      <w:pPr>
        <w:pStyle w:val="Heading2"/>
      </w:pPr>
      <w:r>
        <w:t>Food</w:t>
      </w:r>
    </w:p>
    <w:p>
      <w:r>
        <w:rPr>
          <w:b w:val="0"/>
          <w:i w:val="0"/>
        </w:rPr>
        <w:t>Northline Middle School sits in a school attendance area where at least half of children qualify for free or reduced-price school meals, the program offers educational and enrichment activities, and the site meets the applicable state and local licensing, health, and safety codes. The site therefore qualifies to serve supper and a snack under the At-Risk Afterschool Meals component of the Child and Adult Care Food Program, which reimburses during the school year (USDA Food and Nutrition Service, accessed September 2026).</w:t>
      </w:r>
    </w:p>
    <w:p>
      <w:r>
        <w:rPr>
          <w:b w:val="0"/>
          <w:i w:val="0"/>
        </w:rPr>
        <w:t>EYA operates through a CACFP sponsoring organization and claims supper and snack on the 147 program days that fall inside the school-year claiming window. Projected reimbursement is approximately $17,000 for the year, calculated from 147 claiming days, average daily participation of 38, and the At-Risk supper and snack rates published for the program year. That reimbursement appears as revenue in Other Resources, not as a cost in this request.</w:t>
      </w:r>
    </w:p>
    <w:p>
      <w:r>
        <w:rPr>
          <w:b w:val="0"/>
          <w:i w:val="0"/>
        </w:rPr>
        <w:t>This request pays for food on the 18 remaining program days, which are school-break and early-dismissal sessions outside the claiming window, plus food for four family engagement events. Asking a funder to pay for meals that CACFP already reimburses is one of the fastest ways to lose credibility with a reviewer who knows the program, and it is a common error in youth budgets.</w:t>
      </w:r>
    </w:p>
    <w:p>
      <w:pPr>
        <w:spacing w:after="200"/>
      </w:pPr>
      <w:r>
        <w:rPr>
          <w:i/>
          <w:color w:val="5A5A5A"/>
          <w:sz w:val="18"/>
        </w:rPr>
        <w:t>Verify the current At-Risk eligibility conditions, claiming window, and rates with your state agency before you project reimbursement. Rates change on a published schedule, and a projection built on last year's rate will not reconcile.</w:t>
      </w:r>
    </w:p>
    <w:p>
      <w:pPr>
        <w:pStyle w:val="Heading2"/>
      </w:pPr>
      <w:r>
        <w:t>Family engagement</w:t>
      </w:r>
    </w:p>
    <w:p>
      <w:r>
        <w:rPr>
          <w:b w:val="0"/>
          <w:i w:val="0"/>
        </w:rPr>
        <w:t>Family contact has four named points rather than a general commitment to communicate. Each has a person responsible and a record that can be counted, because objective 4.1 reports against them.</w:t>
      </w:r>
    </w:p>
    <w:p>
      <w:pPr>
        <w:pStyle w:val="ListBullet"/>
      </w:pPr>
      <w:r>
        <w:t>Enrollment conference. A 20-minute conversation with each family at intake, covering the authorized pickup list, the guardian consent for school data sharing, allergies and medication, and what the family wants the program to work on for their student. Led by the site coordinator, logged in the enrollment record.</w:t>
      </w:r>
    </w:p>
    <w:p>
      <w:pPr>
        <w:pStyle w:val="ListBullet"/>
      </w:pPr>
      <w:r>
        <w:t>Mid-year progress conversation. A 15-minute call or meeting in January covering attendance, the school-day report card, and any change in transportation. Led by the youth development staff member who works with that grade group.</w:t>
      </w:r>
    </w:p>
    <w:p>
      <w:pPr>
        <w:pStyle w:val="ListBullet"/>
      </w:pPr>
      <w:r>
        <w:t>Family showcase night. One evening event in April where participants present enrichment work, with supper served and interpretation available on request.</w:t>
      </w:r>
    </w:p>
    <w:p>
      <w:pPr>
        <w:pStyle w:val="ListBullet"/>
      </w:pPr>
      <w:r>
        <w:t>Day-to-day channel. A single program phone line and text channel monitored by the site coordinator, and a monthly one-page update sent home in print and by text in the family's preferred language.</w:t>
      </w:r>
    </w:p>
    <w:p>
      <w:pPr>
        <w:pStyle w:val="Heading2"/>
      </w:pPr>
      <w:r>
        <w:t>Behavior support and safeguarding</w:t>
      </w:r>
    </w:p>
    <w:p>
      <w:r>
        <w:rPr>
          <w:b w:val="0"/>
          <w:i w:val="0"/>
        </w:rPr>
        <w:t>The program uses a written behavior support approach built on stated expectations, restorative conversation, and family contact, and it removes a participant from the program only after the steps in the policy have been documented and a family meeting has been held. Suspension from an after-school program removes the supervision the program exists to provide, so it is the last step rather than the first. Every adult completes de-escalation training before leading a block alone. Incidents are logged the same day, reviewed weekly by the site coordinator, and reported to the executive director on a schedule set in the policy.</w:t>
      </w:r>
    </w:p>
    <w:p>
      <w:pPr>
        <w:pStyle w:val="Heading2"/>
      </w:pPr>
      <w:r>
        <w:t>School-break and summer coverage</w:t>
      </w:r>
    </w:p>
    <w:p>
      <w:r>
        <w:rPr>
          <w:b w:val="0"/>
          <w:i w:val="0"/>
        </w:rPr>
        <w:t>Northline Public Schools closes for 18 days during the school year that fall inside the program calendar. On 12 of those days EYA operates a full-day session, 8:00 a.m. to 5:00 p.m., at the same site with the same ratios, which keeps the ride home and the meal in place for families whose work schedules do not follow the school calendar. On the remaining six days the program is closed and families are notified in the program calendar issued at enrollment. The district also schedules six early-dismissal days on which the program opens at the earlier release time and runs outside the school-year claiming window. Those six early-dismissal sessions and the 12 full-day break sessions are the 18 program days this request pays for food on, and they are what 147 claiming days plus 18 non-claiming sessions add up to across the 165-day program calendar. Summer programming operates as a separate fee-for-service program outside this request, and it is described in the sustainability section because it is a revenue path rather than a cost in this budget.</w:t>
      </w:r>
    </w:p>
    <w:p>
      <w:pPr>
        <w:pStyle w:val="Heading1"/>
      </w:pPr>
      <w:r>
        <w:t>4. Goals and Objectives</w:t>
      </w:r>
    </w:p>
    <w:p>
      <w:r>
        <w:rPr>
          <w:b w:val="0"/>
          <w:i w:val="0"/>
        </w:rPr>
        <w:t>Youth program objectives have to state a dosage threshold, meaning the number of days a participant attends before the program counts that young person as served. Set the threshold before writing a single objective, then use the same threshold in the proposal, in the evaluation plan, and in every report that follows.</w:t>
      </w:r>
    </w:p>
    <w:p>
      <w:pPr>
        <w:pStyle w:val="Heading2"/>
      </w:pPr>
      <w:r>
        <w:t>Dosage definition</w:t>
      </w:r>
    </w:p>
    <w:p>
      <w:r>
        <w:rPr>
          <w:b w:val="0"/>
          <w:i w:val="0"/>
        </w:rPr>
        <w:t>EYA defines a regular attendee as a participant who attends 60 or more program days during the project period. Sixty days is roughly 36 percent of the 165-day program calendar and about two days a week sustained across the year. Attendance is recorded at a single supervised sign-in door at the start of each session and a participant is counted for the day only when the sign-in is matched to a sign-out. Partial days are counted as days attended; hours are tracked separately for the weekly dosage objectives.</w:t>
      </w:r>
    </w:p>
    <w:p>
      <w:pPr>
        <w:spacing w:after="200"/>
      </w:pPr>
      <w:r>
        <w:rPr>
          <w:i/>
          <w:color w:val="5A5A5A"/>
          <w:sz w:val="18"/>
        </w:rPr>
        <w:t>Set your own threshold from your prior-year attendance distribution, not from this document. Pull days attended per participant for last year, look at where the distribution actually sits, and pick a threshold a real cohort at your site reaches. A threshold nobody reached last year turns into a missed objective in your first report.</w:t>
      </w:r>
    </w:p>
    <w:p>
      <w:pPr>
        <w:pStyle w:val="Heading2"/>
      </w:pPr>
      <w:r>
        <w:t>Goal 1: Participation and dosage</w:t>
      </w:r>
    </w:p>
    <w:p>
      <w:r>
        <w:rPr>
          <w:b w:val="0"/>
          <w:i w:val="0"/>
        </w:rPr>
        <w:t>Northline students in the Eastgate attendance zone receive consistent, supervised out-of-school-time programming at a level high enough to affect the school day.</w:t>
      </w:r>
    </w:p>
    <w:tbl>
      <w:tblPr>
        <w:tblStyle w:val="LightGrid-Accent1"/>
        <w:tblW w:type="auto" w:w="0"/>
        <w:jc w:val="center"/>
        <w:tblLayout w:type="fixed"/>
        <w:tblLook w:firstColumn="1" w:firstRow="1" w:lastColumn="0" w:lastRow="0" w:noHBand="0" w:noVBand="1" w:val="04A0"/>
      </w:tblPr>
      <w:tblGrid>
        <w:gridCol w:w="2340"/>
        <w:gridCol w:w="2340"/>
        <w:gridCol w:w="2340"/>
        <w:gridCol w:w="2340"/>
      </w:tblGrid>
      <w:tr>
        <w:tc>
          <w:tcPr>
            <w:tcW w:type="dxa" w:w="2736"/>
          </w:tcPr>
          <w:p>
            <w:pPr>
              <w:spacing w:after="40" w:before="40"/>
            </w:pPr>
            <w:r/>
            <w:r>
              <w:rPr>
                <w:b/>
                <w:sz w:val="19"/>
              </w:rPr>
              <w:t>Objective</w:t>
            </w:r>
          </w:p>
        </w:tc>
        <w:tc>
          <w:tcPr>
            <w:tcW w:type="dxa" w:w="2304"/>
          </w:tcPr>
          <w:p>
            <w:pPr>
              <w:spacing w:after="40" w:before="40"/>
            </w:pPr>
            <w:r/>
            <w:r>
              <w:rPr>
                <w:b/>
                <w:sz w:val="19"/>
              </w:rPr>
              <w:t>Target</w:t>
            </w:r>
          </w:p>
        </w:tc>
        <w:tc>
          <w:tcPr>
            <w:tcW w:type="dxa" w:w="3024"/>
          </w:tcPr>
          <w:p>
            <w:pPr>
              <w:spacing w:after="40" w:before="40"/>
            </w:pPr>
            <w:r/>
            <w:r>
              <w:rPr>
                <w:b/>
                <w:sz w:val="19"/>
              </w:rPr>
              <w:t>Measure and source</w:t>
            </w:r>
          </w:p>
        </w:tc>
        <w:tc>
          <w:tcPr>
            <w:tcW w:type="dxa" w:w="1296"/>
          </w:tcPr>
          <w:p>
            <w:pPr>
              <w:spacing w:after="40" w:before="40"/>
            </w:pPr>
            <w:r/>
            <w:r>
              <w:rPr>
                <w:b/>
                <w:sz w:val="19"/>
              </w:rPr>
              <w:t>Timing</w:t>
            </w:r>
          </w:p>
        </w:tc>
      </w:tr>
      <w:tr>
        <w:tc>
          <w:tcPr>
            <w:tcW w:type="dxa" w:w="2736"/>
          </w:tcPr>
          <w:p>
            <w:pPr>
              <w:spacing w:after="40" w:before="40"/>
            </w:pPr>
            <w:r/>
            <w:r>
              <w:rPr>
                <w:sz w:val="19"/>
              </w:rPr>
              <w:t>1.1 Enroll a full cohort</w:t>
            </w:r>
          </w:p>
        </w:tc>
        <w:tc>
          <w:tcPr>
            <w:tcW w:type="dxa" w:w="2304"/>
          </w:tcPr>
          <w:p>
            <w:pPr>
              <w:spacing w:after="40" w:before="40"/>
            </w:pPr>
            <w:r/>
            <w:r>
              <w:rPr>
                <w:sz w:val="19"/>
              </w:rPr>
              <w:t>60 students enrolled</w:t>
            </w:r>
          </w:p>
        </w:tc>
        <w:tc>
          <w:tcPr>
            <w:tcW w:type="dxa" w:w="3024"/>
          </w:tcPr>
          <w:p>
            <w:pPr>
              <w:spacing w:after="40" w:before="40"/>
            </w:pPr>
            <w:r/>
            <w:r>
              <w:rPr>
                <w:sz w:val="19"/>
              </w:rPr>
              <w:t>Completed enrollment packets, program enrollment system</w:t>
            </w:r>
          </w:p>
        </w:tc>
        <w:tc>
          <w:tcPr>
            <w:tcW w:type="dxa" w:w="1296"/>
          </w:tcPr>
          <w:p>
            <w:pPr>
              <w:spacing w:after="40" w:before="40"/>
            </w:pPr>
            <w:r/>
            <w:r>
              <w:rPr>
                <w:sz w:val="19"/>
              </w:rPr>
              <w:t>By October 15</w:t>
            </w:r>
          </w:p>
        </w:tc>
      </w:tr>
      <w:tr>
        <w:tc>
          <w:tcPr>
            <w:tcW w:type="dxa" w:w="2736"/>
          </w:tcPr>
          <w:p>
            <w:pPr>
              <w:spacing w:after="40" w:before="40"/>
            </w:pPr>
            <w:r/>
            <w:r>
              <w:rPr>
                <w:sz w:val="19"/>
              </w:rPr>
              <w:t>1.2 Reach the dosage threshold</w:t>
            </w:r>
          </w:p>
        </w:tc>
        <w:tc>
          <w:tcPr>
            <w:tcW w:type="dxa" w:w="2304"/>
          </w:tcPr>
          <w:p>
            <w:pPr>
              <w:spacing w:after="40" w:before="40"/>
            </w:pPr>
            <w:r/>
            <w:r>
              <w:rPr>
                <w:sz w:val="19"/>
              </w:rPr>
              <w:t>45 regular attendees at 60 or more program days</w:t>
            </w:r>
          </w:p>
        </w:tc>
        <w:tc>
          <w:tcPr>
            <w:tcW w:type="dxa" w:w="3024"/>
          </w:tcPr>
          <w:p>
            <w:pPr>
              <w:spacing w:after="40" w:before="40"/>
            </w:pPr>
            <w:r/>
            <w:r>
              <w:rPr>
                <w:sz w:val="19"/>
              </w:rPr>
              <w:t>Daily sign-in and sign-out records</w:t>
            </w:r>
          </w:p>
        </w:tc>
        <w:tc>
          <w:tcPr>
            <w:tcW w:type="dxa" w:w="1296"/>
          </w:tcPr>
          <w:p>
            <w:pPr>
              <w:spacing w:after="40" w:before="40"/>
            </w:pPr>
            <w:r/>
            <w:r>
              <w:rPr>
                <w:sz w:val="19"/>
              </w:rPr>
              <w:t>End of project period</w:t>
            </w:r>
          </w:p>
        </w:tc>
      </w:tr>
      <w:tr>
        <w:tc>
          <w:tcPr>
            <w:tcW w:type="dxa" w:w="2736"/>
          </w:tcPr>
          <w:p>
            <w:pPr>
              <w:spacing w:after="40" w:before="40"/>
            </w:pPr>
            <w:r/>
            <w:r>
              <w:rPr>
                <w:sz w:val="19"/>
              </w:rPr>
              <w:t>1.3 Hold daily attendance</w:t>
            </w:r>
          </w:p>
        </w:tc>
        <w:tc>
          <w:tcPr>
            <w:tcW w:type="dxa" w:w="2304"/>
          </w:tcPr>
          <w:p>
            <w:pPr>
              <w:spacing w:after="40" w:before="40"/>
            </w:pPr>
            <w:r/>
            <w:r>
              <w:rPr>
                <w:sz w:val="19"/>
              </w:rPr>
              <w:t>Average daily attendance of 38 or above</w:t>
            </w:r>
          </w:p>
        </w:tc>
        <w:tc>
          <w:tcPr>
            <w:tcW w:type="dxa" w:w="3024"/>
          </w:tcPr>
          <w:p>
            <w:pPr>
              <w:spacing w:after="40" w:before="40"/>
            </w:pPr>
            <w:r/>
            <w:r>
              <w:rPr>
                <w:sz w:val="19"/>
              </w:rPr>
              <w:t>Daily sign-in, averaged across 165 program days</w:t>
            </w:r>
          </w:p>
        </w:tc>
        <w:tc>
          <w:tcPr>
            <w:tcW w:type="dxa" w:w="1296"/>
          </w:tcPr>
          <w:p>
            <w:pPr>
              <w:spacing w:after="40" w:before="40"/>
            </w:pPr>
            <w:r/>
            <w:r>
              <w:rPr>
                <w:sz w:val="19"/>
              </w:rPr>
              <w:t>Reported monthly</w:t>
            </w:r>
          </w:p>
        </w:tc>
      </w:tr>
      <w:tr>
        <w:tc>
          <w:tcPr>
            <w:tcW w:type="dxa" w:w="2736"/>
          </w:tcPr>
          <w:p>
            <w:pPr>
              <w:spacing w:after="40" w:before="40"/>
            </w:pPr>
            <w:r/>
            <w:r>
              <w:rPr>
                <w:sz w:val="19"/>
              </w:rPr>
              <w:t>1.4 Deliver the intended dose</w:t>
            </w:r>
          </w:p>
        </w:tc>
        <w:tc>
          <w:tcPr>
            <w:tcW w:type="dxa" w:w="2304"/>
          </w:tcPr>
          <w:p>
            <w:pPr>
              <w:spacing w:after="40" w:before="40"/>
            </w:pPr>
            <w:r/>
            <w:r>
              <w:rPr>
                <w:sz w:val="19"/>
              </w:rPr>
              <w:t>3 hours academic support and 3 hours enrichment per participant per week, based on an average of three attended days</w:t>
            </w:r>
          </w:p>
        </w:tc>
        <w:tc>
          <w:tcPr>
            <w:tcW w:type="dxa" w:w="3024"/>
          </w:tcPr>
          <w:p>
            <w:pPr>
              <w:spacing w:after="40" w:before="40"/>
            </w:pPr>
            <w:r/>
            <w:r>
              <w:rPr>
                <w:sz w:val="19"/>
              </w:rPr>
              <w:t>Block schedule audit against sign-in records</w:t>
            </w:r>
          </w:p>
        </w:tc>
        <w:tc>
          <w:tcPr>
            <w:tcW w:type="dxa" w:w="1296"/>
          </w:tcPr>
          <w:p>
            <w:pPr>
              <w:spacing w:after="40" w:before="40"/>
            </w:pPr>
            <w:r/>
            <w:r>
              <w:rPr>
                <w:sz w:val="19"/>
              </w:rPr>
              <w:t>Monthly</w:t>
            </w:r>
          </w:p>
        </w:tc>
      </w:tr>
      <w:tr>
        <w:tc>
          <w:tcPr>
            <w:tcW w:type="dxa" w:w="2736"/>
          </w:tcPr>
          <w:p>
            <w:pPr>
              <w:spacing w:after="40" w:before="40"/>
            </w:pPr>
            <w:r/>
            <w:r>
              <w:rPr>
                <w:sz w:val="19"/>
              </w:rPr>
              <w:t>1.5 Keep participants once enrolled</w:t>
            </w:r>
          </w:p>
        </w:tc>
        <w:tc>
          <w:tcPr>
            <w:tcW w:type="dxa" w:w="2304"/>
          </w:tcPr>
          <w:p>
            <w:pPr>
              <w:spacing w:after="40" w:before="40"/>
            </w:pPr>
            <w:r/>
            <w:r>
              <w:rPr>
                <w:sz w:val="19"/>
              </w:rPr>
              <w:t>80 percent of participants enrolled by November 1 still enrolled in May</w:t>
            </w:r>
          </w:p>
        </w:tc>
        <w:tc>
          <w:tcPr>
            <w:tcW w:type="dxa" w:w="3024"/>
          </w:tcPr>
          <w:p>
            <w:pPr>
              <w:spacing w:after="40" w:before="40"/>
            </w:pPr>
            <w:r/>
            <w:r>
              <w:rPr>
                <w:sz w:val="19"/>
              </w:rPr>
              <w:t>Enrollment system, fall-to-spring comparison</w:t>
            </w:r>
          </w:p>
        </w:tc>
        <w:tc>
          <w:tcPr>
            <w:tcW w:type="dxa" w:w="1296"/>
          </w:tcPr>
          <w:p>
            <w:pPr>
              <w:spacing w:after="40" w:before="40"/>
            </w:pPr>
            <w:r/>
            <w:r>
              <w:rPr>
                <w:sz w:val="19"/>
              </w:rPr>
              <w:t>End of project period</w:t>
            </w:r>
          </w:p>
        </w:tc>
      </w:tr>
    </w:tbl>
    <w:p>
      <w:pPr>
        <w:spacing w:after="0"/>
      </w:pPr>
    </w:p>
    <w:p>
      <w:pPr>
        <w:pStyle w:val="Heading2"/>
      </w:pPr>
      <w:r>
        <w:t>Goal 2: School-day academic outcomes</w:t>
      </w:r>
    </w:p>
    <w:p>
      <w:r>
        <w:rPr>
          <w:b w:val="0"/>
          <w:i w:val="0"/>
        </w:rPr>
        <w:t>Participants who reach the dosage threshold maintain or improve their attendance and course standing during the school day.</w:t>
      </w:r>
    </w:p>
    <w:tbl>
      <w:tblPr>
        <w:tblStyle w:val="LightGrid-Accent1"/>
        <w:tblW w:type="auto" w:w="0"/>
        <w:jc w:val="center"/>
        <w:tblLayout w:type="fixed"/>
        <w:tblLook w:firstColumn="1" w:firstRow="1" w:lastColumn="0" w:lastRow="0" w:noHBand="0" w:noVBand="1" w:val="04A0"/>
      </w:tblPr>
      <w:tblGrid>
        <w:gridCol w:w="2340"/>
        <w:gridCol w:w="2340"/>
        <w:gridCol w:w="2340"/>
        <w:gridCol w:w="2340"/>
      </w:tblGrid>
      <w:tr>
        <w:tc>
          <w:tcPr>
            <w:tcW w:type="dxa" w:w="2448"/>
          </w:tcPr>
          <w:p>
            <w:pPr>
              <w:spacing w:after="40" w:before="40"/>
            </w:pPr>
            <w:r/>
            <w:r>
              <w:rPr>
                <w:b/>
                <w:sz w:val="19"/>
              </w:rPr>
              <w:t>Objective</w:t>
            </w:r>
          </w:p>
        </w:tc>
        <w:tc>
          <w:tcPr>
            <w:tcW w:type="dxa" w:w="3024"/>
          </w:tcPr>
          <w:p>
            <w:pPr>
              <w:spacing w:after="40" w:before="40"/>
            </w:pPr>
            <w:r/>
            <w:r>
              <w:rPr>
                <w:b/>
                <w:sz w:val="19"/>
              </w:rPr>
              <w:t>Target</w:t>
            </w:r>
          </w:p>
        </w:tc>
        <w:tc>
          <w:tcPr>
            <w:tcW w:type="dxa" w:w="2736"/>
          </w:tcPr>
          <w:p>
            <w:pPr>
              <w:spacing w:after="40" w:before="40"/>
            </w:pPr>
            <w:r/>
            <w:r>
              <w:rPr>
                <w:b/>
                <w:sz w:val="19"/>
              </w:rPr>
              <w:t>Measure and source</w:t>
            </w:r>
          </w:p>
        </w:tc>
        <w:tc>
          <w:tcPr>
            <w:tcW w:type="dxa" w:w="1152"/>
          </w:tcPr>
          <w:p>
            <w:pPr>
              <w:spacing w:after="40" w:before="40"/>
            </w:pPr>
            <w:r/>
            <w:r>
              <w:rPr>
                <w:b/>
                <w:sz w:val="19"/>
              </w:rPr>
              <w:t>Timing</w:t>
            </w:r>
          </w:p>
        </w:tc>
      </w:tr>
      <w:tr>
        <w:tc>
          <w:tcPr>
            <w:tcW w:type="dxa" w:w="2448"/>
          </w:tcPr>
          <w:p>
            <w:pPr>
              <w:spacing w:after="40" w:before="40"/>
            </w:pPr>
            <w:r/>
            <w:r>
              <w:rPr>
                <w:sz w:val="19"/>
              </w:rPr>
              <w:t>2.1 School-day attendance</w:t>
            </w:r>
          </w:p>
        </w:tc>
        <w:tc>
          <w:tcPr>
            <w:tcW w:type="dxa" w:w="3024"/>
          </w:tcPr>
          <w:p>
            <w:pPr>
              <w:spacing w:after="40" w:before="40"/>
            </w:pPr>
            <w:r/>
            <w:r>
              <w:rPr>
                <w:sz w:val="19"/>
              </w:rPr>
              <w:t>70 percent of regular attendees maintain or improve their own school-day attendance rate against their prior-year rate</w:t>
            </w:r>
          </w:p>
        </w:tc>
        <w:tc>
          <w:tcPr>
            <w:tcW w:type="dxa" w:w="2736"/>
          </w:tcPr>
          <w:p>
            <w:pPr>
              <w:spacing w:after="40" w:before="40"/>
            </w:pPr>
            <w:r/>
            <w:r>
              <w:rPr>
                <w:sz w:val="19"/>
              </w:rPr>
              <w:t>District data share, fall and spring pulls</w:t>
            </w:r>
          </w:p>
        </w:tc>
        <w:tc>
          <w:tcPr>
            <w:tcW w:type="dxa" w:w="1152"/>
          </w:tcPr>
          <w:p>
            <w:pPr>
              <w:spacing w:after="40" w:before="40"/>
            </w:pPr>
            <w:r/>
            <w:r>
              <w:rPr>
                <w:sz w:val="19"/>
              </w:rPr>
              <w:t>Fall and spring</w:t>
            </w:r>
          </w:p>
        </w:tc>
      </w:tr>
      <w:tr>
        <w:tc>
          <w:tcPr>
            <w:tcW w:type="dxa" w:w="2448"/>
          </w:tcPr>
          <w:p>
            <w:pPr>
              <w:spacing w:after="40" w:before="40"/>
            </w:pPr>
            <w:r/>
            <w:r>
              <w:rPr>
                <w:sz w:val="19"/>
              </w:rPr>
              <w:t>2.2 Course standing</w:t>
            </w:r>
          </w:p>
        </w:tc>
        <w:tc>
          <w:tcPr>
            <w:tcW w:type="dxa" w:w="3024"/>
          </w:tcPr>
          <w:p>
            <w:pPr>
              <w:spacing w:after="40" w:before="40"/>
            </w:pPr>
            <w:r/>
            <w:r>
              <w:rPr>
                <w:sz w:val="19"/>
              </w:rPr>
              <w:t>75 percent of regular attendees end the year with no failing marks in English language arts or mathematics</w:t>
            </w:r>
          </w:p>
        </w:tc>
        <w:tc>
          <w:tcPr>
            <w:tcW w:type="dxa" w:w="2736"/>
          </w:tcPr>
          <w:p>
            <w:pPr>
              <w:spacing w:after="40" w:before="40"/>
            </w:pPr>
            <w:r/>
            <w:r>
              <w:rPr>
                <w:sz w:val="19"/>
              </w:rPr>
              <w:t>District data share, final report card</w:t>
            </w:r>
          </w:p>
        </w:tc>
        <w:tc>
          <w:tcPr>
            <w:tcW w:type="dxa" w:w="1152"/>
          </w:tcPr>
          <w:p>
            <w:pPr>
              <w:spacing w:after="40" w:before="40"/>
            </w:pPr>
            <w:r/>
            <w:r>
              <w:rPr>
                <w:sz w:val="19"/>
              </w:rPr>
              <w:t>End of year</w:t>
            </w:r>
          </w:p>
        </w:tc>
      </w:tr>
      <w:tr>
        <w:tc>
          <w:tcPr>
            <w:tcW w:type="dxa" w:w="2448"/>
          </w:tcPr>
          <w:p>
            <w:pPr>
              <w:spacing w:after="40" w:before="40"/>
            </w:pPr>
            <w:r/>
            <w:r>
              <w:rPr>
                <w:sz w:val="19"/>
              </w:rPr>
              <w:t>2.3 Recovery for students entering behind</w:t>
            </w:r>
          </w:p>
        </w:tc>
        <w:tc>
          <w:tcPr>
            <w:tcW w:type="dxa" w:w="3024"/>
          </w:tcPr>
          <w:p>
            <w:pPr>
              <w:spacing w:after="40" w:before="40"/>
            </w:pPr>
            <w:r/>
            <w:r>
              <w:rPr>
                <w:sz w:val="19"/>
              </w:rPr>
              <w:t>60 percent of regular attendees who entered with one or more prior-year course failures reduce that count</w:t>
            </w:r>
          </w:p>
        </w:tc>
        <w:tc>
          <w:tcPr>
            <w:tcW w:type="dxa" w:w="2736"/>
          </w:tcPr>
          <w:p>
            <w:pPr>
              <w:spacing w:after="40" w:before="40"/>
            </w:pPr>
            <w:r/>
            <w:r>
              <w:rPr>
                <w:sz w:val="19"/>
              </w:rPr>
              <w:t>District data share, prior-year and current-year marks</w:t>
            </w:r>
          </w:p>
        </w:tc>
        <w:tc>
          <w:tcPr>
            <w:tcW w:type="dxa" w:w="1152"/>
          </w:tcPr>
          <w:p>
            <w:pPr>
              <w:spacing w:after="40" w:before="40"/>
            </w:pPr>
            <w:r/>
            <w:r>
              <w:rPr>
                <w:sz w:val="19"/>
              </w:rPr>
              <w:t>End of year</w:t>
            </w:r>
          </w:p>
        </w:tc>
      </w:tr>
    </w:tbl>
    <w:p>
      <w:pPr>
        <w:spacing w:after="0"/>
      </w:pPr>
    </w:p>
    <w:p>
      <w:pPr>
        <w:pStyle w:val="Heading2"/>
      </w:pPr>
      <w:r>
        <w:t>Goal 3: Social and behavioral outcomes</w:t>
      </w:r>
    </w:p>
    <w:p>
      <w:r>
        <w:rPr>
          <w:b w:val="0"/>
          <w:i w:val="0"/>
        </w:rPr>
        <w:t>Participants who reach the dosage threshold strengthen the self-management and peer-relationship skills the enrichment curriculum targets, and hold or improve their school-day conduct record.</w:t>
      </w:r>
    </w:p>
    <w:tbl>
      <w:tblPr>
        <w:tblStyle w:val="LightGrid-Accent1"/>
        <w:tblW w:type="auto" w:w="0"/>
        <w:jc w:val="center"/>
        <w:tblLayout w:type="fixed"/>
        <w:tblLook w:firstColumn="1" w:firstRow="1" w:lastColumn="0" w:lastRow="0" w:noHBand="0" w:noVBand="1" w:val="04A0"/>
      </w:tblPr>
      <w:tblGrid>
        <w:gridCol w:w="2340"/>
        <w:gridCol w:w="2340"/>
        <w:gridCol w:w="2340"/>
        <w:gridCol w:w="2340"/>
      </w:tblGrid>
      <w:tr>
        <w:tc>
          <w:tcPr>
            <w:tcW w:type="dxa" w:w="2448"/>
          </w:tcPr>
          <w:p>
            <w:pPr>
              <w:spacing w:after="40" w:before="40"/>
            </w:pPr>
            <w:r/>
            <w:r>
              <w:rPr>
                <w:b/>
                <w:sz w:val="19"/>
              </w:rPr>
              <w:t>Objective</w:t>
            </w:r>
          </w:p>
        </w:tc>
        <w:tc>
          <w:tcPr>
            <w:tcW w:type="dxa" w:w="3024"/>
          </w:tcPr>
          <w:p>
            <w:pPr>
              <w:spacing w:after="40" w:before="40"/>
            </w:pPr>
            <w:r/>
            <w:r>
              <w:rPr>
                <w:b/>
                <w:sz w:val="19"/>
              </w:rPr>
              <w:t>Target</w:t>
            </w:r>
          </w:p>
        </w:tc>
        <w:tc>
          <w:tcPr>
            <w:tcW w:type="dxa" w:w="2736"/>
          </w:tcPr>
          <w:p>
            <w:pPr>
              <w:spacing w:after="40" w:before="40"/>
            </w:pPr>
            <w:r/>
            <w:r>
              <w:rPr>
                <w:b/>
                <w:sz w:val="19"/>
              </w:rPr>
              <w:t>Measure and source</w:t>
            </w:r>
          </w:p>
        </w:tc>
        <w:tc>
          <w:tcPr>
            <w:tcW w:type="dxa" w:w="1152"/>
          </w:tcPr>
          <w:p>
            <w:pPr>
              <w:spacing w:after="40" w:before="40"/>
            </w:pPr>
            <w:r/>
            <w:r>
              <w:rPr>
                <w:b/>
                <w:sz w:val="19"/>
              </w:rPr>
              <w:t>Timing</w:t>
            </w:r>
          </w:p>
        </w:tc>
      </w:tr>
      <w:tr>
        <w:tc>
          <w:tcPr>
            <w:tcW w:type="dxa" w:w="2448"/>
          </w:tcPr>
          <w:p>
            <w:pPr>
              <w:spacing w:after="40" w:before="40"/>
            </w:pPr>
            <w:r/>
            <w:r>
              <w:rPr>
                <w:sz w:val="19"/>
              </w:rPr>
              <w:t>3.1 Self-reported skills</w:t>
            </w:r>
          </w:p>
        </w:tc>
        <w:tc>
          <w:tcPr>
            <w:tcW w:type="dxa" w:w="3024"/>
          </w:tcPr>
          <w:p>
            <w:pPr>
              <w:spacing w:after="40" w:before="40"/>
            </w:pPr>
            <w:r/>
            <w:r>
              <w:rPr>
                <w:sz w:val="19"/>
              </w:rPr>
              <w:t>70 percent of regular attendees maintain or improve scores on the two targeted subscales</w:t>
            </w:r>
          </w:p>
        </w:tc>
        <w:tc>
          <w:tcPr>
            <w:tcW w:type="dxa" w:w="2736"/>
          </w:tcPr>
          <w:p>
            <w:pPr>
              <w:spacing w:after="40" w:before="40"/>
            </w:pPr>
            <w:r/>
            <w:r>
              <w:rPr>
                <w:sz w:val="19"/>
              </w:rPr>
              <w:t>[Your validated youth survey], baseline and year-end administration</w:t>
            </w:r>
          </w:p>
        </w:tc>
        <w:tc>
          <w:tcPr>
            <w:tcW w:type="dxa" w:w="1152"/>
          </w:tcPr>
          <w:p>
            <w:pPr>
              <w:spacing w:after="40" w:before="40"/>
            </w:pPr>
            <w:r/>
            <w:r>
              <w:rPr>
                <w:sz w:val="19"/>
              </w:rPr>
              <w:t>Two administrations</w:t>
            </w:r>
          </w:p>
        </w:tc>
      </w:tr>
      <w:tr>
        <w:tc>
          <w:tcPr>
            <w:tcW w:type="dxa" w:w="2448"/>
          </w:tcPr>
          <w:p>
            <w:pPr>
              <w:spacing w:after="40" w:before="40"/>
            </w:pPr>
            <w:r/>
            <w:r>
              <w:rPr>
                <w:sz w:val="19"/>
              </w:rPr>
              <w:t>3.2 School-day conduct</w:t>
            </w:r>
          </w:p>
        </w:tc>
        <w:tc>
          <w:tcPr>
            <w:tcW w:type="dxa" w:w="3024"/>
          </w:tcPr>
          <w:p>
            <w:pPr>
              <w:spacing w:after="40" w:before="40"/>
            </w:pPr>
            <w:r/>
            <w:r>
              <w:rPr>
                <w:sz w:val="19"/>
              </w:rPr>
              <w:t>Behavior referrals among regular attendees hold steady or decline from fall to spring</w:t>
            </w:r>
          </w:p>
        </w:tc>
        <w:tc>
          <w:tcPr>
            <w:tcW w:type="dxa" w:w="2736"/>
          </w:tcPr>
          <w:p>
            <w:pPr>
              <w:spacing w:after="40" w:before="40"/>
            </w:pPr>
            <w:r/>
            <w:r>
              <w:rPr>
                <w:sz w:val="19"/>
              </w:rPr>
              <w:t>District data share</w:t>
            </w:r>
          </w:p>
        </w:tc>
        <w:tc>
          <w:tcPr>
            <w:tcW w:type="dxa" w:w="1152"/>
          </w:tcPr>
          <w:p>
            <w:pPr>
              <w:spacing w:after="40" w:before="40"/>
            </w:pPr>
            <w:r/>
            <w:r>
              <w:rPr>
                <w:sz w:val="19"/>
              </w:rPr>
              <w:t>Fall and spring</w:t>
            </w:r>
          </w:p>
        </w:tc>
      </w:tr>
      <w:tr>
        <w:tc>
          <w:tcPr>
            <w:tcW w:type="dxa" w:w="2448"/>
          </w:tcPr>
          <w:p>
            <w:pPr>
              <w:spacing w:after="40" w:before="40"/>
            </w:pPr>
            <w:r/>
            <w:r>
              <w:rPr>
                <w:sz w:val="19"/>
              </w:rPr>
              <w:t>3.3 Teen leadership completion</w:t>
            </w:r>
          </w:p>
        </w:tc>
        <w:tc>
          <w:tcPr>
            <w:tcW w:type="dxa" w:w="3024"/>
          </w:tcPr>
          <w:p>
            <w:pPr>
              <w:spacing w:after="40" w:before="40"/>
            </w:pPr>
            <w:r/>
            <w:r>
              <w:rPr>
                <w:sz w:val="19"/>
              </w:rPr>
              <w:t>7 of 8 teen leaders complete both semesters, the training, and 30 logged hours each</w:t>
            </w:r>
          </w:p>
        </w:tc>
        <w:tc>
          <w:tcPr>
            <w:tcW w:type="dxa" w:w="2736"/>
          </w:tcPr>
          <w:p>
            <w:pPr>
              <w:spacing w:after="40" w:before="40"/>
            </w:pPr>
            <w:r/>
            <w:r>
              <w:rPr>
                <w:sz w:val="19"/>
              </w:rPr>
              <w:t>Leadership hour log and training roster</w:t>
            </w:r>
          </w:p>
        </w:tc>
        <w:tc>
          <w:tcPr>
            <w:tcW w:type="dxa" w:w="1152"/>
          </w:tcPr>
          <w:p>
            <w:pPr>
              <w:spacing w:after="40" w:before="40"/>
            </w:pPr>
            <w:r/>
            <w:r>
              <w:rPr>
                <w:sz w:val="19"/>
              </w:rPr>
              <w:t>End of each semester</w:t>
            </w:r>
          </w:p>
        </w:tc>
      </w:tr>
    </w:tbl>
    <w:p>
      <w:pPr>
        <w:spacing w:after="0"/>
      </w:pPr>
    </w:p>
    <w:p>
      <w:pPr>
        <w:pStyle w:val="Heading2"/>
      </w:pPr>
      <w:r>
        <w:t>Goal 4: Family engagement and safety</w:t>
      </w:r>
    </w:p>
    <w:p>
      <w:r>
        <w:rPr>
          <w:b w:val="0"/>
          <w:i w:val="0"/>
        </w:rPr>
        <w:t>Families stay reachable and informed, and every adult in the room is cleared before contact with a participant.</w:t>
      </w:r>
    </w:p>
    <w:tbl>
      <w:tblPr>
        <w:tblStyle w:val="LightGrid-Accent1"/>
        <w:tblW w:type="auto" w:w="0"/>
        <w:jc w:val="center"/>
        <w:tblLayout w:type="fixed"/>
        <w:tblLook w:firstColumn="1" w:firstRow="1" w:lastColumn="0" w:lastRow="0" w:noHBand="0" w:noVBand="1" w:val="04A0"/>
      </w:tblPr>
      <w:tblGrid>
        <w:gridCol w:w="2340"/>
        <w:gridCol w:w="2340"/>
        <w:gridCol w:w="2340"/>
        <w:gridCol w:w="2340"/>
      </w:tblGrid>
      <w:tr>
        <w:tc>
          <w:tcPr>
            <w:tcW w:type="dxa" w:w="2448"/>
          </w:tcPr>
          <w:p>
            <w:pPr>
              <w:spacing w:after="40" w:before="40"/>
            </w:pPr>
            <w:r/>
            <w:r>
              <w:rPr>
                <w:b/>
                <w:sz w:val="19"/>
              </w:rPr>
              <w:t>Objective</w:t>
            </w:r>
          </w:p>
        </w:tc>
        <w:tc>
          <w:tcPr>
            <w:tcW w:type="dxa" w:w="3024"/>
          </w:tcPr>
          <w:p>
            <w:pPr>
              <w:spacing w:after="40" w:before="40"/>
            </w:pPr>
            <w:r/>
            <w:r>
              <w:rPr>
                <w:b/>
                <w:sz w:val="19"/>
              </w:rPr>
              <w:t>Target</w:t>
            </w:r>
          </w:p>
        </w:tc>
        <w:tc>
          <w:tcPr>
            <w:tcW w:type="dxa" w:w="2736"/>
          </w:tcPr>
          <w:p>
            <w:pPr>
              <w:spacing w:after="40" w:before="40"/>
            </w:pPr>
            <w:r/>
            <w:r>
              <w:rPr>
                <w:b/>
                <w:sz w:val="19"/>
              </w:rPr>
              <w:t>Measure and source</w:t>
            </w:r>
          </w:p>
        </w:tc>
        <w:tc>
          <w:tcPr>
            <w:tcW w:type="dxa" w:w="1152"/>
          </w:tcPr>
          <w:p>
            <w:pPr>
              <w:spacing w:after="40" w:before="40"/>
            </w:pPr>
            <w:r/>
            <w:r>
              <w:rPr>
                <w:b/>
                <w:sz w:val="19"/>
              </w:rPr>
              <w:t>Timing</w:t>
            </w:r>
          </w:p>
        </w:tc>
      </w:tr>
      <w:tr>
        <w:tc>
          <w:tcPr>
            <w:tcW w:type="dxa" w:w="2448"/>
          </w:tcPr>
          <w:p>
            <w:pPr>
              <w:spacing w:after="40" w:before="40"/>
            </w:pPr>
            <w:r/>
            <w:r>
              <w:rPr>
                <w:sz w:val="19"/>
              </w:rPr>
              <w:t>4.1 Enrollment conferences</w:t>
            </w:r>
          </w:p>
        </w:tc>
        <w:tc>
          <w:tcPr>
            <w:tcW w:type="dxa" w:w="3024"/>
          </w:tcPr>
          <w:p>
            <w:pPr>
              <w:spacing w:after="40" w:before="40"/>
            </w:pPr>
            <w:r/>
            <w:r>
              <w:rPr>
                <w:sz w:val="19"/>
              </w:rPr>
              <w:t>90 percent of families complete an enrollment conference</w:t>
            </w:r>
          </w:p>
        </w:tc>
        <w:tc>
          <w:tcPr>
            <w:tcW w:type="dxa" w:w="2736"/>
          </w:tcPr>
          <w:p>
            <w:pPr>
              <w:spacing w:after="40" w:before="40"/>
            </w:pPr>
            <w:r/>
            <w:r>
              <w:rPr>
                <w:sz w:val="19"/>
              </w:rPr>
              <w:t>Enrollment record</w:t>
            </w:r>
          </w:p>
        </w:tc>
        <w:tc>
          <w:tcPr>
            <w:tcW w:type="dxa" w:w="1152"/>
          </w:tcPr>
          <w:p>
            <w:pPr>
              <w:spacing w:after="40" w:before="40"/>
            </w:pPr>
            <w:r/>
            <w:r>
              <w:rPr>
                <w:sz w:val="19"/>
              </w:rPr>
              <w:t>By October 31</w:t>
            </w:r>
          </w:p>
        </w:tc>
      </w:tr>
      <w:tr>
        <w:tc>
          <w:tcPr>
            <w:tcW w:type="dxa" w:w="2448"/>
          </w:tcPr>
          <w:p>
            <w:pPr>
              <w:spacing w:after="40" w:before="40"/>
            </w:pPr>
            <w:r/>
            <w:r>
              <w:rPr>
                <w:sz w:val="19"/>
              </w:rPr>
              <w:t>4.2 Mid-year conversations</w:t>
            </w:r>
          </w:p>
        </w:tc>
        <w:tc>
          <w:tcPr>
            <w:tcW w:type="dxa" w:w="3024"/>
          </w:tcPr>
          <w:p>
            <w:pPr>
              <w:spacing w:after="40" w:before="40"/>
            </w:pPr>
            <w:r/>
            <w:r>
              <w:rPr>
                <w:sz w:val="19"/>
              </w:rPr>
              <w:t>70 percent of families complete a mid-year progress conversation</w:t>
            </w:r>
          </w:p>
        </w:tc>
        <w:tc>
          <w:tcPr>
            <w:tcW w:type="dxa" w:w="2736"/>
          </w:tcPr>
          <w:p>
            <w:pPr>
              <w:spacing w:after="40" w:before="40"/>
            </w:pPr>
            <w:r/>
            <w:r>
              <w:rPr>
                <w:sz w:val="19"/>
              </w:rPr>
              <w:t>Family contact log</w:t>
            </w:r>
          </w:p>
        </w:tc>
        <w:tc>
          <w:tcPr>
            <w:tcW w:type="dxa" w:w="1152"/>
          </w:tcPr>
          <w:p>
            <w:pPr>
              <w:spacing w:after="40" w:before="40"/>
            </w:pPr>
            <w:r/>
            <w:r>
              <w:rPr>
                <w:sz w:val="19"/>
              </w:rPr>
              <w:t>By January 31</w:t>
            </w:r>
          </w:p>
        </w:tc>
      </w:tr>
      <w:tr>
        <w:tc>
          <w:tcPr>
            <w:tcW w:type="dxa" w:w="2448"/>
          </w:tcPr>
          <w:p>
            <w:pPr>
              <w:spacing w:after="40" w:before="40"/>
            </w:pPr>
            <w:r/>
            <w:r>
              <w:rPr>
                <w:sz w:val="19"/>
              </w:rPr>
              <w:t>4.3 Clearance compliance</w:t>
            </w:r>
          </w:p>
        </w:tc>
        <w:tc>
          <w:tcPr>
            <w:tcW w:type="dxa" w:w="3024"/>
          </w:tcPr>
          <w:p>
            <w:pPr>
              <w:spacing w:after="40" w:before="40"/>
            </w:pPr>
            <w:r/>
            <w:r>
              <w:rPr>
                <w:sz w:val="19"/>
              </w:rPr>
              <w:t>100 percent of adults with participant contact cleared before first unsupervised contact, with zero lapsed clearances at any monthly review</w:t>
            </w:r>
          </w:p>
        </w:tc>
        <w:tc>
          <w:tcPr>
            <w:tcW w:type="dxa" w:w="2736"/>
          </w:tcPr>
          <w:p>
            <w:pPr>
              <w:spacing w:after="40" w:before="40"/>
            </w:pPr>
            <w:r/>
            <w:r>
              <w:rPr>
                <w:sz w:val="19"/>
              </w:rPr>
              <w:t>Clearance log, reviewed monthly</w:t>
            </w:r>
          </w:p>
        </w:tc>
        <w:tc>
          <w:tcPr>
            <w:tcW w:type="dxa" w:w="1152"/>
          </w:tcPr>
          <w:p>
            <w:pPr>
              <w:spacing w:after="40" w:before="40"/>
            </w:pPr>
            <w:r/>
            <w:r>
              <w:rPr>
                <w:sz w:val="19"/>
              </w:rPr>
              <w:t>Monthly</w:t>
            </w:r>
          </w:p>
        </w:tc>
      </w:tr>
      <w:tr>
        <w:tc>
          <w:tcPr>
            <w:tcW w:type="dxa" w:w="2448"/>
          </w:tcPr>
          <w:p>
            <w:pPr>
              <w:spacing w:after="40" w:before="40"/>
            </w:pPr>
            <w:r/>
            <w:r>
              <w:rPr>
                <w:sz w:val="19"/>
              </w:rPr>
              <w:t>4.4 Release integrity</w:t>
            </w:r>
          </w:p>
        </w:tc>
        <w:tc>
          <w:tcPr>
            <w:tcW w:type="dxa" w:w="3024"/>
          </w:tcPr>
          <w:p>
            <w:pPr>
              <w:spacing w:after="40" w:before="40"/>
            </w:pPr>
            <w:r/>
            <w:r>
              <w:rPr>
                <w:sz w:val="19"/>
              </w:rPr>
              <w:t>Zero participants released to an adult not on the authorization form</w:t>
            </w:r>
          </w:p>
        </w:tc>
        <w:tc>
          <w:tcPr>
            <w:tcW w:type="dxa" w:w="2736"/>
          </w:tcPr>
          <w:p>
            <w:pPr>
              <w:spacing w:after="40" w:before="40"/>
            </w:pPr>
            <w:r/>
            <w:r>
              <w:rPr>
                <w:sz w:val="19"/>
              </w:rPr>
              <w:t>Sign-out log and incident log</w:t>
            </w:r>
          </w:p>
        </w:tc>
        <w:tc>
          <w:tcPr>
            <w:tcW w:type="dxa" w:w="1152"/>
          </w:tcPr>
          <w:p>
            <w:pPr>
              <w:spacing w:after="40" w:before="40"/>
            </w:pPr>
            <w:r/>
            <w:r>
              <w:rPr>
                <w:sz w:val="19"/>
              </w:rPr>
              <w:t>Continuous</w:t>
            </w:r>
          </w:p>
        </w:tc>
      </w:tr>
    </w:tbl>
    <w:p>
      <w:pPr>
        <w:spacing w:after="0"/>
      </w:pPr>
    </w:p>
    <w:p>
      <w:pPr>
        <w:pStyle w:val="Heading2"/>
      </w:pPr>
      <w:r>
        <w:t>Two failure modes to check before you submit</w:t>
      </w:r>
    </w:p>
    <w:p>
      <w:r>
        <w:rPr>
          <w:b w:val="0"/>
          <w:i w:val="0"/>
        </w:rPr>
        <w:t>The first is an objective you cannot measure without school data you have not arranged access to. Objectives 2.1 through 2.3 and 3.2 depend entirely on the data sharing agreement described in section 5. EYA's contingency is stated in the proposal rather than discovered in month nine: if the agreement is not executed before the project start date, EYA reports objectives 2.1 through 2.3 from report cards that guardians provide at conferences, reports the smaller denominator honestly, and says in the report which route produced the data.</w:t>
      </w:r>
    </w:p>
    <w:p>
      <w:r>
        <w:rPr>
          <w:b w:val="0"/>
          <w:i w:val="0"/>
        </w:rPr>
        <w:t>The second is an outcome target for something the program does not touch. A 12-week after-school club should not promise a change in graduation rate, and a homework support block should not promise a state test score gain it has no mechanism to produce. Every target above names something the program contacts directly: hours delivered, days attended, marks in the two subjects the academic block supports, referrals during the school day the program adjoins, and the two survey subscales the enrichment curriculum is built around.</w:t>
      </w:r>
    </w:p>
    <w:p>
      <w:pPr>
        <w:pStyle w:val="Heading1"/>
      </w:pPr>
      <w:r>
        <w:t>5. Evaluation Plan</w:t>
      </w:r>
    </w:p>
    <w:p>
      <w:r>
        <w:rPr>
          <w:b w:val="0"/>
          <w:i w:val="0"/>
        </w:rPr>
        <w:t>Attendance shows the program ran. A school-day measure shows it mattered. A youth evaluation plan needs both, plus one social or behavioral measure, and every row needs a named source and a named collector. A row with no collector is a row that does not get collected.</w:t>
      </w:r>
    </w:p>
    <w:p>
      <w:pPr>
        <w:pStyle w:val="Heading2"/>
      </w:pPr>
      <w:r>
        <w:t>Measures</w:t>
      </w:r>
    </w:p>
    <w:tbl>
      <w:tblPr>
        <w:tblStyle w:val="LightGrid-Accent1"/>
        <w:tblW w:type="auto" w:w="0"/>
        <w:jc w:val="center"/>
        <w:tblLayout w:type="fixed"/>
        <w:tblLook w:firstColumn="1" w:firstRow="1" w:lastColumn="0" w:lastRow="0" w:noHBand="0" w:noVBand="1" w:val="04A0"/>
      </w:tblPr>
      <w:tblGrid>
        <w:gridCol w:w="1872"/>
        <w:gridCol w:w="1872"/>
        <w:gridCol w:w="1872"/>
        <w:gridCol w:w="1872"/>
        <w:gridCol w:w="1872"/>
      </w:tblGrid>
      <w:tr>
        <w:tc>
          <w:tcPr>
            <w:tcW w:type="dxa" w:w="2232"/>
          </w:tcPr>
          <w:p>
            <w:pPr>
              <w:spacing w:after="40" w:before="40"/>
            </w:pPr>
            <w:r/>
            <w:r>
              <w:rPr>
                <w:b/>
                <w:sz w:val="19"/>
              </w:rPr>
              <w:t>Measure</w:t>
            </w:r>
          </w:p>
        </w:tc>
        <w:tc>
          <w:tcPr>
            <w:tcW w:type="dxa" w:w="2520"/>
          </w:tcPr>
          <w:p>
            <w:pPr>
              <w:spacing w:after="40" w:before="40"/>
            </w:pPr>
            <w:r/>
            <w:r>
              <w:rPr>
                <w:b/>
                <w:sz w:val="19"/>
              </w:rPr>
              <w:t>What it shows</w:t>
            </w:r>
          </w:p>
        </w:tc>
        <w:tc>
          <w:tcPr>
            <w:tcW w:type="dxa" w:w="1656"/>
          </w:tcPr>
          <w:p>
            <w:pPr>
              <w:spacing w:after="40" w:before="40"/>
            </w:pPr>
            <w:r/>
            <w:r>
              <w:rPr>
                <w:b/>
                <w:sz w:val="19"/>
              </w:rPr>
              <w:t>Source</w:t>
            </w:r>
          </w:p>
        </w:tc>
        <w:tc>
          <w:tcPr>
            <w:tcW w:type="dxa" w:w="1440"/>
          </w:tcPr>
          <w:p>
            <w:pPr>
              <w:spacing w:after="40" w:before="40"/>
            </w:pPr>
            <w:r/>
            <w:r>
              <w:rPr>
                <w:b/>
                <w:sz w:val="19"/>
              </w:rPr>
              <w:t>Collected</w:t>
            </w:r>
          </w:p>
        </w:tc>
        <w:tc>
          <w:tcPr>
            <w:tcW w:type="dxa" w:w="1512"/>
          </w:tcPr>
          <w:p>
            <w:pPr>
              <w:spacing w:after="40" w:before="40"/>
            </w:pPr>
            <w:r/>
            <w:r>
              <w:rPr>
                <w:b/>
                <w:sz w:val="19"/>
              </w:rPr>
              <w:t>Collected by</w:t>
            </w:r>
          </w:p>
        </w:tc>
      </w:tr>
      <w:tr>
        <w:tc>
          <w:tcPr>
            <w:tcW w:type="dxa" w:w="2232"/>
          </w:tcPr>
          <w:p>
            <w:pPr>
              <w:spacing w:after="40" w:before="40"/>
            </w:pPr>
            <w:r/>
            <w:r>
              <w:rPr>
                <w:sz w:val="19"/>
              </w:rPr>
              <w:t>Program days attended per participant</w:t>
            </w:r>
          </w:p>
        </w:tc>
        <w:tc>
          <w:tcPr>
            <w:tcW w:type="dxa" w:w="2520"/>
          </w:tcPr>
          <w:p>
            <w:pPr>
              <w:spacing w:after="40" w:before="40"/>
            </w:pPr>
            <w:r/>
            <w:r>
              <w:rPr>
                <w:sz w:val="19"/>
              </w:rPr>
              <w:t>Dosage, the base for every other claim</w:t>
            </w:r>
          </w:p>
        </w:tc>
        <w:tc>
          <w:tcPr>
            <w:tcW w:type="dxa" w:w="1656"/>
          </w:tcPr>
          <w:p>
            <w:pPr>
              <w:spacing w:after="40" w:before="40"/>
            </w:pPr>
            <w:r/>
            <w:r>
              <w:rPr>
                <w:sz w:val="19"/>
              </w:rPr>
              <w:t>Daily sign-in system</w:t>
            </w:r>
          </w:p>
        </w:tc>
        <w:tc>
          <w:tcPr>
            <w:tcW w:type="dxa" w:w="1440"/>
          </w:tcPr>
          <w:p>
            <w:pPr>
              <w:spacing w:after="40" w:before="40"/>
            </w:pPr>
            <w:r/>
            <w:r>
              <w:rPr>
                <w:sz w:val="19"/>
              </w:rPr>
              <w:t>Every session</w:t>
            </w:r>
          </w:p>
        </w:tc>
        <w:tc>
          <w:tcPr>
            <w:tcW w:type="dxa" w:w="1512"/>
          </w:tcPr>
          <w:p>
            <w:pPr>
              <w:spacing w:after="40" w:before="40"/>
            </w:pPr>
            <w:r/>
            <w:r>
              <w:rPr>
                <w:sz w:val="19"/>
              </w:rPr>
              <w:t>Youth development staff</w:t>
            </w:r>
          </w:p>
        </w:tc>
      </w:tr>
      <w:tr>
        <w:tc>
          <w:tcPr>
            <w:tcW w:type="dxa" w:w="2232"/>
          </w:tcPr>
          <w:p>
            <w:pPr>
              <w:spacing w:after="40" w:before="40"/>
            </w:pPr>
            <w:r/>
            <w:r>
              <w:rPr>
                <w:sz w:val="19"/>
              </w:rPr>
              <w:t>Regular attendee count</w:t>
            </w:r>
          </w:p>
        </w:tc>
        <w:tc>
          <w:tcPr>
            <w:tcW w:type="dxa" w:w="2520"/>
          </w:tcPr>
          <w:p>
            <w:pPr>
              <w:spacing w:after="40" w:before="40"/>
            </w:pPr>
            <w:r/>
            <w:r>
              <w:rPr>
                <w:sz w:val="19"/>
              </w:rPr>
              <w:t>How many participants received a real intervention</w:t>
            </w:r>
          </w:p>
        </w:tc>
        <w:tc>
          <w:tcPr>
            <w:tcW w:type="dxa" w:w="1656"/>
          </w:tcPr>
          <w:p>
            <w:pPr>
              <w:spacing w:after="40" w:before="40"/>
            </w:pPr>
            <w:r/>
            <w:r>
              <w:rPr>
                <w:sz w:val="19"/>
              </w:rPr>
              <w:t>Attendance system</w:t>
            </w:r>
          </w:p>
        </w:tc>
        <w:tc>
          <w:tcPr>
            <w:tcW w:type="dxa" w:w="1440"/>
          </w:tcPr>
          <w:p>
            <w:pPr>
              <w:spacing w:after="40" w:before="40"/>
            </w:pPr>
            <w:r/>
            <w:r>
              <w:rPr>
                <w:sz w:val="19"/>
              </w:rPr>
              <w:t>Monthly</w:t>
            </w:r>
          </w:p>
        </w:tc>
        <w:tc>
          <w:tcPr>
            <w:tcW w:type="dxa" w:w="1512"/>
          </w:tcPr>
          <w:p>
            <w:pPr>
              <w:spacing w:after="40" w:before="40"/>
            </w:pPr>
            <w:r/>
            <w:r>
              <w:rPr>
                <w:sz w:val="19"/>
              </w:rPr>
              <w:t>Site coordinator</w:t>
            </w:r>
          </w:p>
        </w:tc>
      </w:tr>
      <w:tr>
        <w:tc>
          <w:tcPr>
            <w:tcW w:type="dxa" w:w="2232"/>
          </w:tcPr>
          <w:p>
            <w:pPr>
              <w:spacing w:after="40" w:before="40"/>
            </w:pPr>
            <w:r/>
            <w:r>
              <w:rPr>
                <w:sz w:val="19"/>
              </w:rPr>
              <w:t>Average daily attendance</w:t>
            </w:r>
          </w:p>
        </w:tc>
        <w:tc>
          <w:tcPr>
            <w:tcW w:type="dxa" w:w="2520"/>
          </w:tcPr>
          <w:p>
            <w:pPr>
              <w:spacing w:after="40" w:before="40"/>
            </w:pPr>
            <w:r/>
            <w:r>
              <w:rPr>
                <w:sz w:val="19"/>
              </w:rPr>
              <w:t>Whether the program is filling the seats it budgeted</w:t>
            </w:r>
          </w:p>
        </w:tc>
        <w:tc>
          <w:tcPr>
            <w:tcW w:type="dxa" w:w="1656"/>
          </w:tcPr>
          <w:p>
            <w:pPr>
              <w:spacing w:after="40" w:before="40"/>
            </w:pPr>
            <w:r/>
            <w:r>
              <w:rPr>
                <w:sz w:val="19"/>
              </w:rPr>
              <w:t>Attendance system</w:t>
            </w:r>
          </w:p>
        </w:tc>
        <w:tc>
          <w:tcPr>
            <w:tcW w:type="dxa" w:w="1440"/>
          </w:tcPr>
          <w:p>
            <w:pPr>
              <w:spacing w:after="40" w:before="40"/>
            </w:pPr>
            <w:r/>
            <w:r>
              <w:rPr>
                <w:sz w:val="19"/>
              </w:rPr>
              <w:t>Monthly</w:t>
            </w:r>
          </w:p>
        </w:tc>
        <w:tc>
          <w:tcPr>
            <w:tcW w:type="dxa" w:w="1512"/>
          </w:tcPr>
          <w:p>
            <w:pPr>
              <w:spacing w:after="40" w:before="40"/>
            </w:pPr>
            <w:r/>
            <w:r>
              <w:rPr>
                <w:sz w:val="19"/>
              </w:rPr>
              <w:t>Site coordinator</w:t>
            </w:r>
          </w:p>
        </w:tc>
      </w:tr>
      <w:tr>
        <w:tc>
          <w:tcPr>
            <w:tcW w:type="dxa" w:w="2232"/>
          </w:tcPr>
          <w:p>
            <w:pPr>
              <w:spacing w:after="40" w:before="40"/>
            </w:pPr>
            <w:r/>
            <w:r>
              <w:rPr>
                <w:sz w:val="19"/>
              </w:rPr>
              <w:t>Hours of academic support and enrichment</w:t>
            </w:r>
          </w:p>
        </w:tc>
        <w:tc>
          <w:tcPr>
            <w:tcW w:type="dxa" w:w="2520"/>
          </w:tcPr>
          <w:p>
            <w:pPr>
              <w:spacing w:after="40" w:before="40"/>
            </w:pPr>
            <w:r/>
            <w:r>
              <w:rPr>
                <w:sz w:val="19"/>
              </w:rPr>
              <w:t>Whether the promised dose was actually delivered</w:t>
            </w:r>
          </w:p>
        </w:tc>
        <w:tc>
          <w:tcPr>
            <w:tcW w:type="dxa" w:w="1656"/>
          </w:tcPr>
          <w:p>
            <w:pPr>
              <w:spacing w:after="40" w:before="40"/>
            </w:pPr>
            <w:r/>
            <w:r>
              <w:rPr>
                <w:sz w:val="19"/>
              </w:rPr>
              <w:t>Block schedule audit</w:t>
            </w:r>
          </w:p>
        </w:tc>
        <w:tc>
          <w:tcPr>
            <w:tcW w:type="dxa" w:w="1440"/>
          </w:tcPr>
          <w:p>
            <w:pPr>
              <w:spacing w:after="40" w:before="40"/>
            </w:pPr>
            <w:r/>
            <w:r>
              <w:rPr>
                <w:sz w:val="19"/>
              </w:rPr>
              <w:t>Monthly</w:t>
            </w:r>
          </w:p>
        </w:tc>
        <w:tc>
          <w:tcPr>
            <w:tcW w:type="dxa" w:w="1512"/>
          </w:tcPr>
          <w:p>
            <w:pPr>
              <w:spacing w:after="40" w:before="40"/>
            </w:pPr>
            <w:r/>
            <w:r>
              <w:rPr>
                <w:sz w:val="19"/>
              </w:rPr>
              <w:t>Site coordinator</w:t>
            </w:r>
          </w:p>
        </w:tc>
      </w:tr>
      <w:tr>
        <w:tc>
          <w:tcPr>
            <w:tcW w:type="dxa" w:w="2232"/>
          </w:tcPr>
          <w:p>
            <w:pPr>
              <w:spacing w:after="40" w:before="40"/>
            </w:pPr>
            <w:r/>
            <w:r>
              <w:rPr>
                <w:sz w:val="19"/>
              </w:rPr>
              <w:t>School-day attendance rate</w:t>
            </w:r>
          </w:p>
        </w:tc>
        <w:tc>
          <w:tcPr>
            <w:tcW w:type="dxa" w:w="2520"/>
          </w:tcPr>
          <w:p>
            <w:pPr>
              <w:spacing w:after="40" w:before="40"/>
            </w:pPr>
            <w:r/>
            <w:r>
              <w:rPr>
                <w:sz w:val="19"/>
              </w:rPr>
              <w:t>Whether program attendance moved school attendance</w:t>
            </w:r>
          </w:p>
        </w:tc>
        <w:tc>
          <w:tcPr>
            <w:tcW w:type="dxa" w:w="1656"/>
          </w:tcPr>
          <w:p>
            <w:pPr>
              <w:spacing w:after="40" w:before="40"/>
            </w:pPr>
            <w:r/>
            <w:r>
              <w:rPr>
                <w:sz w:val="19"/>
              </w:rPr>
              <w:t>District data share</w:t>
            </w:r>
          </w:p>
        </w:tc>
        <w:tc>
          <w:tcPr>
            <w:tcW w:type="dxa" w:w="1440"/>
          </w:tcPr>
          <w:p>
            <w:pPr>
              <w:spacing w:after="40" w:before="40"/>
            </w:pPr>
            <w:r/>
            <w:r>
              <w:rPr>
                <w:sz w:val="19"/>
              </w:rPr>
              <w:t>Fall and spring</w:t>
            </w:r>
          </w:p>
        </w:tc>
        <w:tc>
          <w:tcPr>
            <w:tcW w:type="dxa" w:w="1512"/>
          </w:tcPr>
          <w:p>
            <w:pPr>
              <w:spacing w:after="40" w:before="40"/>
            </w:pPr>
            <w:r/>
            <w:r>
              <w:rPr>
                <w:sz w:val="19"/>
              </w:rPr>
              <w:t>Evaluation analyst</w:t>
            </w:r>
          </w:p>
        </w:tc>
      </w:tr>
      <w:tr>
        <w:tc>
          <w:tcPr>
            <w:tcW w:type="dxa" w:w="2232"/>
          </w:tcPr>
          <w:p>
            <w:pPr>
              <w:spacing w:after="40" w:before="40"/>
            </w:pPr>
            <w:r/>
            <w:r>
              <w:rPr>
                <w:sz w:val="19"/>
              </w:rPr>
              <w:t>Course marks and credit status</w:t>
            </w:r>
          </w:p>
        </w:tc>
        <w:tc>
          <w:tcPr>
            <w:tcW w:type="dxa" w:w="2520"/>
          </w:tcPr>
          <w:p>
            <w:pPr>
              <w:spacing w:after="40" w:before="40"/>
            </w:pPr>
            <w:r/>
            <w:r>
              <w:rPr>
                <w:sz w:val="19"/>
              </w:rPr>
              <w:t>Academic effect for participants</w:t>
            </w:r>
          </w:p>
        </w:tc>
        <w:tc>
          <w:tcPr>
            <w:tcW w:type="dxa" w:w="1656"/>
          </w:tcPr>
          <w:p>
            <w:pPr>
              <w:spacing w:after="40" w:before="40"/>
            </w:pPr>
            <w:r/>
            <w:r>
              <w:rPr>
                <w:sz w:val="19"/>
              </w:rPr>
              <w:t>District data share</w:t>
            </w:r>
          </w:p>
        </w:tc>
        <w:tc>
          <w:tcPr>
            <w:tcW w:type="dxa" w:w="1440"/>
          </w:tcPr>
          <w:p>
            <w:pPr>
              <w:spacing w:after="40" w:before="40"/>
            </w:pPr>
            <w:r/>
            <w:r>
              <w:rPr>
                <w:sz w:val="19"/>
              </w:rPr>
              <w:t>Each marking period</w:t>
            </w:r>
          </w:p>
        </w:tc>
        <w:tc>
          <w:tcPr>
            <w:tcW w:type="dxa" w:w="1512"/>
          </w:tcPr>
          <w:p>
            <w:pPr>
              <w:spacing w:after="40" w:before="40"/>
            </w:pPr>
            <w:r/>
            <w:r>
              <w:rPr>
                <w:sz w:val="19"/>
              </w:rPr>
              <w:t>Evaluation analyst</w:t>
            </w:r>
          </w:p>
        </w:tc>
      </w:tr>
      <w:tr>
        <w:tc>
          <w:tcPr>
            <w:tcW w:type="dxa" w:w="2232"/>
          </w:tcPr>
          <w:p>
            <w:pPr>
              <w:spacing w:after="40" w:before="40"/>
            </w:pPr>
            <w:r/>
            <w:r>
              <w:rPr>
                <w:sz w:val="19"/>
              </w:rPr>
              <w:t>Behavior referrals</w:t>
            </w:r>
          </w:p>
        </w:tc>
        <w:tc>
          <w:tcPr>
            <w:tcW w:type="dxa" w:w="2520"/>
          </w:tcPr>
          <w:p>
            <w:pPr>
              <w:spacing w:after="40" w:before="40"/>
            </w:pPr>
            <w:r/>
            <w:r>
              <w:rPr>
                <w:sz w:val="19"/>
              </w:rPr>
              <w:t>Change in school-day conduct</w:t>
            </w:r>
          </w:p>
        </w:tc>
        <w:tc>
          <w:tcPr>
            <w:tcW w:type="dxa" w:w="1656"/>
          </w:tcPr>
          <w:p>
            <w:pPr>
              <w:spacing w:after="40" w:before="40"/>
            </w:pPr>
            <w:r/>
            <w:r>
              <w:rPr>
                <w:sz w:val="19"/>
              </w:rPr>
              <w:t>District data share</w:t>
            </w:r>
          </w:p>
        </w:tc>
        <w:tc>
          <w:tcPr>
            <w:tcW w:type="dxa" w:w="1440"/>
          </w:tcPr>
          <w:p>
            <w:pPr>
              <w:spacing w:after="40" w:before="40"/>
            </w:pPr>
            <w:r/>
            <w:r>
              <w:rPr>
                <w:sz w:val="19"/>
              </w:rPr>
              <w:t>Fall and spring</w:t>
            </w:r>
          </w:p>
        </w:tc>
        <w:tc>
          <w:tcPr>
            <w:tcW w:type="dxa" w:w="1512"/>
          </w:tcPr>
          <w:p>
            <w:pPr>
              <w:spacing w:after="40" w:before="40"/>
            </w:pPr>
            <w:r/>
            <w:r>
              <w:rPr>
                <w:sz w:val="19"/>
              </w:rPr>
              <w:t>Evaluation analyst</w:t>
            </w:r>
          </w:p>
        </w:tc>
      </w:tr>
      <w:tr>
        <w:tc>
          <w:tcPr>
            <w:tcW w:type="dxa" w:w="2232"/>
          </w:tcPr>
          <w:p>
            <w:pPr>
              <w:spacing w:after="40" w:before="40"/>
            </w:pPr>
            <w:r/>
            <w:r>
              <w:rPr>
                <w:sz w:val="19"/>
              </w:rPr>
              <w:t>Youth social and emotional survey</w:t>
            </w:r>
          </w:p>
        </w:tc>
        <w:tc>
          <w:tcPr>
            <w:tcW w:type="dxa" w:w="2520"/>
          </w:tcPr>
          <w:p>
            <w:pPr>
              <w:spacing w:after="40" w:before="40"/>
            </w:pPr>
            <w:r/>
            <w:r>
              <w:rPr>
                <w:sz w:val="19"/>
              </w:rPr>
              <w:t>Self-reported skills the enrichment curriculum targets</w:t>
            </w:r>
          </w:p>
        </w:tc>
        <w:tc>
          <w:tcPr>
            <w:tcW w:type="dxa" w:w="1656"/>
          </w:tcPr>
          <w:p>
            <w:pPr>
              <w:spacing w:after="40" w:before="40"/>
            </w:pPr>
            <w:r/>
            <w:r>
              <w:rPr>
                <w:sz w:val="19"/>
              </w:rPr>
              <w:t>[Your validated youth survey]</w:t>
            </w:r>
          </w:p>
        </w:tc>
        <w:tc>
          <w:tcPr>
            <w:tcW w:type="dxa" w:w="1440"/>
          </w:tcPr>
          <w:p>
            <w:pPr>
              <w:spacing w:after="40" w:before="40"/>
            </w:pPr>
            <w:r/>
            <w:r>
              <w:rPr>
                <w:sz w:val="19"/>
              </w:rPr>
              <w:t>Baseline and year end</w:t>
            </w:r>
          </w:p>
        </w:tc>
        <w:tc>
          <w:tcPr>
            <w:tcW w:type="dxa" w:w="1512"/>
          </w:tcPr>
          <w:p>
            <w:pPr>
              <w:spacing w:after="40" w:before="40"/>
            </w:pPr>
            <w:r/>
            <w:r>
              <w:rPr>
                <w:sz w:val="19"/>
              </w:rPr>
              <w:t>Site coordinator</w:t>
            </w:r>
          </w:p>
        </w:tc>
      </w:tr>
      <w:tr>
        <w:tc>
          <w:tcPr>
            <w:tcW w:type="dxa" w:w="2232"/>
          </w:tcPr>
          <w:p>
            <w:pPr>
              <w:spacing w:after="40" w:before="40"/>
            </w:pPr>
            <w:r/>
            <w:r>
              <w:rPr>
                <w:sz w:val="19"/>
              </w:rPr>
              <w:t>Family engagement contacts</w:t>
            </w:r>
          </w:p>
        </w:tc>
        <w:tc>
          <w:tcPr>
            <w:tcW w:type="dxa" w:w="2520"/>
          </w:tcPr>
          <w:p>
            <w:pPr>
              <w:spacing w:after="40" w:before="40"/>
            </w:pPr>
            <w:r/>
            <w:r>
              <w:rPr>
                <w:sz w:val="19"/>
              </w:rPr>
              <w:t>Whether caregivers stay reachable</w:t>
            </w:r>
          </w:p>
        </w:tc>
        <w:tc>
          <w:tcPr>
            <w:tcW w:type="dxa" w:w="1656"/>
          </w:tcPr>
          <w:p>
            <w:pPr>
              <w:spacing w:after="40" w:before="40"/>
            </w:pPr>
            <w:r/>
            <w:r>
              <w:rPr>
                <w:sz w:val="19"/>
              </w:rPr>
              <w:t>Family contact log</w:t>
            </w:r>
          </w:p>
        </w:tc>
        <w:tc>
          <w:tcPr>
            <w:tcW w:type="dxa" w:w="1440"/>
          </w:tcPr>
          <w:p>
            <w:pPr>
              <w:spacing w:after="40" w:before="40"/>
            </w:pPr>
            <w:r/>
            <w:r>
              <w:rPr>
                <w:sz w:val="19"/>
              </w:rPr>
              <w:t>Monthly</w:t>
            </w:r>
          </w:p>
        </w:tc>
        <w:tc>
          <w:tcPr>
            <w:tcW w:type="dxa" w:w="1512"/>
          </w:tcPr>
          <w:p>
            <w:pPr>
              <w:spacing w:after="40" w:before="40"/>
            </w:pPr>
            <w:r/>
            <w:r>
              <w:rPr>
                <w:sz w:val="19"/>
              </w:rPr>
              <w:t>Site coordinator</w:t>
            </w:r>
          </w:p>
        </w:tc>
      </w:tr>
      <w:tr>
        <w:tc>
          <w:tcPr>
            <w:tcW w:type="dxa" w:w="2232"/>
          </w:tcPr>
          <w:p>
            <w:pPr>
              <w:spacing w:after="40" w:before="40"/>
            </w:pPr>
            <w:r/>
            <w:r>
              <w:rPr>
                <w:sz w:val="19"/>
              </w:rPr>
              <w:t>Fall-to-spring retention</w:t>
            </w:r>
          </w:p>
        </w:tc>
        <w:tc>
          <w:tcPr>
            <w:tcW w:type="dxa" w:w="2520"/>
          </w:tcPr>
          <w:p>
            <w:pPr>
              <w:spacing w:after="40" w:before="40"/>
            </w:pPr>
            <w:r/>
            <w:r>
              <w:rPr>
                <w:sz w:val="19"/>
              </w:rPr>
              <w:t>Whether participants stay once enrolled</w:t>
            </w:r>
          </w:p>
        </w:tc>
        <w:tc>
          <w:tcPr>
            <w:tcW w:type="dxa" w:w="1656"/>
          </w:tcPr>
          <w:p>
            <w:pPr>
              <w:spacing w:after="40" w:before="40"/>
            </w:pPr>
            <w:r/>
            <w:r>
              <w:rPr>
                <w:sz w:val="19"/>
              </w:rPr>
              <w:t>Enrollment system</w:t>
            </w:r>
          </w:p>
        </w:tc>
        <w:tc>
          <w:tcPr>
            <w:tcW w:type="dxa" w:w="1440"/>
          </w:tcPr>
          <w:p>
            <w:pPr>
              <w:spacing w:after="40" w:before="40"/>
            </w:pPr>
            <w:r/>
            <w:r>
              <w:rPr>
                <w:sz w:val="19"/>
              </w:rPr>
              <w:t>End of year</w:t>
            </w:r>
          </w:p>
        </w:tc>
        <w:tc>
          <w:tcPr>
            <w:tcW w:type="dxa" w:w="1512"/>
          </w:tcPr>
          <w:p>
            <w:pPr>
              <w:spacing w:after="40" w:before="40"/>
            </w:pPr>
            <w:r/>
            <w:r>
              <w:rPr>
                <w:sz w:val="19"/>
              </w:rPr>
              <w:t>Site coordinator</w:t>
            </w:r>
          </w:p>
        </w:tc>
      </w:tr>
      <w:tr>
        <w:tc>
          <w:tcPr>
            <w:tcW w:type="dxa" w:w="2232"/>
          </w:tcPr>
          <w:p>
            <w:pPr>
              <w:spacing w:after="40" w:before="40"/>
            </w:pPr>
            <w:r/>
            <w:r>
              <w:rPr>
                <w:sz w:val="19"/>
              </w:rPr>
              <w:t>Clearance compliance</w:t>
            </w:r>
          </w:p>
        </w:tc>
        <w:tc>
          <w:tcPr>
            <w:tcW w:type="dxa" w:w="2520"/>
          </w:tcPr>
          <w:p>
            <w:pPr>
              <w:spacing w:after="40" w:before="40"/>
            </w:pPr>
            <w:r/>
            <w:r>
              <w:rPr>
                <w:sz w:val="19"/>
              </w:rPr>
              <w:t>Whether every adult in the room is cleared</w:t>
            </w:r>
          </w:p>
        </w:tc>
        <w:tc>
          <w:tcPr>
            <w:tcW w:type="dxa" w:w="1656"/>
          </w:tcPr>
          <w:p>
            <w:pPr>
              <w:spacing w:after="40" w:before="40"/>
            </w:pPr>
            <w:r/>
            <w:r>
              <w:rPr>
                <w:sz w:val="19"/>
              </w:rPr>
              <w:t>Clearance log</w:t>
            </w:r>
          </w:p>
        </w:tc>
        <w:tc>
          <w:tcPr>
            <w:tcW w:type="dxa" w:w="1440"/>
          </w:tcPr>
          <w:p>
            <w:pPr>
              <w:spacing w:after="40" w:before="40"/>
            </w:pPr>
            <w:r/>
            <w:r>
              <w:rPr>
                <w:sz w:val="19"/>
              </w:rPr>
              <w:t>Monthly</w:t>
            </w:r>
          </w:p>
        </w:tc>
        <w:tc>
          <w:tcPr>
            <w:tcW w:type="dxa" w:w="1512"/>
          </w:tcPr>
          <w:p>
            <w:pPr>
              <w:spacing w:after="40" w:before="40"/>
            </w:pPr>
            <w:r/>
            <w:r>
              <w:rPr>
                <w:sz w:val="19"/>
              </w:rPr>
              <w:t>Site coordinator</w:t>
            </w:r>
          </w:p>
        </w:tc>
      </w:tr>
    </w:tbl>
    <w:p>
      <w:pPr>
        <w:spacing w:after="0"/>
      </w:pPr>
    </w:p>
    <w:p>
      <w:r>
        <w:rPr>
          <w:b w:val="0"/>
          <w:i w:val="0"/>
        </w:rPr>
        <w:t>Keep the instrument list short. One validated youth survey administered twice, plus attendance, plus one district data pull will outperform five instruments nobody has time to administer. EYA licenses a single survey and uses two of its subscales, chosen because the enrichment curriculum is built around them.</w:t>
      </w:r>
    </w:p>
    <w:p>
      <w:pPr>
        <w:pStyle w:val="Heading2"/>
      </w:pPr>
      <w:r>
        <w:t>The permission chain</w:t>
      </w:r>
    </w:p>
    <w:p>
      <w:r>
        <w:rPr>
          <w:b w:val="0"/>
          <w:i w:val="0"/>
        </w:rPr>
        <w:t>Student-level school records are protected under the Family Educational Rights and Privacy Act and its implementing regulations at 34 CFR Part 99 (eCFR, accessed September 2026). A district releases those records to an outside program only under stated conditions, so the question to bring to the district is which route applies: a written agreement under one of the exceptions in 34 CFR 99.31, or guardian consent collected at enrollment.</w:t>
      </w:r>
    </w:p>
    <w:p>
      <w:r>
        <w:rPr>
          <w:b w:val="0"/>
          <w:i w:val="0"/>
        </w:rPr>
        <w:t>EYA uses both, deliberately. Guardian consent for release of attendance, course marks, and behavior referral counts is collected in the enrollment packet at intake, which gives the program a route that does not depend on the district's timeline. In parallel, EYA and Northline Public Schools are executing a written data sharing agreement that specifies the fields, the matching method, the transfer mechanism, the storage location, the retention period, and the destruction date. The target execution date appears in the project timeline in section 8, and the draft agreement is Attachment M.</w:t>
      </w:r>
    </w:p>
    <w:p>
      <w:r>
        <w:rPr>
          <w:b w:val="0"/>
          <w:i w:val="0"/>
        </w:rPr>
        <w:t>Proposals routinely assume school data will arrive on its own. It does not. Name the route, name the district staff role that signs, put a date on it, and say in the proposal what you will report if the date slips.</w:t>
      </w:r>
    </w:p>
    <w:p>
      <w:pPr>
        <w:pStyle w:val="Heading2"/>
      </w:pPr>
      <w:r>
        <w:t>Analysis and what this design can and cannot claim</w:t>
      </w:r>
    </w:p>
    <w:p>
      <w:r>
        <w:rPr>
          <w:b w:val="0"/>
          <w:i w:val="0"/>
        </w:rPr>
        <w:t>EYA reports two comparisons. The first is within-participant: each regular attendee's school-day attendance rate, course marks, and survey subscale scores are compared to that same participant's prior-year or baseline values. The second is a dosage contrast: outcomes for regular attendees, at 60 or more days, are compared with outcomes for enrolled participants who fell below the threshold in the same year.</w:t>
      </w:r>
    </w:p>
    <w:p>
      <w:r>
        <w:rPr>
          <w:b w:val="0"/>
          <w:i w:val="0"/>
        </w:rPr>
        <w:t>This is not a randomized design and EYA will not describe it as one. Participants who attend more may differ systematically from participants who attend less, and the dosage contrast cannot separate the program's effect from that difference. Saying so in the proposal costs nothing with a reviewer who already knows it and protects the credibility of everything else in the section.</w:t>
      </w:r>
    </w:p>
    <w:p>
      <w:pPr>
        <w:pStyle w:val="Heading2"/>
      </w:pPr>
      <w:r>
        <w:t>Reporting cadence</w:t>
      </w:r>
    </w:p>
    <w:tbl>
      <w:tblPr>
        <w:tblStyle w:val="LightGrid-Accent1"/>
        <w:tblW w:type="auto" w:w="0"/>
        <w:jc w:val="center"/>
        <w:tblLayout w:type="fixed"/>
        <w:tblLook w:firstColumn="1" w:firstRow="1" w:lastColumn="0" w:lastRow="0" w:noHBand="0" w:noVBand="1" w:val="04A0"/>
      </w:tblPr>
      <w:tblGrid>
        <w:gridCol w:w="3120"/>
        <w:gridCol w:w="3120"/>
        <w:gridCol w:w="3120"/>
      </w:tblGrid>
      <w:tr>
        <w:tc>
          <w:tcPr>
            <w:tcW w:type="dxa" w:w="2160"/>
          </w:tcPr>
          <w:p>
            <w:pPr>
              <w:spacing w:after="40" w:before="40"/>
            </w:pPr>
            <w:r/>
            <w:r>
              <w:rPr>
                <w:b/>
                <w:sz w:val="19"/>
              </w:rPr>
              <w:t>Report</w:t>
            </w:r>
          </w:p>
        </w:tc>
        <w:tc>
          <w:tcPr>
            <w:tcW w:type="dxa" w:w="5328"/>
          </w:tcPr>
          <w:p>
            <w:pPr>
              <w:spacing w:after="40" w:before="40"/>
            </w:pPr>
            <w:r/>
            <w:r>
              <w:rPr>
                <w:b/>
                <w:sz w:val="19"/>
              </w:rPr>
              <w:t>Contents</w:t>
            </w:r>
          </w:p>
        </w:tc>
        <w:tc>
          <w:tcPr>
            <w:tcW w:type="dxa" w:w="1872"/>
          </w:tcPr>
          <w:p>
            <w:pPr>
              <w:spacing w:after="40" w:before="40"/>
            </w:pPr>
            <w:r/>
            <w:r>
              <w:rPr>
                <w:b/>
                <w:sz w:val="19"/>
              </w:rPr>
              <w:t>Due</w:t>
            </w:r>
          </w:p>
        </w:tc>
      </w:tr>
      <w:tr>
        <w:tc>
          <w:tcPr>
            <w:tcW w:type="dxa" w:w="2160"/>
          </w:tcPr>
          <w:p>
            <w:pPr>
              <w:spacing w:after="40" w:before="40"/>
            </w:pPr>
            <w:r/>
            <w:r>
              <w:rPr>
                <w:sz w:val="19"/>
              </w:rPr>
              <w:t>Internal monthly dashboard</w:t>
            </w:r>
          </w:p>
        </w:tc>
        <w:tc>
          <w:tcPr>
            <w:tcW w:type="dxa" w:w="5328"/>
          </w:tcPr>
          <w:p>
            <w:pPr>
              <w:spacing w:after="40" w:before="40"/>
            </w:pPr>
            <w:r/>
            <w:r>
              <w:rPr>
                <w:sz w:val="19"/>
              </w:rPr>
              <w:t>Enrollment, average daily attendance, days attended distribution, hours delivered, clearance status, family contacts</w:t>
            </w:r>
          </w:p>
        </w:tc>
        <w:tc>
          <w:tcPr>
            <w:tcW w:type="dxa" w:w="1872"/>
          </w:tcPr>
          <w:p>
            <w:pPr>
              <w:spacing w:after="40" w:before="40"/>
            </w:pPr>
            <w:r/>
            <w:r>
              <w:rPr>
                <w:sz w:val="19"/>
              </w:rPr>
              <w:t>First business day of each month</w:t>
            </w:r>
          </w:p>
        </w:tc>
      </w:tr>
      <w:tr>
        <w:tc>
          <w:tcPr>
            <w:tcW w:type="dxa" w:w="2160"/>
          </w:tcPr>
          <w:p>
            <w:pPr>
              <w:spacing w:after="40" w:before="40"/>
            </w:pPr>
            <w:r/>
            <w:r>
              <w:rPr>
                <w:sz w:val="19"/>
              </w:rPr>
              <w:t>Interim report to the funder</w:t>
            </w:r>
          </w:p>
        </w:tc>
        <w:tc>
          <w:tcPr>
            <w:tcW w:type="dxa" w:w="5328"/>
          </w:tcPr>
          <w:p>
            <w:pPr>
              <w:spacing w:after="40" w:before="40"/>
            </w:pPr>
            <w:r/>
            <w:r>
              <w:rPr>
                <w:sz w:val="19"/>
              </w:rPr>
              <w:t>Enrollment, regular attendee count to date, average daily attendance, fall district data pull, budget-to-actual</w:t>
            </w:r>
          </w:p>
        </w:tc>
        <w:tc>
          <w:tcPr>
            <w:tcW w:type="dxa" w:w="1872"/>
          </w:tcPr>
          <w:p>
            <w:pPr>
              <w:spacing w:after="40" w:before="40"/>
            </w:pPr>
            <w:r/>
            <w:r>
              <w:rPr>
                <w:sz w:val="19"/>
              </w:rPr>
              <w:t>Month 7, or the funder's stated date</w:t>
            </w:r>
          </w:p>
        </w:tc>
      </w:tr>
      <w:tr>
        <w:tc>
          <w:tcPr>
            <w:tcW w:type="dxa" w:w="2160"/>
          </w:tcPr>
          <w:p>
            <w:pPr>
              <w:spacing w:after="40" w:before="40"/>
            </w:pPr>
            <w:r/>
            <w:r>
              <w:rPr>
                <w:sz w:val="19"/>
              </w:rPr>
              <w:t>Final report to the funder</w:t>
            </w:r>
          </w:p>
        </w:tc>
        <w:tc>
          <w:tcPr>
            <w:tcW w:type="dxa" w:w="5328"/>
          </w:tcPr>
          <w:p>
            <w:pPr>
              <w:spacing w:after="40" w:before="40"/>
            </w:pPr>
            <w:r/>
            <w:r>
              <w:rPr>
                <w:sz w:val="19"/>
              </w:rPr>
              <w:t>All objectives with actuals against targets, spring district pull, survey results, budget-to-actual, and a written account of anything missed</w:t>
            </w:r>
          </w:p>
        </w:tc>
        <w:tc>
          <w:tcPr>
            <w:tcW w:type="dxa" w:w="1872"/>
          </w:tcPr>
          <w:p>
            <w:pPr>
              <w:spacing w:after="40" w:before="40"/>
            </w:pPr>
            <w:r/>
            <w:r>
              <w:rPr>
                <w:sz w:val="19"/>
              </w:rPr>
              <w:t>Within 30 days of period end, or the funder's stated date</w:t>
            </w:r>
          </w:p>
        </w:tc>
      </w:tr>
      <w:tr>
        <w:tc>
          <w:tcPr>
            <w:tcW w:type="dxa" w:w="2160"/>
          </w:tcPr>
          <w:p>
            <w:pPr>
              <w:spacing w:after="40" w:before="40"/>
            </w:pPr>
            <w:r/>
            <w:r>
              <w:rPr>
                <w:sz w:val="19"/>
              </w:rPr>
              <w:t>Board report</w:t>
            </w:r>
          </w:p>
        </w:tc>
        <w:tc>
          <w:tcPr>
            <w:tcW w:type="dxa" w:w="5328"/>
          </w:tcPr>
          <w:p>
            <w:pPr>
              <w:spacing w:after="40" w:before="40"/>
            </w:pPr>
            <w:r/>
            <w:r>
              <w:rPr>
                <w:sz w:val="19"/>
              </w:rPr>
              <w:t>Objectives 1.1 to 1.5 and 4.3 to 4.4, with incidents</w:t>
            </w:r>
          </w:p>
        </w:tc>
        <w:tc>
          <w:tcPr>
            <w:tcW w:type="dxa" w:w="1872"/>
          </w:tcPr>
          <w:p>
            <w:pPr>
              <w:spacing w:after="40" w:before="40"/>
            </w:pPr>
            <w:r/>
            <w:r>
              <w:rPr>
                <w:sz w:val="19"/>
              </w:rPr>
              <w:t>Quarterly</w:t>
            </w:r>
          </w:p>
        </w:tc>
      </w:tr>
    </w:tbl>
    <w:p>
      <w:pPr>
        <w:spacing w:after="0"/>
      </w:pPr>
    </w:p>
    <w:p>
      <w:pPr>
        <w:pStyle w:val="Heading1"/>
      </w:pPr>
      <w:r>
        <w:t>6. Organizational Capacity</w:t>
      </w:r>
    </w:p>
    <w:p>
      <w:pPr>
        <w:pStyle w:val="Heading2"/>
      </w:pPr>
      <w:r>
        <w:t>Organization profile</w:t>
      </w:r>
    </w:p>
    <w:p>
      <w:r>
        <w:rPr>
          <w:b w:val="0"/>
          <w:i w:val="0"/>
        </w:rPr>
        <w:t>Example Youth Alliance is a 501(c)(3) public charity incorporated in 2011 that operates out-of-school-time and youth development programs in Cedar County. Its current fiscal year budget is $1,410,000 and it employs 11 full-time and 14 part-time staff. It is governed by an 11-member board that meets six times a year, three of whom are parents or guardians of current or former participants. EYA is audited annually by an independent firm, and its two most recent audits carry no findings and no material weaknesses.</w:t>
      </w:r>
    </w:p>
    <w:p>
      <w:pPr>
        <w:spacing w:after="200"/>
      </w:pPr>
      <w:r>
        <w:rPr>
          <w:i/>
          <w:color w:val="5A5A5A"/>
          <w:sz w:val="18"/>
        </w:rPr>
        <w:t>State your audit status accurately for your own organization, including whether your federal expenditures trigger a single audit under 2 CFR 200.501. Confirm the current threshold for your fiscal year rather than repeating a figure from an older template.</w:t>
      </w:r>
    </w:p>
    <w:p>
      <w:pPr>
        <w:pStyle w:val="Heading2"/>
      </w:pPr>
      <w:r>
        <w:t>Prior performance at this site</w:t>
      </w:r>
    </w:p>
    <w:p>
      <w:r>
        <w:rPr>
          <w:b w:val="0"/>
          <w:i w:val="0"/>
        </w:rPr>
        <w:t>EYA has operated at Northline Middle School for three years. Last year the program was funded for 44 slots. It enrolled 44 students, reached 31 regular attendees at the same 60-day threshold used in this proposal, and held average daily attendance at 26 across 162 program days. Fall-to-spring retention was 84 percent. Forty-one families applied and could not be seated.</w:t>
      </w:r>
    </w:p>
    <w:p>
      <w:r>
        <w:rPr>
          <w:b w:val="0"/>
          <w:i w:val="0"/>
        </w:rPr>
        <w:t>This request is a capacity increase from 44 to 60 slots at the same site, not a new program in a new building. The staffing model, the schedule, the clearance process, the meal claim, and the attendance system all exist and have a year of operating history behind them. What the request adds is one youth development position, a second van run, the enrichment and instructor budget that a 60-student rotation requires, and the evaluation capacity to report school-day outcomes rather than attendance alone.</w:t>
      </w:r>
    </w:p>
    <w:p>
      <w:pPr>
        <w:pStyle w:val="Heading2"/>
      </w:pPr>
      <w:r>
        <w:t>Systems</w:t>
      </w:r>
    </w:p>
    <w:tbl>
      <w:tblPr>
        <w:tblStyle w:val="LightGrid-Accent1"/>
        <w:tblW w:type="auto" w:w="0"/>
        <w:jc w:val="center"/>
        <w:tblLayout w:type="fixed"/>
        <w:tblLook w:firstColumn="1" w:firstRow="1" w:lastColumn="0" w:lastRow="0" w:noHBand="0" w:noVBand="1" w:val="04A0"/>
      </w:tblPr>
      <w:tblGrid>
        <w:gridCol w:w="3120"/>
        <w:gridCol w:w="3120"/>
        <w:gridCol w:w="3120"/>
      </w:tblGrid>
      <w:tr>
        <w:tc>
          <w:tcPr>
            <w:tcW w:type="dxa" w:w="2304"/>
          </w:tcPr>
          <w:p>
            <w:pPr>
              <w:spacing w:after="40" w:before="40"/>
            </w:pPr>
            <w:r/>
            <w:r>
              <w:rPr>
                <w:b/>
                <w:sz w:val="19"/>
              </w:rPr>
              <w:t>System</w:t>
            </w:r>
          </w:p>
        </w:tc>
        <w:tc>
          <w:tcPr>
            <w:tcW w:type="dxa" w:w="4752"/>
          </w:tcPr>
          <w:p>
            <w:pPr>
              <w:spacing w:after="40" w:before="40"/>
            </w:pPr>
            <w:r/>
            <w:r>
              <w:rPr>
                <w:b/>
                <w:sz w:val="19"/>
              </w:rPr>
              <w:t>What it is used for</w:t>
            </w:r>
          </w:p>
        </w:tc>
        <w:tc>
          <w:tcPr>
            <w:tcW w:type="dxa" w:w="2304"/>
          </w:tcPr>
          <w:p>
            <w:pPr>
              <w:spacing w:after="40" w:before="40"/>
            </w:pPr>
            <w:r/>
            <w:r>
              <w:rPr>
                <w:b/>
                <w:sz w:val="19"/>
              </w:rPr>
              <w:t>Who owns it</w:t>
            </w:r>
          </w:p>
        </w:tc>
      </w:tr>
      <w:tr>
        <w:tc>
          <w:tcPr>
            <w:tcW w:type="dxa" w:w="2304"/>
          </w:tcPr>
          <w:p>
            <w:pPr>
              <w:spacing w:after="40" w:before="40"/>
            </w:pPr>
            <w:r/>
            <w:r>
              <w:rPr>
                <w:sz w:val="19"/>
              </w:rPr>
              <w:t>Attendance and sign-in system</w:t>
            </w:r>
          </w:p>
        </w:tc>
        <w:tc>
          <w:tcPr>
            <w:tcW w:type="dxa" w:w="4752"/>
          </w:tcPr>
          <w:p>
            <w:pPr>
              <w:spacing w:after="40" w:before="40"/>
            </w:pPr>
            <w:r/>
            <w:r>
              <w:rPr>
                <w:sz w:val="19"/>
              </w:rPr>
              <w:t>Daily sign-in and sign-out, days attended per participant, average daily attendance</w:t>
            </w:r>
          </w:p>
        </w:tc>
        <w:tc>
          <w:tcPr>
            <w:tcW w:type="dxa" w:w="2304"/>
          </w:tcPr>
          <w:p>
            <w:pPr>
              <w:spacing w:after="40" w:before="40"/>
            </w:pPr>
            <w:r/>
            <w:r>
              <w:rPr>
                <w:sz w:val="19"/>
              </w:rPr>
              <w:t>Site coordinator</w:t>
            </w:r>
          </w:p>
        </w:tc>
      </w:tr>
      <w:tr>
        <w:tc>
          <w:tcPr>
            <w:tcW w:type="dxa" w:w="2304"/>
          </w:tcPr>
          <w:p>
            <w:pPr>
              <w:spacing w:after="40" w:before="40"/>
            </w:pPr>
            <w:r/>
            <w:r>
              <w:rPr>
                <w:sz w:val="19"/>
              </w:rPr>
              <w:t>Enrollment records</w:t>
            </w:r>
          </w:p>
        </w:tc>
        <w:tc>
          <w:tcPr>
            <w:tcW w:type="dxa" w:w="4752"/>
          </w:tcPr>
          <w:p>
            <w:pPr>
              <w:spacing w:after="40" w:before="40"/>
            </w:pPr>
            <w:r/>
            <w:r>
              <w:rPr>
                <w:sz w:val="19"/>
              </w:rPr>
              <w:t>Enrollment packets, authorized pickup lists, allergy and medication records, consent forms</w:t>
            </w:r>
          </w:p>
        </w:tc>
        <w:tc>
          <w:tcPr>
            <w:tcW w:type="dxa" w:w="2304"/>
          </w:tcPr>
          <w:p>
            <w:pPr>
              <w:spacing w:after="40" w:before="40"/>
            </w:pPr>
            <w:r/>
            <w:r>
              <w:rPr>
                <w:sz w:val="19"/>
              </w:rPr>
              <w:t>Site coordinator</w:t>
            </w:r>
          </w:p>
        </w:tc>
      </w:tr>
      <w:tr>
        <w:tc>
          <w:tcPr>
            <w:tcW w:type="dxa" w:w="2304"/>
          </w:tcPr>
          <w:p>
            <w:pPr>
              <w:spacing w:after="40" w:before="40"/>
            </w:pPr>
            <w:r/>
            <w:r>
              <w:rPr>
                <w:sz w:val="19"/>
              </w:rPr>
              <w:t>Clearance log</w:t>
            </w:r>
          </w:p>
        </w:tc>
        <w:tc>
          <w:tcPr>
            <w:tcW w:type="dxa" w:w="4752"/>
          </w:tcPr>
          <w:p>
            <w:pPr>
              <w:spacing w:after="40" w:before="40"/>
            </w:pPr>
            <w:r/>
            <w:r>
              <w:rPr>
                <w:sz w:val="19"/>
              </w:rPr>
              <w:t>Every adult, every check, every expiration date, reviewed monthly</w:t>
            </w:r>
          </w:p>
        </w:tc>
        <w:tc>
          <w:tcPr>
            <w:tcW w:type="dxa" w:w="2304"/>
          </w:tcPr>
          <w:p>
            <w:pPr>
              <w:spacing w:after="40" w:before="40"/>
            </w:pPr>
            <w:r/>
            <w:r>
              <w:rPr>
                <w:sz w:val="19"/>
              </w:rPr>
              <w:t>Site coordinator</w:t>
            </w:r>
          </w:p>
        </w:tc>
      </w:tr>
      <w:tr>
        <w:tc>
          <w:tcPr>
            <w:tcW w:type="dxa" w:w="2304"/>
          </w:tcPr>
          <w:p>
            <w:pPr>
              <w:spacing w:after="40" w:before="40"/>
            </w:pPr>
            <w:r/>
            <w:r>
              <w:rPr>
                <w:sz w:val="19"/>
              </w:rPr>
              <w:t>Accounting system</w:t>
            </w:r>
          </w:p>
        </w:tc>
        <w:tc>
          <w:tcPr>
            <w:tcW w:type="dxa" w:w="4752"/>
          </w:tcPr>
          <w:p>
            <w:pPr>
              <w:spacing w:after="40" w:before="40"/>
            </w:pPr>
            <w:r/>
            <w:r>
              <w:rPr>
                <w:sz w:val="19"/>
              </w:rPr>
              <w:t>Fund accounting with grant-level tracking and monthly budget-to-actual by program</w:t>
            </w:r>
          </w:p>
        </w:tc>
        <w:tc>
          <w:tcPr>
            <w:tcW w:type="dxa" w:w="2304"/>
          </w:tcPr>
          <w:p>
            <w:pPr>
              <w:spacing w:after="40" w:before="40"/>
            </w:pPr>
            <w:r/>
            <w:r>
              <w:rPr>
                <w:sz w:val="19"/>
              </w:rPr>
              <w:t>Finance manager</w:t>
            </w:r>
          </w:p>
        </w:tc>
      </w:tr>
      <w:tr>
        <w:tc>
          <w:tcPr>
            <w:tcW w:type="dxa" w:w="2304"/>
          </w:tcPr>
          <w:p>
            <w:pPr>
              <w:spacing w:after="40" w:before="40"/>
            </w:pPr>
            <w:r/>
            <w:r>
              <w:rPr>
                <w:sz w:val="19"/>
              </w:rPr>
              <w:t>Grant calendar</w:t>
            </w:r>
          </w:p>
        </w:tc>
        <w:tc>
          <w:tcPr>
            <w:tcW w:type="dxa" w:w="4752"/>
          </w:tcPr>
          <w:p>
            <w:pPr>
              <w:spacing w:after="40" w:before="40"/>
            </w:pPr>
            <w:r/>
            <w:r>
              <w:rPr>
                <w:sz w:val="19"/>
              </w:rPr>
              <w:t>Deadlines, report dates, and renewal windows, reviewed at each management meeting</w:t>
            </w:r>
          </w:p>
        </w:tc>
        <w:tc>
          <w:tcPr>
            <w:tcW w:type="dxa" w:w="2304"/>
          </w:tcPr>
          <w:p>
            <w:pPr>
              <w:spacing w:after="40" w:before="40"/>
            </w:pPr>
            <w:r/>
            <w:r>
              <w:rPr>
                <w:sz w:val="19"/>
              </w:rPr>
              <w:t>Executive director</w:t>
            </w:r>
          </w:p>
        </w:tc>
      </w:tr>
      <w:tr>
        <w:tc>
          <w:tcPr>
            <w:tcW w:type="dxa" w:w="2304"/>
          </w:tcPr>
          <w:p>
            <w:pPr>
              <w:spacing w:after="40" w:before="40"/>
            </w:pPr>
            <w:r/>
            <w:r>
              <w:rPr>
                <w:sz w:val="19"/>
              </w:rPr>
              <w:t>Incident log</w:t>
            </w:r>
          </w:p>
        </w:tc>
        <w:tc>
          <w:tcPr>
            <w:tcW w:type="dxa" w:w="4752"/>
          </w:tcPr>
          <w:p>
            <w:pPr>
              <w:spacing w:after="40" w:before="40"/>
            </w:pPr>
            <w:r/>
            <w:r>
              <w:rPr>
                <w:sz w:val="19"/>
              </w:rPr>
              <w:t>Same-day entry, weekly review, escalation path per policy</w:t>
            </w:r>
          </w:p>
        </w:tc>
        <w:tc>
          <w:tcPr>
            <w:tcW w:type="dxa" w:w="2304"/>
          </w:tcPr>
          <w:p>
            <w:pPr>
              <w:spacing w:after="40" w:before="40"/>
            </w:pPr>
            <w:r/>
            <w:r>
              <w:rPr>
                <w:sz w:val="19"/>
              </w:rPr>
              <w:t>Site coordinator</w:t>
            </w:r>
          </w:p>
        </w:tc>
      </w:tr>
    </w:tbl>
    <w:p>
      <w:pPr>
        <w:spacing w:after="0"/>
      </w:pPr>
    </w:p>
    <w:p>
      <w:pPr>
        <w:pStyle w:val="Heading2"/>
      </w:pPr>
      <w:r>
        <w:t>Partnerships</w:t>
      </w:r>
    </w:p>
    <w:p>
      <w:pPr>
        <w:pStyle w:val="ListBullet"/>
      </w:pPr>
      <w:r>
        <w:t>Northline Middle School and Northline Public Schools provide classroom, cafeteria, and gymnasium space and custodial coverage at no cost, assign two certified teachers to the academic support block two afternoons a week, route counselor referrals to the program, and are the counterparty to the data sharing agreement.</w:t>
      </w:r>
    </w:p>
    <w:p>
      <w:pPr>
        <w:pStyle w:val="ListBullet"/>
      </w:pPr>
      <w:r>
        <w:t>The program's CACFP sponsoring organization holds the agreement with the state agency, trains staff on meal counting and claiming, and conducts the required site reviews.</w:t>
      </w:r>
    </w:p>
    <w:p>
      <w:pPr>
        <w:pStyle w:val="ListBullet"/>
      </w:pPr>
      <w:r>
        <w:t>Two contracted teaching artists and coaches deliver the STEM, arts, and physical activity rotations under a written agreement that names the rate, the session count, and the clearance requirement.</w:t>
      </w:r>
    </w:p>
    <w:p>
      <w:pPr>
        <w:pStyle w:val="ListBullet"/>
      </w:pPr>
      <w:r>
        <w:t>The county library branch in the Eastgate zone hosts one enrichment rotation showcase and provides library card sign-up at the family showcase night.</w:t>
      </w:r>
    </w:p>
    <w:p>
      <w:pPr>
        <w:spacing w:after="200"/>
      </w:pPr>
      <w:r>
        <w:rPr>
          <w:i/>
          <w:color w:val="5A5A5A"/>
          <w:sz w:val="18"/>
        </w:rPr>
        <w:t>Name partners you can produce a letter for. A partner named in a proposal with no letter behind it is the first thing a reviewer checks and the easiest thing to disprove.</w:t>
      </w:r>
    </w:p>
    <w:p>
      <w:pPr>
        <w:pStyle w:val="Heading1"/>
      </w:pPr>
      <w:r>
        <w:t>7. Project Timeline</w:t>
      </w:r>
    </w:p>
    <w:tbl>
      <w:tblPr>
        <w:tblStyle w:val="LightGrid-Accent1"/>
        <w:tblW w:type="auto" w:w="0"/>
        <w:jc w:val="center"/>
        <w:tblLayout w:type="fixed"/>
        <w:tblLook w:firstColumn="1" w:firstRow="1" w:lastColumn="0" w:lastRow="0" w:noHBand="0" w:noVBand="1" w:val="04A0"/>
      </w:tblPr>
      <w:tblGrid>
        <w:gridCol w:w="3120"/>
        <w:gridCol w:w="3120"/>
        <w:gridCol w:w="3120"/>
      </w:tblGrid>
      <w:tr>
        <w:tc>
          <w:tcPr>
            <w:tcW w:type="dxa" w:w="1440"/>
          </w:tcPr>
          <w:p>
            <w:pPr>
              <w:spacing w:after="40" w:before="40"/>
            </w:pPr>
            <w:r/>
            <w:r>
              <w:rPr>
                <w:b/>
                <w:sz w:val="19"/>
              </w:rPr>
              <w:t>Month</w:t>
            </w:r>
          </w:p>
        </w:tc>
        <w:tc>
          <w:tcPr>
            <w:tcW w:type="dxa" w:w="6336"/>
          </w:tcPr>
          <w:p>
            <w:pPr>
              <w:spacing w:after="40" w:before="40"/>
            </w:pPr>
            <w:r/>
            <w:r>
              <w:rPr>
                <w:b/>
                <w:sz w:val="19"/>
              </w:rPr>
              <w:t>Milestone</w:t>
            </w:r>
          </w:p>
        </w:tc>
        <w:tc>
          <w:tcPr>
            <w:tcW w:type="dxa" w:w="1584"/>
          </w:tcPr>
          <w:p>
            <w:pPr>
              <w:spacing w:after="40" w:before="40"/>
            </w:pPr>
            <w:r/>
            <w:r>
              <w:rPr>
                <w:b/>
                <w:sz w:val="19"/>
              </w:rPr>
              <w:t>Owner</w:t>
            </w:r>
          </w:p>
        </w:tc>
      </w:tr>
      <w:tr>
        <w:tc>
          <w:tcPr>
            <w:tcW w:type="dxa" w:w="1440"/>
          </w:tcPr>
          <w:p>
            <w:pPr>
              <w:spacing w:after="40" w:before="40"/>
            </w:pPr>
            <w:r/>
            <w:r>
              <w:rPr>
                <w:sz w:val="19"/>
              </w:rPr>
              <w:t>Pre-award</w:t>
            </w:r>
          </w:p>
        </w:tc>
        <w:tc>
          <w:tcPr>
            <w:tcW w:type="dxa" w:w="6336"/>
          </w:tcPr>
          <w:p>
            <w:pPr>
              <w:spacing w:after="40" w:before="40"/>
            </w:pPr>
            <w:r/>
            <w:r>
              <w:rPr>
                <w:sz w:val="19"/>
              </w:rPr>
              <w:t>District data sharing agreement executed, or guardian consent route confirmed as primary with the district's written acknowledgment</w:t>
            </w:r>
          </w:p>
        </w:tc>
        <w:tc>
          <w:tcPr>
            <w:tcW w:type="dxa" w:w="1584"/>
          </w:tcPr>
          <w:p>
            <w:pPr>
              <w:spacing w:after="40" w:before="40"/>
            </w:pPr>
            <w:r/>
            <w:r>
              <w:rPr>
                <w:sz w:val="19"/>
              </w:rPr>
              <w:t>Executive director</w:t>
            </w:r>
          </w:p>
        </w:tc>
      </w:tr>
      <w:tr>
        <w:tc>
          <w:tcPr>
            <w:tcW w:type="dxa" w:w="1440"/>
          </w:tcPr>
          <w:p>
            <w:pPr>
              <w:spacing w:after="40" w:before="40"/>
            </w:pPr>
            <w:r/>
            <w:r>
              <w:rPr>
                <w:sz w:val="19"/>
              </w:rPr>
              <w:t>1</w:t>
            </w:r>
          </w:p>
        </w:tc>
        <w:tc>
          <w:tcPr>
            <w:tcW w:type="dxa" w:w="6336"/>
          </w:tcPr>
          <w:p>
            <w:pPr>
              <w:spacing w:after="40" w:before="40"/>
            </w:pPr>
            <w:r/>
            <w:r>
              <w:rPr>
                <w:sz w:val="19"/>
              </w:rPr>
              <w:t>Hire the third youth development position; initiate clearances for all 14 adults; confirm CACFP claiming calendar with the sponsor</w:t>
            </w:r>
          </w:p>
        </w:tc>
        <w:tc>
          <w:tcPr>
            <w:tcW w:type="dxa" w:w="1584"/>
          </w:tcPr>
          <w:p>
            <w:pPr>
              <w:spacing w:after="40" w:before="40"/>
            </w:pPr>
            <w:r/>
            <w:r>
              <w:rPr>
                <w:sz w:val="19"/>
              </w:rPr>
              <w:t>Executive director</w:t>
            </w:r>
          </w:p>
        </w:tc>
      </w:tr>
      <w:tr>
        <w:tc>
          <w:tcPr>
            <w:tcW w:type="dxa" w:w="1440"/>
          </w:tcPr>
          <w:p>
            <w:pPr>
              <w:spacing w:after="40" w:before="40"/>
            </w:pPr>
            <w:r/>
            <w:r>
              <w:rPr>
                <w:sz w:val="19"/>
              </w:rPr>
              <w:t>1</w:t>
            </w:r>
          </w:p>
        </w:tc>
        <w:tc>
          <w:tcPr>
            <w:tcW w:type="dxa" w:w="6336"/>
          </w:tcPr>
          <w:p>
            <w:pPr>
              <w:spacing w:after="40" w:before="40"/>
            </w:pPr>
            <w:r/>
            <w:r>
              <w:rPr>
                <w:sz w:val="19"/>
              </w:rPr>
              <w:t>All mandated reporter, de-escalation, CPR, and allergy training completed before day one</w:t>
            </w:r>
          </w:p>
        </w:tc>
        <w:tc>
          <w:tcPr>
            <w:tcW w:type="dxa" w:w="1584"/>
          </w:tcPr>
          <w:p>
            <w:pPr>
              <w:spacing w:after="40" w:before="40"/>
            </w:pPr>
            <w:r/>
            <w:r>
              <w:rPr>
                <w:sz w:val="19"/>
              </w:rPr>
              <w:t>Site coordinator</w:t>
            </w:r>
          </w:p>
        </w:tc>
      </w:tr>
      <w:tr>
        <w:tc>
          <w:tcPr>
            <w:tcW w:type="dxa" w:w="1440"/>
          </w:tcPr>
          <w:p>
            <w:pPr>
              <w:spacing w:after="40" w:before="40"/>
            </w:pPr>
            <w:r/>
            <w:r>
              <w:rPr>
                <w:sz w:val="19"/>
              </w:rPr>
              <w:t>1</w:t>
            </w:r>
          </w:p>
        </w:tc>
        <w:tc>
          <w:tcPr>
            <w:tcW w:type="dxa" w:w="6336"/>
          </w:tcPr>
          <w:p>
            <w:pPr>
              <w:spacing w:after="40" w:before="40"/>
            </w:pPr>
            <w:r/>
            <w:r>
              <w:rPr>
                <w:sz w:val="19"/>
              </w:rPr>
              <w:t>Enrollment opens; open house held; enrollment conferences begin</w:t>
            </w:r>
          </w:p>
        </w:tc>
        <w:tc>
          <w:tcPr>
            <w:tcW w:type="dxa" w:w="1584"/>
          </w:tcPr>
          <w:p>
            <w:pPr>
              <w:spacing w:after="40" w:before="40"/>
            </w:pPr>
            <w:r/>
            <w:r>
              <w:rPr>
                <w:sz w:val="19"/>
              </w:rPr>
              <w:t>Site coordinator</w:t>
            </w:r>
          </w:p>
        </w:tc>
      </w:tr>
      <w:tr>
        <w:tc>
          <w:tcPr>
            <w:tcW w:type="dxa" w:w="1440"/>
          </w:tcPr>
          <w:p>
            <w:pPr>
              <w:spacing w:after="40" w:before="40"/>
            </w:pPr>
            <w:r/>
            <w:r>
              <w:rPr>
                <w:sz w:val="19"/>
              </w:rPr>
              <w:t>2</w:t>
            </w:r>
          </w:p>
        </w:tc>
        <w:tc>
          <w:tcPr>
            <w:tcW w:type="dxa" w:w="6336"/>
          </w:tcPr>
          <w:p>
            <w:pPr>
              <w:spacing w:after="40" w:before="40"/>
            </w:pPr>
            <w:r/>
            <w:r>
              <w:rPr>
                <w:sz w:val="19"/>
              </w:rPr>
              <w:t>Program day one; van route runs; supper claiming begins; baseline youth survey administered within the first three weeks</w:t>
            </w:r>
          </w:p>
        </w:tc>
        <w:tc>
          <w:tcPr>
            <w:tcW w:type="dxa" w:w="1584"/>
          </w:tcPr>
          <w:p>
            <w:pPr>
              <w:spacing w:after="40" w:before="40"/>
            </w:pPr>
            <w:r/>
            <w:r>
              <w:rPr>
                <w:sz w:val="19"/>
              </w:rPr>
              <w:t>Site coordinator</w:t>
            </w:r>
          </w:p>
        </w:tc>
      </w:tr>
      <w:tr>
        <w:tc>
          <w:tcPr>
            <w:tcW w:type="dxa" w:w="1440"/>
          </w:tcPr>
          <w:p>
            <w:pPr>
              <w:spacing w:after="40" w:before="40"/>
            </w:pPr>
            <w:r/>
            <w:r>
              <w:rPr>
                <w:sz w:val="19"/>
              </w:rPr>
              <w:t>2</w:t>
            </w:r>
          </w:p>
        </w:tc>
        <w:tc>
          <w:tcPr>
            <w:tcW w:type="dxa" w:w="6336"/>
          </w:tcPr>
          <w:p>
            <w:pPr>
              <w:spacing w:after="40" w:before="40"/>
            </w:pPr>
            <w:r/>
            <w:r>
              <w:rPr>
                <w:sz w:val="19"/>
              </w:rPr>
              <w:t>Enrollment closes at 60 with 10 slots held for counselor referral until October 15</w:t>
            </w:r>
          </w:p>
        </w:tc>
        <w:tc>
          <w:tcPr>
            <w:tcW w:type="dxa" w:w="1584"/>
          </w:tcPr>
          <w:p>
            <w:pPr>
              <w:spacing w:after="40" w:before="40"/>
            </w:pPr>
            <w:r/>
            <w:r>
              <w:rPr>
                <w:sz w:val="19"/>
              </w:rPr>
              <w:t>Site coordinator</w:t>
            </w:r>
          </w:p>
        </w:tc>
      </w:tr>
      <w:tr>
        <w:tc>
          <w:tcPr>
            <w:tcW w:type="dxa" w:w="1440"/>
          </w:tcPr>
          <w:p>
            <w:pPr>
              <w:spacing w:after="40" w:before="40"/>
            </w:pPr>
            <w:r/>
            <w:r>
              <w:rPr>
                <w:sz w:val="19"/>
              </w:rPr>
              <w:t>3</w:t>
            </w:r>
          </w:p>
        </w:tc>
        <w:tc>
          <w:tcPr>
            <w:tcW w:type="dxa" w:w="6336"/>
          </w:tcPr>
          <w:p>
            <w:pPr>
              <w:spacing w:after="40" w:before="40"/>
            </w:pPr>
            <w:r/>
            <w:r>
              <w:rPr>
                <w:sz w:val="19"/>
              </w:rPr>
              <w:t>Fall district data pull requested; first monthly dashboard issued; first clearance review</w:t>
            </w:r>
          </w:p>
        </w:tc>
        <w:tc>
          <w:tcPr>
            <w:tcW w:type="dxa" w:w="1584"/>
          </w:tcPr>
          <w:p>
            <w:pPr>
              <w:spacing w:after="40" w:before="40"/>
            </w:pPr>
            <w:r/>
            <w:r>
              <w:rPr>
                <w:sz w:val="19"/>
              </w:rPr>
              <w:t>Evaluation analyst</w:t>
            </w:r>
          </w:p>
        </w:tc>
      </w:tr>
      <w:tr>
        <w:tc>
          <w:tcPr>
            <w:tcW w:type="dxa" w:w="1440"/>
          </w:tcPr>
          <w:p>
            <w:pPr>
              <w:spacing w:after="40" w:before="40"/>
            </w:pPr>
            <w:r/>
            <w:r>
              <w:rPr>
                <w:sz w:val="19"/>
              </w:rPr>
              <w:t>4</w:t>
            </w:r>
          </w:p>
        </w:tc>
        <w:tc>
          <w:tcPr>
            <w:tcW w:type="dxa" w:w="6336"/>
          </w:tcPr>
          <w:p>
            <w:pPr>
              <w:spacing w:after="40" w:before="40"/>
            </w:pPr>
            <w:r/>
            <w:r>
              <w:rPr>
                <w:sz w:val="19"/>
              </w:rPr>
              <w:t>First contracted instructor rotation completes; enrichment rotation two begins</w:t>
            </w:r>
          </w:p>
        </w:tc>
        <w:tc>
          <w:tcPr>
            <w:tcW w:type="dxa" w:w="1584"/>
          </w:tcPr>
          <w:p>
            <w:pPr>
              <w:spacing w:after="40" w:before="40"/>
            </w:pPr>
            <w:r/>
            <w:r>
              <w:rPr>
                <w:sz w:val="19"/>
              </w:rPr>
              <w:t>Site coordinator</w:t>
            </w:r>
          </w:p>
        </w:tc>
      </w:tr>
      <w:tr>
        <w:tc>
          <w:tcPr>
            <w:tcW w:type="dxa" w:w="1440"/>
          </w:tcPr>
          <w:p>
            <w:pPr>
              <w:spacing w:after="40" w:before="40"/>
            </w:pPr>
            <w:r/>
            <w:r>
              <w:rPr>
                <w:sz w:val="19"/>
              </w:rPr>
              <w:t>5</w:t>
            </w:r>
          </w:p>
        </w:tc>
        <w:tc>
          <w:tcPr>
            <w:tcW w:type="dxa" w:w="6336"/>
          </w:tcPr>
          <w:p>
            <w:pPr>
              <w:spacing w:after="40" w:before="40"/>
            </w:pPr>
            <w:r/>
            <w:r>
              <w:rPr>
                <w:sz w:val="19"/>
              </w:rPr>
              <w:t>First full-day school-break session operates</w:t>
            </w:r>
          </w:p>
        </w:tc>
        <w:tc>
          <w:tcPr>
            <w:tcW w:type="dxa" w:w="1584"/>
          </w:tcPr>
          <w:p>
            <w:pPr>
              <w:spacing w:after="40" w:before="40"/>
            </w:pPr>
            <w:r/>
            <w:r>
              <w:rPr>
                <w:sz w:val="19"/>
              </w:rPr>
              <w:t>Site coordinator</w:t>
            </w:r>
          </w:p>
        </w:tc>
      </w:tr>
      <w:tr>
        <w:tc>
          <w:tcPr>
            <w:tcW w:type="dxa" w:w="1440"/>
          </w:tcPr>
          <w:p>
            <w:pPr>
              <w:spacing w:after="40" w:before="40"/>
            </w:pPr>
            <w:r/>
            <w:r>
              <w:rPr>
                <w:sz w:val="19"/>
              </w:rPr>
              <w:t>6</w:t>
            </w:r>
          </w:p>
        </w:tc>
        <w:tc>
          <w:tcPr>
            <w:tcW w:type="dxa" w:w="6336"/>
          </w:tcPr>
          <w:p>
            <w:pPr>
              <w:spacing w:after="40" w:before="40"/>
            </w:pPr>
            <w:r/>
            <w:r>
              <w:rPr>
                <w:sz w:val="19"/>
              </w:rPr>
              <w:t>Mid-year progress conversations begin; teen leader semester one stipends processed on completed hour logs</w:t>
            </w:r>
          </w:p>
        </w:tc>
        <w:tc>
          <w:tcPr>
            <w:tcW w:type="dxa" w:w="1584"/>
          </w:tcPr>
          <w:p>
            <w:pPr>
              <w:spacing w:after="40" w:before="40"/>
            </w:pPr>
            <w:r/>
            <w:r>
              <w:rPr>
                <w:sz w:val="19"/>
              </w:rPr>
              <w:t>Site coordinator</w:t>
            </w:r>
          </w:p>
        </w:tc>
      </w:tr>
      <w:tr>
        <w:tc>
          <w:tcPr>
            <w:tcW w:type="dxa" w:w="1440"/>
          </w:tcPr>
          <w:p>
            <w:pPr>
              <w:spacing w:after="40" w:before="40"/>
            </w:pPr>
            <w:r/>
            <w:r>
              <w:rPr>
                <w:sz w:val="19"/>
              </w:rPr>
              <w:t>7</w:t>
            </w:r>
          </w:p>
        </w:tc>
        <w:tc>
          <w:tcPr>
            <w:tcW w:type="dxa" w:w="6336"/>
          </w:tcPr>
          <w:p>
            <w:pPr>
              <w:spacing w:after="40" w:before="40"/>
            </w:pPr>
            <w:r/>
            <w:r>
              <w:rPr>
                <w:sz w:val="19"/>
              </w:rPr>
              <w:t>Interim report to the funder, including budget-to-actual and regular attendee count to date</w:t>
            </w:r>
          </w:p>
        </w:tc>
        <w:tc>
          <w:tcPr>
            <w:tcW w:type="dxa" w:w="1584"/>
          </w:tcPr>
          <w:p>
            <w:pPr>
              <w:spacing w:after="40" w:before="40"/>
            </w:pPr>
            <w:r/>
            <w:r>
              <w:rPr>
                <w:sz w:val="19"/>
              </w:rPr>
              <w:t>Executive director</w:t>
            </w:r>
          </w:p>
        </w:tc>
      </w:tr>
      <w:tr>
        <w:tc>
          <w:tcPr>
            <w:tcW w:type="dxa" w:w="1440"/>
          </w:tcPr>
          <w:p>
            <w:pPr>
              <w:spacing w:after="40" w:before="40"/>
            </w:pPr>
            <w:r/>
            <w:r>
              <w:rPr>
                <w:sz w:val="19"/>
              </w:rPr>
              <w:t>8</w:t>
            </w:r>
          </w:p>
        </w:tc>
        <w:tc>
          <w:tcPr>
            <w:tcW w:type="dxa" w:w="6336"/>
          </w:tcPr>
          <w:p>
            <w:pPr>
              <w:spacing w:after="40" w:before="40"/>
            </w:pPr>
            <w:r/>
            <w:r>
              <w:rPr>
                <w:sz w:val="19"/>
              </w:rPr>
              <w:t>Second semester teen leadership cohort trained; spring rotations begin</w:t>
            </w:r>
          </w:p>
        </w:tc>
        <w:tc>
          <w:tcPr>
            <w:tcW w:type="dxa" w:w="1584"/>
          </w:tcPr>
          <w:p>
            <w:pPr>
              <w:spacing w:after="40" w:before="40"/>
            </w:pPr>
            <w:r/>
            <w:r>
              <w:rPr>
                <w:sz w:val="19"/>
              </w:rPr>
              <w:t>Site coordinator</w:t>
            </w:r>
          </w:p>
        </w:tc>
      </w:tr>
      <w:tr>
        <w:tc>
          <w:tcPr>
            <w:tcW w:type="dxa" w:w="1440"/>
          </w:tcPr>
          <w:p>
            <w:pPr>
              <w:spacing w:after="40" w:before="40"/>
            </w:pPr>
            <w:r/>
            <w:r>
              <w:rPr>
                <w:sz w:val="19"/>
              </w:rPr>
              <w:t>10</w:t>
            </w:r>
          </w:p>
        </w:tc>
        <w:tc>
          <w:tcPr>
            <w:tcW w:type="dxa" w:w="6336"/>
          </w:tcPr>
          <w:p>
            <w:pPr>
              <w:spacing w:after="40" w:before="40"/>
            </w:pPr>
            <w:r/>
            <w:r>
              <w:rPr>
                <w:sz w:val="19"/>
              </w:rPr>
              <w:t>Spring district data pull requested; year-end youth survey scheduled</w:t>
            </w:r>
          </w:p>
        </w:tc>
        <w:tc>
          <w:tcPr>
            <w:tcW w:type="dxa" w:w="1584"/>
          </w:tcPr>
          <w:p>
            <w:pPr>
              <w:spacing w:after="40" w:before="40"/>
            </w:pPr>
            <w:r/>
            <w:r>
              <w:rPr>
                <w:sz w:val="19"/>
              </w:rPr>
              <w:t>Evaluation analyst</w:t>
            </w:r>
          </w:p>
        </w:tc>
      </w:tr>
      <w:tr>
        <w:tc>
          <w:tcPr>
            <w:tcW w:type="dxa" w:w="1440"/>
          </w:tcPr>
          <w:p>
            <w:pPr>
              <w:spacing w:after="40" w:before="40"/>
            </w:pPr>
            <w:r/>
            <w:r>
              <w:rPr>
                <w:sz w:val="19"/>
              </w:rPr>
              <w:t>11</w:t>
            </w:r>
          </w:p>
        </w:tc>
        <w:tc>
          <w:tcPr>
            <w:tcW w:type="dxa" w:w="6336"/>
          </w:tcPr>
          <w:p>
            <w:pPr>
              <w:spacing w:after="40" w:before="40"/>
            </w:pPr>
            <w:r/>
            <w:r>
              <w:rPr>
                <w:sz w:val="19"/>
              </w:rPr>
              <w:t>Family showcase night; year-end survey administered</w:t>
            </w:r>
          </w:p>
        </w:tc>
        <w:tc>
          <w:tcPr>
            <w:tcW w:type="dxa" w:w="1584"/>
          </w:tcPr>
          <w:p>
            <w:pPr>
              <w:spacing w:after="40" w:before="40"/>
            </w:pPr>
            <w:r/>
            <w:r>
              <w:rPr>
                <w:sz w:val="19"/>
              </w:rPr>
              <w:t>Site coordinator</w:t>
            </w:r>
          </w:p>
        </w:tc>
      </w:tr>
      <w:tr>
        <w:tc>
          <w:tcPr>
            <w:tcW w:type="dxa" w:w="1440"/>
          </w:tcPr>
          <w:p>
            <w:pPr>
              <w:spacing w:after="40" w:before="40"/>
            </w:pPr>
            <w:r/>
            <w:r>
              <w:rPr>
                <w:sz w:val="19"/>
              </w:rPr>
              <w:t>12</w:t>
            </w:r>
          </w:p>
        </w:tc>
        <w:tc>
          <w:tcPr>
            <w:tcW w:type="dxa" w:w="6336"/>
          </w:tcPr>
          <w:p>
            <w:pPr>
              <w:spacing w:after="40" w:before="40"/>
            </w:pPr>
            <w:r/>
            <w:r>
              <w:rPr>
                <w:sz w:val="19"/>
              </w:rPr>
              <w:t>Program year closes; attendance reconciled; final data pull received; sustainability commitments confirmed in writing</w:t>
            </w:r>
          </w:p>
        </w:tc>
        <w:tc>
          <w:tcPr>
            <w:tcW w:type="dxa" w:w="1584"/>
          </w:tcPr>
          <w:p>
            <w:pPr>
              <w:spacing w:after="40" w:before="40"/>
            </w:pPr>
            <w:r/>
            <w:r>
              <w:rPr>
                <w:sz w:val="19"/>
              </w:rPr>
              <w:t>Executive director</w:t>
            </w:r>
          </w:p>
        </w:tc>
      </w:tr>
      <w:tr>
        <w:tc>
          <w:tcPr>
            <w:tcW w:type="dxa" w:w="1440"/>
          </w:tcPr>
          <w:p>
            <w:pPr>
              <w:spacing w:after="40" w:before="40"/>
            </w:pPr>
            <w:r/>
            <w:r>
              <w:rPr>
                <w:sz w:val="19"/>
              </w:rPr>
              <w:t>12 plus 30 days</w:t>
            </w:r>
          </w:p>
        </w:tc>
        <w:tc>
          <w:tcPr>
            <w:tcW w:type="dxa" w:w="6336"/>
          </w:tcPr>
          <w:p>
            <w:pPr>
              <w:spacing w:after="40" w:before="40"/>
            </w:pPr>
            <w:r/>
            <w:r>
              <w:rPr>
                <w:sz w:val="19"/>
              </w:rPr>
              <w:t>Final report submitted</w:t>
            </w:r>
          </w:p>
        </w:tc>
        <w:tc>
          <w:tcPr>
            <w:tcW w:type="dxa" w:w="1584"/>
          </w:tcPr>
          <w:p>
            <w:pPr>
              <w:spacing w:after="40" w:before="40"/>
            </w:pPr>
            <w:r/>
            <w:r>
              <w:rPr>
                <w:sz w:val="19"/>
              </w:rPr>
              <w:t>Executive director</w:t>
            </w:r>
          </w:p>
        </w:tc>
      </w:tr>
    </w:tbl>
    <w:p>
      <w:pPr>
        <w:spacing w:after="0"/>
      </w:pPr>
    </w:p>
    <w:p>
      <w:pPr>
        <w:pStyle w:val="Heading1"/>
      </w:pPr>
      <w:r>
        <w:t>8. Budget</w:t>
      </w:r>
    </w:p>
    <w:p>
      <w:r>
        <w:rPr>
          <w:b w:val="0"/>
          <w:i w:val="0"/>
        </w:rPr>
        <w:t>A youth program budget carries lines most general nonprofit budgets do not: background checks, transportation, food on days outside a reimbursement program, contracted instructors, and participant stipends. Every line below has a basis, because a line with no basis reads as a placeholder and gets questioned.</w:t>
      </w:r>
    </w:p>
    <w:p>
      <w:pPr>
        <w:pStyle w:val="Heading2"/>
      </w:pPr>
      <w:r>
        <w:t>Twelve-month line-item budget</w:t>
      </w:r>
    </w:p>
    <w:p>
      <w:pPr>
        <w:spacing w:after="200"/>
      </w:pPr>
      <w:r>
        <w:rPr>
          <w:i/>
          <w:color w:val="5A5A5A"/>
          <w:sz w:val="18"/>
        </w:rPr>
        <w:t>Illustrative figures for a composite program. Replace every amount and every basis with your own.</w:t>
      </w:r>
    </w:p>
    <w:tbl>
      <w:tblPr>
        <w:tblStyle w:val="LightGrid-Accent1"/>
        <w:tblW w:type="auto" w:w="0"/>
        <w:jc w:val="center"/>
        <w:tblLayout w:type="fixed"/>
        <w:tblLook w:firstColumn="1" w:firstRow="1" w:lastColumn="0" w:lastRow="0" w:noHBand="0" w:noVBand="1" w:val="04A0"/>
      </w:tblPr>
      <w:tblGrid>
        <w:gridCol w:w="3120"/>
        <w:gridCol w:w="3120"/>
        <w:gridCol w:w="3120"/>
      </w:tblGrid>
      <w:tr>
        <w:tc>
          <w:tcPr>
            <w:tcW w:type="dxa" w:w="2736"/>
          </w:tcPr>
          <w:p>
            <w:pPr>
              <w:spacing w:after="40" w:before="40"/>
            </w:pPr>
            <w:r/>
            <w:r>
              <w:rPr>
                <w:b/>
                <w:sz w:val="19"/>
              </w:rPr>
              <w:t>Budget line</w:t>
            </w:r>
          </w:p>
        </w:tc>
        <w:tc>
          <w:tcPr>
            <w:tcW w:type="dxa" w:w="5040"/>
          </w:tcPr>
          <w:p>
            <w:pPr>
              <w:spacing w:after="40" w:before="40"/>
            </w:pPr>
            <w:r/>
            <w:r>
              <w:rPr>
                <w:b/>
                <w:sz w:val="19"/>
              </w:rPr>
              <w:t>Basis</w:t>
            </w:r>
          </w:p>
        </w:tc>
        <w:tc>
          <w:tcPr>
            <w:tcW w:type="dxa" w:w="1584"/>
          </w:tcPr>
          <w:p>
            <w:pPr>
              <w:spacing w:after="40" w:before="40"/>
            </w:pPr>
            <w:r/>
            <w:r>
              <w:rPr>
                <w:b/>
                <w:sz w:val="19"/>
              </w:rPr>
              <w:t>Amount</w:t>
            </w:r>
          </w:p>
        </w:tc>
      </w:tr>
      <w:tr>
        <w:tc>
          <w:tcPr>
            <w:tcW w:type="dxa" w:w="2736"/>
          </w:tcPr>
          <w:p>
            <w:pPr>
              <w:spacing w:after="40" w:before="40"/>
            </w:pPr>
            <w:r/>
            <w:r>
              <w:rPr>
                <w:sz w:val="19"/>
              </w:rPr>
              <w:t>Site coordinator, 1.0 FTE</w:t>
            </w:r>
          </w:p>
        </w:tc>
        <w:tc>
          <w:tcPr>
            <w:tcW w:type="dxa" w:w="5040"/>
          </w:tcPr>
          <w:p>
            <w:pPr>
              <w:spacing w:after="40" w:before="40"/>
            </w:pPr>
            <w:r/>
            <w:r>
              <w:rPr>
                <w:sz w:val="19"/>
              </w:rPr>
              <w:t>2,080 hours at $22.12 per hour</w:t>
            </w:r>
          </w:p>
        </w:tc>
        <w:tc>
          <w:tcPr>
            <w:tcW w:type="dxa" w:w="1584"/>
          </w:tcPr>
          <w:p>
            <w:pPr>
              <w:spacing w:after="40" w:before="40"/>
            </w:pPr>
            <w:r/>
            <w:r>
              <w:rPr>
                <w:sz w:val="19"/>
              </w:rPr>
              <w:t>$46,000</w:t>
            </w:r>
          </w:p>
        </w:tc>
      </w:tr>
      <w:tr>
        <w:tc>
          <w:tcPr>
            <w:tcW w:type="dxa" w:w="2736"/>
          </w:tcPr>
          <w:p>
            <w:pPr>
              <w:spacing w:after="40" w:before="40"/>
            </w:pPr>
            <w:r/>
            <w:r>
              <w:rPr>
                <w:sz w:val="19"/>
              </w:rPr>
              <w:t>Youth development staff, 3 part-time positions</w:t>
            </w:r>
          </w:p>
        </w:tc>
        <w:tc>
          <w:tcPr>
            <w:tcW w:type="dxa" w:w="5040"/>
          </w:tcPr>
          <w:p>
            <w:pPr>
              <w:spacing w:after="40" w:before="40"/>
            </w:pPr>
            <w:r/>
            <w:r>
              <w:rPr>
                <w:sz w:val="19"/>
              </w:rPr>
              <w:t>450 hours each at $20.00 per hour: 165 program days at 2.5 hours, plus 37.5 hours of training and family events</w:t>
            </w:r>
          </w:p>
        </w:tc>
        <w:tc>
          <w:tcPr>
            <w:tcW w:type="dxa" w:w="1584"/>
          </w:tcPr>
          <w:p>
            <w:pPr>
              <w:spacing w:after="40" w:before="40"/>
            </w:pPr>
            <w:r/>
            <w:r>
              <w:rPr>
                <w:sz w:val="19"/>
              </w:rPr>
              <w:t>$27,000</w:t>
            </w:r>
          </w:p>
        </w:tc>
      </w:tr>
      <w:tr>
        <w:tc>
          <w:tcPr>
            <w:tcW w:type="dxa" w:w="2736"/>
          </w:tcPr>
          <w:p>
            <w:pPr>
              <w:spacing w:after="40" w:before="40"/>
            </w:pPr>
            <w:r/>
            <w:r>
              <w:rPr>
                <w:sz w:val="19"/>
              </w:rPr>
              <w:t>Payroll taxes and benefits</w:t>
            </w:r>
          </w:p>
        </w:tc>
        <w:tc>
          <w:tcPr>
            <w:tcW w:type="dxa" w:w="5040"/>
          </w:tcPr>
          <w:p>
            <w:pPr>
              <w:spacing w:after="40" w:before="40"/>
            </w:pPr>
            <w:r/>
            <w:r>
              <w:rPr>
                <w:sz w:val="19"/>
              </w:rPr>
              <w:t>18 percent of $73,000 in salaries and wages</w:t>
            </w:r>
          </w:p>
        </w:tc>
        <w:tc>
          <w:tcPr>
            <w:tcW w:type="dxa" w:w="1584"/>
          </w:tcPr>
          <w:p>
            <w:pPr>
              <w:spacing w:after="40" w:before="40"/>
            </w:pPr>
            <w:r/>
            <w:r>
              <w:rPr>
                <w:sz w:val="19"/>
              </w:rPr>
              <w:t>$13,140</w:t>
            </w:r>
          </w:p>
        </w:tc>
      </w:tr>
      <w:tr>
        <w:tc>
          <w:tcPr>
            <w:tcW w:type="dxa" w:w="2736"/>
          </w:tcPr>
          <w:p>
            <w:pPr>
              <w:spacing w:after="40" w:before="40"/>
            </w:pPr>
            <w:r/>
            <w:r>
              <w:rPr>
                <w:sz w:val="19"/>
              </w:rPr>
              <w:t>Background checks and clearances, 14 adults</w:t>
            </w:r>
          </w:p>
        </w:tc>
        <w:tc>
          <w:tcPr>
            <w:tcW w:type="dxa" w:w="5040"/>
          </w:tcPr>
          <w:p>
            <w:pPr>
              <w:spacing w:after="40" w:before="40"/>
            </w:pPr>
            <w:r/>
            <w:r>
              <w:rPr>
                <w:sz w:val="19"/>
              </w:rPr>
              <w:t>14 adults at $50 for the state, fingerprint-based, and registry checks</w:t>
            </w:r>
          </w:p>
        </w:tc>
        <w:tc>
          <w:tcPr>
            <w:tcW w:type="dxa" w:w="1584"/>
          </w:tcPr>
          <w:p>
            <w:pPr>
              <w:spacing w:after="40" w:before="40"/>
            </w:pPr>
            <w:r/>
            <w:r>
              <w:rPr>
                <w:sz w:val="19"/>
              </w:rPr>
              <w:t>$700</w:t>
            </w:r>
          </w:p>
        </w:tc>
      </w:tr>
      <w:tr>
        <w:tc>
          <w:tcPr>
            <w:tcW w:type="dxa" w:w="2736"/>
          </w:tcPr>
          <w:p>
            <w:pPr>
              <w:spacing w:after="40" w:before="40"/>
            </w:pPr>
            <w:r/>
            <w:r>
              <w:rPr>
                <w:sz w:val="19"/>
              </w:rPr>
              <w:t>Snacks and suppers on non-reimbursable days</w:t>
            </w:r>
          </w:p>
        </w:tc>
        <w:tc>
          <w:tcPr>
            <w:tcW w:type="dxa" w:w="5040"/>
          </w:tcPr>
          <w:p>
            <w:pPr>
              <w:spacing w:after="40" w:before="40"/>
            </w:pPr>
            <w:r/>
            <w:r>
              <w:rPr>
                <w:sz w:val="19"/>
              </w:rPr>
              <w:t>Approximately 1,000 servings at $2.80 across 12 school-break sessions plus 6 early-dismissal sessions, $2,800, plus $600 of food at four family engagement events</w:t>
            </w:r>
          </w:p>
        </w:tc>
        <w:tc>
          <w:tcPr>
            <w:tcW w:type="dxa" w:w="1584"/>
          </w:tcPr>
          <w:p>
            <w:pPr>
              <w:spacing w:after="40" w:before="40"/>
            </w:pPr>
            <w:r/>
            <w:r>
              <w:rPr>
                <w:sz w:val="19"/>
              </w:rPr>
              <w:t>$3,400</w:t>
            </w:r>
          </w:p>
        </w:tc>
      </w:tr>
      <w:tr>
        <w:tc>
          <w:tcPr>
            <w:tcW w:type="dxa" w:w="2736"/>
          </w:tcPr>
          <w:p>
            <w:pPr>
              <w:spacing w:after="40" w:before="40"/>
            </w:pPr>
            <w:r/>
            <w:r>
              <w:rPr>
                <w:sz w:val="19"/>
              </w:rPr>
              <w:t>Transportation: van insurance, fuel, driver hours</w:t>
            </w:r>
          </w:p>
        </w:tc>
        <w:tc>
          <w:tcPr>
            <w:tcW w:type="dxa" w:w="5040"/>
          </w:tcPr>
          <w:p>
            <w:pPr>
              <w:spacing w:after="40" w:before="40"/>
            </w:pPr>
            <w:r/>
            <w:r>
              <w:rPr>
                <w:sz w:val="19"/>
              </w:rPr>
              <w:t>Insurance $2,600; fuel and maintenance at $10 per program day across 165 days, $1,650; driver wages 170 hours at $15.00, $2,550</w:t>
            </w:r>
          </w:p>
        </w:tc>
        <w:tc>
          <w:tcPr>
            <w:tcW w:type="dxa" w:w="1584"/>
          </w:tcPr>
          <w:p>
            <w:pPr>
              <w:spacing w:after="40" w:before="40"/>
            </w:pPr>
            <w:r/>
            <w:r>
              <w:rPr>
                <w:sz w:val="19"/>
              </w:rPr>
              <w:t>$6,800</w:t>
            </w:r>
          </w:p>
        </w:tc>
      </w:tr>
      <w:tr>
        <w:tc>
          <w:tcPr>
            <w:tcW w:type="dxa" w:w="2736"/>
          </w:tcPr>
          <w:p>
            <w:pPr>
              <w:spacing w:after="40" w:before="40"/>
            </w:pPr>
            <w:r/>
            <w:r>
              <w:rPr>
                <w:sz w:val="19"/>
              </w:rPr>
              <w:t>Enrichment supplies and STEM materials</w:t>
            </w:r>
          </w:p>
        </w:tc>
        <w:tc>
          <w:tcPr>
            <w:tcW w:type="dxa" w:w="5040"/>
          </w:tcPr>
          <w:p>
            <w:pPr>
              <w:spacing w:after="40" w:before="40"/>
            </w:pPr>
            <w:r/>
            <w:r>
              <w:rPr>
                <w:sz w:val="19"/>
              </w:rPr>
              <w:t>Consumables at $40 per enrolled participant for 60 participants, $2,400; eight reusable STEM kits at $200, $1,600</w:t>
            </w:r>
          </w:p>
        </w:tc>
        <w:tc>
          <w:tcPr>
            <w:tcW w:type="dxa" w:w="1584"/>
          </w:tcPr>
          <w:p>
            <w:pPr>
              <w:spacing w:after="40" w:before="40"/>
            </w:pPr>
            <w:r/>
            <w:r>
              <w:rPr>
                <w:sz w:val="19"/>
              </w:rPr>
              <w:t>$4,000</w:t>
            </w:r>
          </w:p>
        </w:tc>
      </w:tr>
      <w:tr>
        <w:tc>
          <w:tcPr>
            <w:tcW w:type="dxa" w:w="2736"/>
          </w:tcPr>
          <w:p>
            <w:pPr>
              <w:spacing w:after="40" w:before="40"/>
            </w:pPr>
            <w:r/>
            <w:r>
              <w:rPr>
                <w:sz w:val="19"/>
              </w:rPr>
              <w:t>Contracted teaching artists and coaches</w:t>
            </w:r>
          </w:p>
        </w:tc>
        <w:tc>
          <w:tcPr>
            <w:tcW w:type="dxa" w:w="5040"/>
          </w:tcPr>
          <w:p>
            <w:pPr>
              <w:spacing w:after="40" w:before="40"/>
            </w:pPr>
            <w:r/>
            <w:r>
              <w:rPr>
                <w:sz w:val="19"/>
              </w:rPr>
              <w:t>Two instructors, 30 sessions each, at $100 per two-hour session</w:t>
            </w:r>
          </w:p>
        </w:tc>
        <w:tc>
          <w:tcPr>
            <w:tcW w:type="dxa" w:w="1584"/>
          </w:tcPr>
          <w:p>
            <w:pPr>
              <w:spacing w:after="40" w:before="40"/>
            </w:pPr>
            <w:r/>
            <w:r>
              <w:rPr>
                <w:sz w:val="19"/>
              </w:rPr>
              <w:t>$6,000</w:t>
            </w:r>
          </w:p>
        </w:tc>
      </w:tr>
      <w:tr>
        <w:tc>
          <w:tcPr>
            <w:tcW w:type="dxa" w:w="2736"/>
          </w:tcPr>
          <w:p>
            <w:pPr>
              <w:spacing w:after="40" w:before="40"/>
            </w:pPr>
            <w:r/>
            <w:r>
              <w:rPr>
                <w:sz w:val="19"/>
              </w:rPr>
              <w:t>Field trips and family showcase night</w:t>
            </w:r>
          </w:p>
        </w:tc>
        <w:tc>
          <w:tcPr>
            <w:tcW w:type="dxa" w:w="5040"/>
          </w:tcPr>
          <w:p>
            <w:pPr>
              <w:spacing w:after="40" w:before="40"/>
            </w:pPr>
            <w:r/>
            <w:r>
              <w:rPr>
                <w:sz w:val="19"/>
              </w:rPr>
              <w:t>Three field trips at $600 each, being $6 admission for 60 participants plus $240 transportation, $1,800; family showcase night $600</w:t>
            </w:r>
          </w:p>
        </w:tc>
        <w:tc>
          <w:tcPr>
            <w:tcW w:type="dxa" w:w="1584"/>
          </w:tcPr>
          <w:p>
            <w:pPr>
              <w:spacing w:after="40" w:before="40"/>
            </w:pPr>
            <w:r/>
            <w:r>
              <w:rPr>
                <w:sz w:val="19"/>
              </w:rPr>
              <w:t>$2,400</w:t>
            </w:r>
          </w:p>
        </w:tc>
      </w:tr>
      <w:tr>
        <w:tc>
          <w:tcPr>
            <w:tcW w:type="dxa" w:w="2736"/>
          </w:tcPr>
          <w:p>
            <w:pPr>
              <w:spacing w:after="40" w:before="40"/>
            </w:pPr>
            <w:r/>
            <w:r>
              <w:rPr>
                <w:sz w:val="19"/>
              </w:rPr>
              <w:t>Teen leadership stipends, 8 participants</w:t>
            </w:r>
          </w:p>
        </w:tc>
        <w:tc>
          <w:tcPr>
            <w:tcW w:type="dxa" w:w="5040"/>
          </w:tcPr>
          <w:p>
            <w:pPr>
              <w:spacing w:after="40" w:before="40"/>
            </w:pPr>
            <w:r/>
            <w:r>
              <w:rPr>
                <w:sz w:val="19"/>
              </w:rPr>
              <w:t>Two $300 semester stipends per teen leader, each conditioned on 30 logged leadership hours and the six-hour peer leader training</w:t>
            </w:r>
          </w:p>
        </w:tc>
        <w:tc>
          <w:tcPr>
            <w:tcW w:type="dxa" w:w="1584"/>
          </w:tcPr>
          <w:p>
            <w:pPr>
              <w:spacing w:after="40" w:before="40"/>
            </w:pPr>
            <w:r/>
            <w:r>
              <w:rPr>
                <w:sz w:val="19"/>
              </w:rPr>
              <w:t>$4,800</w:t>
            </w:r>
          </w:p>
        </w:tc>
      </w:tr>
      <w:tr>
        <w:tc>
          <w:tcPr>
            <w:tcW w:type="dxa" w:w="2736"/>
          </w:tcPr>
          <w:p>
            <w:pPr>
              <w:spacing w:after="40" w:before="40"/>
            </w:pPr>
            <w:r/>
            <w:r>
              <w:rPr>
                <w:sz w:val="19"/>
              </w:rPr>
              <w:t>Staff training: youth development, mandated reporting, de-escalation</w:t>
            </w:r>
          </w:p>
        </w:tc>
        <w:tc>
          <w:tcPr>
            <w:tcW w:type="dxa" w:w="5040"/>
          </w:tcPr>
          <w:p>
            <w:pPr>
              <w:spacing w:after="40" w:before="40"/>
            </w:pPr>
            <w:r/>
            <w:r>
              <w:rPr>
                <w:sz w:val="19"/>
              </w:rPr>
              <w:t>Four staff at $250 for youth development institute registration, $1,000; contracted mandated reporter and de-escalation sessions, $600</w:t>
            </w:r>
          </w:p>
        </w:tc>
        <w:tc>
          <w:tcPr>
            <w:tcW w:type="dxa" w:w="1584"/>
          </w:tcPr>
          <w:p>
            <w:pPr>
              <w:spacing w:after="40" w:before="40"/>
            </w:pPr>
            <w:r/>
            <w:r>
              <w:rPr>
                <w:sz w:val="19"/>
              </w:rPr>
              <w:t>$1,600</w:t>
            </w:r>
          </w:p>
        </w:tc>
      </w:tr>
      <w:tr>
        <w:tc>
          <w:tcPr>
            <w:tcW w:type="dxa" w:w="2736"/>
          </w:tcPr>
          <w:p>
            <w:pPr>
              <w:spacing w:after="40" w:before="40"/>
            </w:pPr>
            <w:r/>
            <w:r>
              <w:rPr>
                <w:sz w:val="19"/>
              </w:rPr>
              <w:t>Evaluation: attendance system, survey licenses, analyst hours</w:t>
            </w:r>
          </w:p>
        </w:tc>
        <w:tc>
          <w:tcPr>
            <w:tcW w:type="dxa" w:w="5040"/>
          </w:tcPr>
          <w:p>
            <w:pPr>
              <w:spacing w:after="40" w:before="40"/>
            </w:pPr>
            <w:r/>
            <w:r>
              <w:rPr>
                <w:sz w:val="19"/>
              </w:rPr>
              <w:t>Attendance system at $100 per month for 12 months, $1,200; two survey administrations at $280, $560; analyst 60 hours at $40, $2,400</w:t>
            </w:r>
          </w:p>
        </w:tc>
        <w:tc>
          <w:tcPr>
            <w:tcW w:type="dxa" w:w="1584"/>
          </w:tcPr>
          <w:p>
            <w:pPr>
              <w:spacing w:after="40" w:before="40"/>
            </w:pPr>
            <w:r/>
            <w:r>
              <w:rPr>
                <w:sz w:val="19"/>
              </w:rPr>
              <w:t>$4,160</w:t>
            </w:r>
          </w:p>
        </w:tc>
      </w:tr>
      <w:tr>
        <w:tc>
          <w:tcPr>
            <w:tcW w:type="dxa" w:w="2736"/>
          </w:tcPr>
          <w:p>
            <w:pPr>
              <w:spacing w:after="40" w:before="40"/>
            </w:pPr>
            <w:r/>
            <w:r>
              <w:rPr>
                <w:b/>
                <w:sz w:val="19"/>
              </w:rPr>
              <w:t>Total direct costs</w:t>
            </w:r>
          </w:p>
        </w:tc>
        <w:tc>
          <w:tcPr>
            <w:tcW w:type="dxa" w:w="5040"/>
          </w:tcPr>
          <w:p>
            <w:pPr>
              <w:spacing w:after="40" w:before="40"/>
            </w:pPr>
            <w:r/>
            <w:r>
              <w:rPr>
                <w:b/>
                <w:sz w:val="19"/>
              </w:rPr>
              <w:t>Sum of the twelve lines above</w:t>
            </w:r>
          </w:p>
        </w:tc>
        <w:tc>
          <w:tcPr>
            <w:tcW w:type="dxa" w:w="1584"/>
          </w:tcPr>
          <w:p>
            <w:pPr>
              <w:spacing w:after="40" w:before="40"/>
            </w:pPr>
            <w:r/>
            <w:r>
              <w:rPr>
                <w:b/>
                <w:sz w:val="19"/>
              </w:rPr>
              <w:t>$120,000</w:t>
            </w:r>
          </w:p>
        </w:tc>
      </w:tr>
      <w:tr>
        <w:tc>
          <w:tcPr>
            <w:tcW w:type="dxa" w:w="2736"/>
          </w:tcPr>
          <w:p>
            <w:pPr>
              <w:spacing w:after="40" w:before="40"/>
            </w:pPr>
            <w:r/>
            <w:r>
              <w:rPr>
                <w:b/>
                <w:sz w:val="19"/>
              </w:rPr>
              <w:t>Indirect costs</w:t>
            </w:r>
          </w:p>
        </w:tc>
        <w:tc>
          <w:tcPr>
            <w:tcW w:type="dxa" w:w="5040"/>
          </w:tcPr>
          <w:p>
            <w:pPr>
              <w:spacing w:after="40" w:before="40"/>
            </w:pPr>
            <w:r/>
            <w:r>
              <w:rPr>
                <w:b/>
                <w:sz w:val="19"/>
              </w:rPr>
              <w:t>Negotiated rate of 10 percent applied to a total direct cost base of $120,000</w:t>
            </w:r>
          </w:p>
        </w:tc>
        <w:tc>
          <w:tcPr>
            <w:tcW w:type="dxa" w:w="1584"/>
          </w:tcPr>
          <w:p>
            <w:pPr>
              <w:spacing w:after="40" w:before="40"/>
            </w:pPr>
            <w:r/>
            <w:r>
              <w:rPr>
                <w:b/>
                <w:sz w:val="19"/>
              </w:rPr>
              <w:t>$12,000</w:t>
            </w:r>
          </w:p>
        </w:tc>
      </w:tr>
      <w:tr>
        <w:tc>
          <w:tcPr>
            <w:tcW w:type="dxa" w:w="2736"/>
          </w:tcPr>
          <w:p>
            <w:pPr>
              <w:spacing w:after="40" w:before="40"/>
            </w:pPr>
            <w:r/>
            <w:r>
              <w:rPr>
                <w:b/>
                <w:sz w:val="19"/>
              </w:rPr>
              <w:t>Total request</w:t>
            </w:r>
          </w:p>
        </w:tc>
        <w:tc>
          <w:tcPr>
            <w:tcW w:type="dxa" w:w="5040"/>
          </w:tcPr>
          <w:p>
            <w:pPr>
              <w:spacing w:after="40" w:before="40"/>
            </w:pPr>
            <w:r/>
            <w:r>
              <w:rPr>
                <w:b/>
                <w:sz w:val="19"/>
              </w:rPr>
              <w:t>Direct plus indirect</w:t>
            </w:r>
          </w:p>
        </w:tc>
        <w:tc>
          <w:tcPr>
            <w:tcW w:type="dxa" w:w="1584"/>
          </w:tcPr>
          <w:p>
            <w:pPr>
              <w:spacing w:after="40" w:before="40"/>
            </w:pPr>
            <w:r/>
            <w:r>
              <w:rPr>
                <w:b/>
                <w:sz w:val="19"/>
              </w:rPr>
              <w:t>$132,000</w:t>
            </w:r>
          </w:p>
        </w:tc>
      </w:tr>
    </w:tbl>
    <w:p>
      <w:pPr>
        <w:spacing w:after="0"/>
      </w:pPr>
    </w:p>
    <w:p>
      <w:pPr>
        <w:pStyle w:val="Heading2"/>
      </w:pPr>
      <w:r>
        <w:t>Budget narrative</w:t>
      </w:r>
    </w:p>
    <w:p>
      <w:pPr>
        <w:pStyle w:val="Heading3"/>
      </w:pPr>
      <w:r>
        <w:t>Personnel</w:t>
      </w:r>
    </w:p>
    <w:p>
      <w:r>
        <w:rPr>
          <w:b w:val="0"/>
          <w:i w:val="0"/>
        </w:rPr>
        <w:t>The site coordinator is the position the program cannot run without. This role is on site every program day, supervises all four blocks, runs the sign-in door, keeps the clearance log and reviews it monthly, holds the enrollment conferences and mid-year conversations, manages the CACFP meal count, and is the person a caregiver reaches. At $46,000 for 2,080 hours, the rate is $22.12 an hour. Benchmark that against the wage your own labor market actually pays for a role with clearance requirements and supervisory responsibility, because a coordinator line budgeted below market is a vacancy in month four.</w:t>
      </w:r>
    </w:p>
    <w:p>
      <w:r>
        <w:rPr>
          <w:b w:val="0"/>
          <w:i w:val="0"/>
        </w:rPr>
        <w:t>Three part-time youth development staff cover the block ratios. Each works 2.5 hours a program day across 165 days, 412.5 hours, plus 37.5 hours of training, family events, and set-up, for 450 hours at $20.00, or $9,000 per position. Three positions plus the coordinator produce four adults on site every afternoon, which is what holds one to ten during academic support at an average daily attendance of 38.</w:t>
      </w:r>
    </w:p>
    <w:p>
      <w:r>
        <w:rPr>
          <w:b w:val="0"/>
          <w:i w:val="0"/>
        </w:rPr>
        <w:t>Payroll taxes and benefits at 18 percent of $73,000 in salaries and wages is $13,140. Use your own composite fringe rate from your most recent audited statements or your negotiated agreement, and show what it includes: employer payroll taxes, unemployment and workers compensation insurance, and whatever health or retirement contribution your policy provides to positions at these hours.</w:t>
      </w:r>
    </w:p>
    <w:p>
      <w:pPr>
        <w:pStyle w:val="Heading3"/>
      </w:pPr>
      <w:r>
        <w:t>The ratio test</w:t>
      </w:r>
    </w:p>
    <w:p>
      <w:r>
        <w:rPr>
          <w:b w:val="0"/>
          <w:i w:val="0"/>
        </w:rPr>
        <w:t>Run this arithmetic before you submit, because a reviewer will. Four adults at an average daily attendance of 38 is one to 9.5 during academic support, inside the one to ten the design promises. On a day attendance spikes to 44, the ratio moves to one to eleven and the program's written response is to move a teen leader block into the quiet room and pull the coordinator onto a group, which the coordinator's schedule allows because the coordinator is not counted in the four on high-attendance days. If your arithmetic does not survive your own best day, the design is under-staffed rather than efficient.</w:t>
      </w:r>
    </w:p>
    <w:p>
      <w:pPr>
        <w:pStyle w:val="Heading3"/>
      </w:pPr>
      <w:r>
        <w:t>Non-personnel costs</w:t>
      </w:r>
    </w:p>
    <w:p>
      <w:r>
        <w:rPr>
          <w:b w:val="0"/>
          <w:i w:val="0"/>
        </w:rPr>
        <w:t>Background checks at $700 for 14 adults is a small line whose absence signals that screening was never budgeted, and therefore may not be happening. It covers every adult with participant contact, including volunteers and contracted instructors, not only payroll staff. Where your state charges more, or requires renewal on a shorter cycle, the line goes up and the narrative should say so.</w:t>
      </w:r>
    </w:p>
    <w:p>
      <w:r>
        <w:rPr>
          <w:b w:val="0"/>
          <w:i w:val="0"/>
        </w:rPr>
        <w:t>Food at $3,400 covers only what CACFP does not. The 18 school-break and early-dismissal sessions fall outside the school-year claiming window, and family event food is not claimable. Everything else is reimbursed and appears as revenue in Other Resources.</w:t>
      </w:r>
    </w:p>
    <w:p>
      <w:r>
        <w:rPr>
          <w:b w:val="0"/>
          <w:i w:val="0"/>
        </w:rPr>
        <w:t>Transportation at $6,800 is broken into three components because a single flat transportation figure invites a question. Insurance is the annual premium for the vehicle at the coverage level the program's policy requires. Fuel and maintenance is $10 a program day across 165 days for a 6.4-mile route run twice. Driver wages are 170 hours at $15.00, one hour a program day plus five hours of route and emergency procedure training.</w:t>
      </w:r>
    </w:p>
    <w:p>
      <w:r>
        <w:rPr>
          <w:b w:val="0"/>
          <w:i w:val="0"/>
        </w:rPr>
        <w:t>Enrichment supplies at $4,000 splits into consumables, $40 per enrolled participant for 60 participants, and eight reusable STEM kits at $200 each that carry into subsequent years. Separating consumable from durable matters, because a reviewer reading a flat supplies figure cannot tell whether year two needs the same amount.</w:t>
      </w:r>
    </w:p>
    <w:p>
      <w:r>
        <w:rPr>
          <w:b w:val="0"/>
          <w:i w:val="0"/>
        </w:rPr>
        <w:t>Contracted instructors at $6,000 shows the rate and the session count: two instructors, 30 two-hour sessions each, $100 a session. A flat line reading teaching artists, $6,000, reads as a placeholder and is one of the most commonly questioned lines in a youth budget. The contracts also carry the clearance requirement, which is why these two instructors appear in the 14 adults cleared.</w:t>
      </w:r>
    </w:p>
    <w:p>
      <w:r>
        <w:rPr>
          <w:b w:val="0"/>
          <w:i w:val="0"/>
        </w:rPr>
        <w:t>Field trips and the family showcase at $2,400 covers three trips at $600 each, being $6 admission for 60 participants plus $240 in transportation, and $600 for the April showcase night. Showing the per-participant admission figure is what makes the line checkable.</w:t>
      </w:r>
    </w:p>
    <w:p>
      <w:r>
        <w:rPr>
          <w:b w:val="0"/>
          <w:i w:val="0"/>
        </w:rPr>
        <w:t>Staff training at $1,600 covers the four paid staff, the site coordinator and the three youth development positions, at $250 each for youth development institute registration, $1,000, plus $600 for the contracted mandated reporter and de-escalation sessions the team attends together. Every requirement it pays for is named in the training and clearance table in section 3, which is where a reviewer checks whether the training a program promises is the training it budgeted.</w:t>
      </w:r>
    </w:p>
    <w:p>
      <w:pPr>
        <w:pStyle w:val="Heading3"/>
      </w:pPr>
      <w:r>
        <w:t>Participant stipends</w:t>
      </w:r>
    </w:p>
    <w:p>
      <w:r>
        <w:rPr>
          <w:b w:val="0"/>
          <w:i w:val="0"/>
        </w:rPr>
        <w:t>Teen leadership stipends at $4,800 pay eight participants $300 a semester, each conditioned on 30 logged leadership hours and completion of the six-hour peer leader training. Unexplained payments to participants invite follow-up, so the line states what the stipend buys and the leadership hour log is Attachment Q. Older participants in a paid leadership role are one of the strongest retention mechanisms a middle school program has, and they are also the line a reviewer reads most carefully.</w:t>
      </w:r>
    </w:p>
    <w:p>
      <w:pPr>
        <w:spacing w:after="200"/>
      </w:pPr>
      <w:r>
        <w:rPr>
          <w:i/>
          <w:color w:val="5A5A5A"/>
          <w:sz w:val="18"/>
        </w:rPr>
        <w:t>Two checks before you copy this line. First, federal awards generally require prior written approval for participant support costs under 2 CFR 200.456, so read your notice. Second, ask your finance lead whether your teen leaders are receiving a training stipend or being paid for hours worked, because the second answer makes them employees and youth employment rules on hours and permitted occupations apply.</w:t>
      </w:r>
    </w:p>
    <w:p>
      <w:pPr>
        <w:pStyle w:val="Heading3"/>
      </w:pPr>
      <w:r>
        <w:t>Evaluation</w:t>
      </w:r>
    </w:p>
    <w:p>
      <w:r>
        <w:rPr>
          <w:b w:val="0"/>
          <w:i w:val="0"/>
        </w:rPr>
        <w:t>Evaluation at $4,160 covers the attendance system license at $100 a month, two administrations of the youth survey at $280 each, and 60 hours of analyst time at $40 an hour to receive the district pulls, match records, run the comparisons, and write the interim and final reports. A proposal that promises school-day outcome data and budgets nothing to collect it is not credible. Budget it, and put a number of hours against it rather than a lump sum.</w:t>
      </w:r>
    </w:p>
    <w:p>
      <w:pPr>
        <w:pStyle w:val="Heading3"/>
      </w:pPr>
      <w:r>
        <w:t>Indirect costs</w:t>
      </w:r>
    </w:p>
    <w:p>
      <w:r>
        <w:rPr>
          <w:b w:val="0"/>
          <w:i w:val="0"/>
        </w:rPr>
        <w:t>The 10 percent rate in this budget is the example organization's own negotiated rate, established in an agreement with its cognizant agency for indirect costs, and that agreement specifies a total direct cost base. That is why the calculation applies 10 percent to the full $120,000. A negotiated rate belongs to one organization, is not the de minimis rate, and cannot be borrowed from a template.</w:t>
      </w:r>
    </w:p>
    <w:p>
      <w:r>
        <w:rPr>
          <w:b w:val="0"/>
          <w:i w:val="0"/>
        </w:rPr>
        <w:t>If your agreement specifies modified total direct costs instead, your base excludes the categories listed at 2 CFR 200.1, including participant support costs, so the $4,800 in teen leadership stipends would come out of the base before the rate is applied. Apply your own rate to your own base and show the arithmetic in the narrative.</w:t>
      </w:r>
    </w:p>
    <w:p>
      <w:r>
        <w:rPr>
          <w:b w:val="0"/>
          <w:i w:val="0"/>
        </w:rPr>
        <w:t>If you do not hold a negotiated rate, a federal award lets you elect a de minimis rate of up to 15 percent of modified total direct costs under 2 CFR 200.414 (eCFR, accessed September 2026). The Uniform Guidance revision published April 22, 2024 raised that ceiling from 10 percent, so read the section itself rather than an older template. Private funders set their own indirect policies, and many cap the rate below either figure. Read the guidelines before you calculate.</w:t>
      </w:r>
    </w:p>
    <w:p>
      <w:pPr>
        <w:pStyle w:val="Heading2"/>
      </w:pPr>
      <w:r>
        <w:t>Other resources supporting the program</w:t>
      </w:r>
    </w:p>
    <w:p>
      <w:r>
        <w:rPr>
          <w:b w:val="0"/>
          <w:i w:val="0"/>
        </w:rPr>
        <w:t>This request funds the lines above in full. The resources below carry costs that are not in this budget, and listing them is what prevents a reviewer from concluding the funder is being asked to pay twice for the same meal or the same room.</w:t>
      </w:r>
    </w:p>
    <w:tbl>
      <w:tblPr>
        <w:tblStyle w:val="LightGrid-Accent1"/>
        <w:tblW w:type="auto" w:w="0"/>
        <w:jc w:val="center"/>
        <w:tblLayout w:type="fixed"/>
        <w:tblLook w:firstColumn="1" w:firstRow="1" w:lastColumn="0" w:lastRow="0" w:noHBand="0" w:noVBand="1" w:val="04A0"/>
      </w:tblPr>
      <w:tblGrid>
        <w:gridCol w:w="2340"/>
        <w:gridCol w:w="2340"/>
        <w:gridCol w:w="2340"/>
        <w:gridCol w:w="2340"/>
      </w:tblGrid>
      <w:tr>
        <w:tc>
          <w:tcPr>
            <w:tcW w:type="dxa" w:w="2664"/>
          </w:tcPr>
          <w:p>
            <w:pPr>
              <w:spacing w:after="40" w:before="40"/>
            </w:pPr>
            <w:r/>
            <w:r>
              <w:rPr>
                <w:b/>
                <w:sz w:val="19"/>
              </w:rPr>
              <w:t>Resource</w:t>
            </w:r>
          </w:p>
        </w:tc>
        <w:tc>
          <w:tcPr>
            <w:tcW w:type="dxa" w:w="1440"/>
          </w:tcPr>
          <w:p>
            <w:pPr>
              <w:spacing w:after="40" w:before="40"/>
            </w:pPr>
            <w:r/>
            <w:r>
              <w:rPr>
                <w:b/>
                <w:sz w:val="19"/>
              </w:rPr>
              <w:t>Type</w:t>
            </w:r>
          </w:p>
        </w:tc>
        <w:tc>
          <w:tcPr>
            <w:tcW w:type="dxa" w:w="1512"/>
          </w:tcPr>
          <w:p>
            <w:pPr>
              <w:spacing w:after="40" w:before="40"/>
            </w:pPr>
            <w:r/>
            <w:r>
              <w:rPr>
                <w:b/>
                <w:sz w:val="19"/>
              </w:rPr>
              <w:t>Value</w:t>
            </w:r>
          </w:p>
        </w:tc>
        <w:tc>
          <w:tcPr>
            <w:tcW w:type="dxa" w:w="3744"/>
          </w:tcPr>
          <w:p>
            <w:pPr>
              <w:spacing w:after="40" w:before="40"/>
            </w:pPr>
            <w:r/>
            <w:r>
              <w:rPr>
                <w:b/>
                <w:sz w:val="19"/>
              </w:rPr>
              <w:t>Basis</w:t>
            </w:r>
          </w:p>
        </w:tc>
      </w:tr>
      <w:tr>
        <w:tc>
          <w:tcPr>
            <w:tcW w:type="dxa" w:w="2664"/>
          </w:tcPr>
          <w:p>
            <w:pPr>
              <w:spacing w:after="40" w:before="40"/>
            </w:pPr>
            <w:r/>
            <w:r>
              <w:rPr>
                <w:sz w:val="19"/>
              </w:rPr>
              <w:t>CACFP At-Risk supper and snack reimbursement</w:t>
            </w:r>
          </w:p>
        </w:tc>
        <w:tc>
          <w:tcPr>
            <w:tcW w:type="dxa" w:w="1440"/>
          </w:tcPr>
          <w:p>
            <w:pPr>
              <w:spacing w:after="40" w:before="40"/>
            </w:pPr>
            <w:r/>
            <w:r>
              <w:rPr>
                <w:sz w:val="19"/>
              </w:rPr>
              <w:t>Federal reimbursement</w:t>
            </w:r>
          </w:p>
        </w:tc>
        <w:tc>
          <w:tcPr>
            <w:tcW w:type="dxa" w:w="1512"/>
          </w:tcPr>
          <w:p>
            <w:pPr>
              <w:spacing w:after="40" w:before="40"/>
            </w:pPr>
            <w:r/>
            <w:r>
              <w:rPr>
                <w:sz w:val="19"/>
              </w:rPr>
              <w:t>Approximately $17,000</w:t>
            </w:r>
          </w:p>
        </w:tc>
        <w:tc>
          <w:tcPr>
            <w:tcW w:type="dxa" w:w="3744"/>
          </w:tcPr>
          <w:p>
            <w:pPr>
              <w:spacing w:after="40" w:before="40"/>
            </w:pPr>
            <w:r/>
            <w:r>
              <w:rPr>
                <w:sz w:val="19"/>
              </w:rPr>
              <w:t>147 claiming days at average daily participation of 38, at the At-Risk supper and snack rates published for the program year</w:t>
            </w:r>
          </w:p>
        </w:tc>
      </w:tr>
      <w:tr>
        <w:tc>
          <w:tcPr>
            <w:tcW w:type="dxa" w:w="2664"/>
          </w:tcPr>
          <w:p>
            <w:pPr>
              <w:spacing w:after="40" w:before="40"/>
            </w:pPr>
            <w:r/>
            <w:r>
              <w:rPr>
                <w:sz w:val="19"/>
              </w:rPr>
              <w:t>Classroom, cafeteria, and gym space plus custodial coverage</w:t>
            </w:r>
          </w:p>
        </w:tc>
        <w:tc>
          <w:tcPr>
            <w:tcW w:type="dxa" w:w="1440"/>
          </w:tcPr>
          <w:p>
            <w:pPr>
              <w:spacing w:after="40" w:before="40"/>
            </w:pPr>
            <w:r/>
            <w:r>
              <w:rPr>
                <w:sz w:val="19"/>
              </w:rPr>
              <w:t>District in-kind</w:t>
            </w:r>
          </w:p>
        </w:tc>
        <w:tc>
          <w:tcPr>
            <w:tcW w:type="dxa" w:w="1512"/>
          </w:tcPr>
          <w:p>
            <w:pPr>
              <w:spacing w:after="40" w:before="40"/>
            </w:pPr>
            <w:r/>
            <w:r>
              <w:rPr>
                <w:sz w:val="19"/>
              </w:rPr>
              <w:t>$9,600</w:t>
            </w:r>
          </w:p>
        </w:tc>
        <w:tc>
          <w:tcPr>
            <w:tcW w:type="dxa" w:w="3744"/>
          </w:tcPr>
          <w:p>
            <w:pPr>
              <w:spacing w:after="40" w:before="40"/>
            </w:pPr>
            <w:r/>
            <w:r>
              <w:rPr>
                <w:sz w:val="19"/>
              </w:rPr>
              <w:t>165 program days at the district's published after-hours facility use rate</w:t>
            </w:r>
          </w:p>
        </w:tc>
      </w:tr>
      <w:tr>
        <w:tc>
          <w:tcPr>
            <w:tcW w:type="dxa" w:w="2664"/>
          </w:tcPr>
          <w:p>
            <w:pPr>
              <w:spacing w:after="40" w:before="40"/>
            </w:pPr>
            <w:r/>
            <w:r>
              <w:rPr>
                <w:sz w:val="19"/>
              </w:rPr>
              <w:t>Two district-assigned certified teachers, academic support</w:t>
            </w:r>
          </w:p>
        </w:tc>
        <w:tc>
          <w:tcPr>
            <w:tcW w:type="dxa" w:w="1440"/>
          </w:tcPr>
          <w:p>
            <w:pPr>
              <w:spacing w:after="40" w:before="40"/>
            </w:pPr>
            <w:r/>
            <w:r>
              <w:rPr>
                <w:sz w:val="19"/>
              </w:rPr>
              <w:t>District in-kind</w:t>
            </w:r>
          </w:p>
        </w:tc>
        <w:tc>
          <w:tcPr>
            <w:tcW w:type="dxa" w:w="1512"/>
          </w:tcPr>
          <w:p>
            <w:pPr>
              <w:spacing w:after="40" w:before="40"/>
            </w:pPr>
            <w:r/>
            <w:r>
              <w:rPr>
                <w:sz w:val="19"/>
              </w:rPr>
              <w:t>$6,300</w:t>
            </w:r>
          </w:p>
        </w:tc>
        <w:tc>
          <w:tcPr>
            <w:tcW w:type="dxa" w:w="3744"/>
          </w:tcPr>
          <w:p>
            <w:pPr>
              <w:spacing w:after="40" w:before="40"/>
            </w:pPr>
            <w:r/>
            <w:r>
              <w:rPr>
                <w:sz w:val="19"/>
              </w:rPr>
              <w:t>Two teachers, two afternoons a week, at the district's published supplemental rate</w:t>
            </w:r>
          </w:p>
        </w:tc>
      </w:tr>
      <w:tr>
        <w:tc>
          <w:tcPr>
            <w:tcW w:type="dxa" w:w="2664"/>
          </w:tcPr>
          <w:p>
            <w:pPr>
              <w:spacing w:after="40" w:before="40"/>
            </w:pPr>
            <w:r/>
            <w:r>
              <w:rPr>
                <w:sz w:val="19"/>
              </w:rPr>
              <w:t>Volunteer hours</w:t>
            </w:r>
          </w:p>
        </w:tc>
        <w:tc>
          <w:tcPr>
            <w:tcW w:type="dxa" w:w="1440"/>
          </w:tcPr>
          <w:p>
            <w:pPr>
              <w:spacing w:after="40" w:before="40"/>
            </w:pPr>
            <w:r/>
            <w:r>
              <w:rPr>
                <w:sz w:val="19"/>
              </w:rPr>
              <w:t>In-kind</w:t>
            </w:r>
          </w:p>
        </w:tc>
        <w:tc>
          <w:tcPr>
            <w:tcW w:type="dxa" w:w="1512"/>
          </w:tcPr>
          <w:p>
            <w:pPr>
              <w:spacing w:after="40" w:before="40"/>
            </w:pPr>
            <w:r/>
            <w:r>
              <w:rPr>
                <w:sz w:val="19"/>
              </w:rPr>
              <w:t>900 hours</w:t>
            </w:r>
          </w:p>
        </w:tc>
        <w:tc>
          <w:tcPr>
            <w:tcW w:type="dxa" w:w="3744"/>
          </w:tcPr>
          <w:p>
            <w:pPr>
              <w:spacing w:after="40" w:before="40"/>
            </w:pPr>
            <w:r/>
            <w:r>
              <w:rPr>
                <w:sz w:val="19"/>
              </w:rPr>
              <w:t>Five screened volunteers, at least one per afternoon across 165 days</w:t>
            </w:r>
          </w:p>
        </w:tc>
      </w:tr>
      <w:tr>
        <w:tc>
          <w:tcPr>
            <w:tcW w:type="dxa" w:w="2664"/>
          </w:tcPr>
          <w:p>
            <w:pPr>
              <w:spacing w:after="40" w:before="40"/>
            </w:pPr>
            <w:r/>
            <w:r>
              <w:rPr>
                <w:sz w:val="19"/>
              </w:rPr>
              <w:t>EYA unrestricted funds</w:t>
            </w:r>
          </w:p>
        </w:tc>
        <w:tc>
          <w:tcPr>
            <w:tcW w:type="dxa" w:w="1440"/>
          </w:tcPr>
          <w:p>
            <w:pPr>
              <w:spacing w:after="40" w:before="40"/>
            </w:pPr>
            <w:r/>
            <w:r>
              <w:rPr>
                <w:sz w:val="19"/>
              </w:rPr>
              <w:t>Organizational cash</w:t>
            </w:r>
          </w:p>
        </w:tc>
        <w:tc>
          <w:tcPr>
            <w:tcW w:type="dxa" w:w="1512"/>
          </w:tcPr>
          <w:p>
            <w:pPr>
              <w:spacing w:after="40" w:before="40"/>
            </w:pPr>
            <w:r/>
            <w:r>
              <w:rPr>
                <w:sz w:val="19"/>
              </w:rPr>
              <w:t>$8,000</w:t>
            </w:r>
          </w:p>
        </w:tc>
        <w:tc>
          <w:tcPr>
            <w:tcW w:type="dxa" w:w="3744"/>
          </w:tcPr>
          <w:p>
            <w:pPr>
              <w:spacing w:after="40" w:before="40"/>
            </w:pPr>
            <w:r/>
            <w:r>
              <w:rPr>
                <w:sz w:val="19"/>
              </w:rPr>
              <w:t>Enrollment packet production, staff onboarding, and the coordinator's summer planning weeks</w:t>
            </w:r>
          </w:p>
        </w:tc>
      </w:tr>
      <w:tr>
        <w:tc>
          <w:tcPr>
            <w:tcW w:type="dxa" w:w="2664"/>
          </w:tcPr>
          <w:p>
            <w:pPr>
              <w:spacing w:after="40" w:before="40"/>
            </w:pPr>
            <w:r/>
            <w:r>
              <w:rPr>
                <w:sz w:val="19"/>
              </w:rPr>
              <w:t>Family activity fees, sliding scale</w:t>
            </w:r>
          </w:p>
        </w:tc>
        <w:tc>
          <w:tcPr>
            <w:tcW w:type="dxa" w:w="1440"/>
          </w:tcPr>
          <w:p>
            <w:pPr>
              <w:spacing w:after="40" w:before="40"/>
            </w:pPr>
            <w:r/>
            <w:r>
              <w:rPr>
                <w:sz w:val="19"/>
              </w:rPr>
              <w:t>Program revenue</w:t>
            </w:r>
          </w:p>
        </w:tc>
        <w:tc>
          <w:tcPr>
            <w:tcW w:type="dxa" w:w="1512"/>
          </w:tcPr>
          <w:p>
            <w:pPr>
              <w:spacing w:after="40" w:before="40"/>
            </w:pPr>
            <w:r/>
            <w:r>
              <w:rPr>
                <w:sz w:val="19"/>
              </w:rPr>
              <w:t>$2,400</w:t>
            </w:r>
          </w:p>
        </w:tc>
        <w:tc>
          <w:tcPr>
            <w:tcW w:type="dxa" w:w="3744"/>
          </w:tcPr>
          <w:p>
            <w:pPr>
              <w:spacing w:after="40" w:before="40"/>
            </w:pPr>
            <w:r/>
            <w:r>
              <w:rPr>
                <w:sz w:val="19"/>
              </w:rPr>
              <w:t>Voluntary sliding-scale contribution for field trips, waived on request, no participant excluded for non-payment</w:t>
            </w:r>
          </w:p>
        </w:tc>
      </w:tr>
    </w:tbl>
    <w:p>
      <w:pPr>
        <w:spacing w:after="0"/>
      </w:pPr>
    </w:p>
    <w:p>
      <w:pPr>
        <w:pStyle w:val="Heading2"/>
      </w:pPr>
      <w:r>
        <w:t>What this grant does not cover</w:t>
      </w:r>
    </w:p>
    <w:p>
      <w:pPr>
        <w:pStyle w:val="ListBullet"/>
      </w:pPr>
      <w:r>
        <w:t>Supper and snack on the 147 CACFP claiming days, which are reimbursed rather than granted.</w:t>
      </w:r>
    </w:p>
    <w:p>
      <w:pPr>
        <w:pStyle w:val="ListBullet"/>
      </w:pPr>
      <w:r>
        <w:t>Facility, utilities, and custodial costs at the school site, which the district provides.</w:t>
      </w:r>
    </w:p>
    <w:p>
      <w:pPr>
        <w:pStyle w:val="ListBullet"/>
      </w:pPr>
      <w:r>
        <w:t>Summer programming, which operates as a separate fee-for-service program outside this project period.</w:t>
      </w:r>
    </w:p>
    <w:p>
      <w:pPr>
        <w:pStyle w:val="ListBullet"/>
      </w:pPr>
      <w:r>
        <w:t>Vehicle purchase. The van is owned and this budget carries only insurance, fuel, maintenance, and driver hours.</w:t>
      </w:r>
    </w:p>
    <w:p>
      <w:pPr>
        <w:pStyle w:val="ListBullet"/>
      </w:pPr>
      <w:r>
        <w:t>EYA's central administrative costs beyond the negotiated indirect rate.</w:t>
      </w:r>
    </w:p>
    <w:p>
      <w:pPr>
        <w:pStyle w:val="Heading1"/>
      </w:pPr>
      <w:r>
        <w:t>9. Sustainability Plan</w:t>
      </w:r>
    </w:p>
    <w:p>
      <w:r>
        <w:rPr>
          <w:b w:val="0"/>
          <w:i w:val="0"/>
        </w:rPr>
        <w:t>A sustainability section that promises to seek additional grants is not a plan. This one names revenue paths, assigns each a share, and states what has to be true for each to arrive.</w:t>
      </w:r>
    </w:p>
    <w:p>
      <w:pPr>
        <w:pStyle w:val="Heading2"/>
      </w:pPr>
      <w:r>
        <w:t>Grant share step-down</w:t>
      </w:r>
    </w:p>
    <w:tbl>
      <w:tblPr>
        <w:tblStyle w:val="LightGrid-Accent1"/>
        <w:tblW w:type="auto" w:w="0"/>
        <w:jc w:val="center"/>
        <w:tblLayout w:type="fixed"/>
        <w:tblLook w:firstColumn="1" w:firstRow="1" w:lastColumn="0" w:lastRow="0" w:noHBand="0" w:noVBand="1" w:val="04A0"/>
      </w:tblPr>
      <w:tblGrid>
        <w:gridCol w:w="2340"/>
        <w:gridCol w:w="2340"/>
        <w:gridCol w:w="2340"/>
        <w:gridCol w:w="2340"/>
      </w:tblGrid>
      <w:tr>
        <w:tc>
          <w:tcPr>
            <w:tcW w:type="dxa" w:w="1008"/>
          </w:tcPr>
          <w:p>
            <w:pPr>
              <w:spacing w:after="40" w:before="40"/>
            </w:pPr>
            <w:r/>
            <w:r>
              <w:rPr>
                <w:b/>
                <w:sz w:val="19"/>
              </w:rPr>
              <w:t>Year</w:t>
            </w:r>
          </w:p>
        </w:tc>
        <w:tc>
          <w:tcPr>
            <w:tcW w:type="dxa" w:w="1872"/>
          </w:tcPr>
          <w:p>
            <w:pPr>
              <w:spacing w:after="40" w:before="40"/>
            </w:pPr>
            <w:r/>
            <w:r>
              <w:rPr>
                <w:b/>
                <w:sz w:val="19"/>
              </w:rPr>
              <w:t>Total program cost</w:t>
            </w:r>
          </w:p>
        </w:tc>
        <w:tc>
          <w:tcPr>
            <w:tcW w:type="dxa" w:w="1872"/>
          </w:tcPr>
          <w:p>
            <w:pPr>
              <w:spacing w:after="40" w:before="40"/>
            </w:pPr>
            <w:r/>
            <w:r>
              <w:rPr>
                <w:b/>
                <w:sz w:val="19"/>
              </w:rPr>
              <w:t>Grant share</w:t>
            </w:r>
          </w:p>
        </w:tc>
        <w:tc>
          <w:tcPr>
            <w:tcW w:type="dxa" w:w="4608"/>
          </w:tcPr>
          <w:p>
            <w:pPr>
              <w:spacing w:after="40" w:before="40"/>
            </w:pPr>
            <w:r/>
            <w:r>
              <w:rPr>
                <w:b/>
                <w:sz w:val="19"/>
              </w:rPr>
              <w:t>Replacement revenue</w:t>
            </w:r>
          </w:p>
        </w:tc>
      </w:tr>
      <w:tr>
        <w:tc>
          <w:tcPr>
            <w:tcW w:type="dxa" w:w="1008"/>
          </w:tcPr>
          <w:p>
            <w:pPr>
              <w:spacing w:after="40" w:before="40"/>
            </w:pPr>
            <w:r/>
            <w:r>
              <w:rPr>
                <w:sz w:val="19"/>
              </w:rPr>
              <w:t>Year 1</w:t>
            </w:r>
          </w:p>
        </w:tc>
        <w:tc>
          <w:tcPr>
            <w:tcW w:type="dxa" w:w="1872"/>
          </w:tcPr>
          <w:p>
            <w:pPr>
              <w:spacing w:after="40" w:before="40"/>
            </w:pPr>
            <w:r/>
            <w:r>
              <w:rPr>
                <w:sz w:val="19"/>
              </w:rPr>
              <w:t>$132,000</w:t>
            </w:r>
          </w:p>
        </w:tc>
        <w:tc>
          <w:tcPr>
            <w:tcW w:type="dxa" w:w="1872"/>
          </w:tcPr>
          <w:p>
            <w:pPr>
              <w:spacing w:after="40" w:before="40"/>
            </w:pPr>
            <w:r/>
            <w:r>
              <w:rPr>
                <w:sz w:val="19"/>
              </w:rPr>
              <w:t>100 percent, $132,000</w:t>
            </w:r>
          </w:p>
        </w:tc>
        <w:tc>
          <w:tcPr>
            <w:tcW w:type="dxa" w:w="4608"/>
          </w:tcPr>
          <w:p>
            <w:pPr>
              <w:spacing w:after="40" w:before="40"/>
            </w:pPr>
            <w:r/>
            <w:r>
              <w:rPr>
                <w:sz w:val="19"/>
              </w:rPr>
              <w:t>None; this request carries the full program cost</w:t>
            </w:r>
          </w:p>
        </w:tc>
      </w:tr>
      <w:tr>
        <w:tc>
          <w:tcPr>
            <w:tcW w:type="dxa" w:w="1008"/>
          </w:tcPr>
          <w:p>
            <w:pPr>
              <w:spacing w:after="40" w:before="40"/>
            </w:pPr>
            <w:r/>
            <w:r>
              <w:rPr>
                <w:sz w:val="19"/>
              </w:rPr>
              <w:t>Year 2</w:t>
            </w:r>
          </w:p>
        </w:tc>
        <w:tc>
          <w:tcPr>
            <w:tcW w:type="dxa" w:w="1872"/>
          </w:tcPr>
          <w:p>
            <w:pPr>
              <w:spacing w:after="40" w:before="40"/>
            </w:pPr>
            <w:r/>
            <w:r>
              <w:rPr>
                <w:sz w:val="19"/>
              </w:rPr>
              <w:t>$136,000</w:t>
            </w:r>
          </w:p>
        </w:tc>
        <w:tc>
          <w:tcPr>
            <w:tcW w:type="dxa" w:w="1872"/>
          </w:tcPr>
          <w:p>
            <w:pPr>
              <w:spacing w:after="40" w:before="40"/>
            </w:pPr>
            <w:r/>
            <w:r>
              <w:rPr>
                <w:sz w:val="19"/>
              </w:rPr>
              <w:t>70 percent, $95,200</w:t>
            </w:r>
          </w:p>
        </w:tc>
        <w:tc>
          <w:tcPr>
            <w:tcW w:type="dxa" w:w="4608"/>
          </w:tcPr>
          <w:p>
            <w:pPr>
              <w:spacing w:after="40" w:before="40"/>
            </w:pPr>
            <w:r/>
            <w:r>
              <w:rPr>
                <w:sz w:val="19"/>
              </w:rPr>
              <w:t>District site contract $22,000; county youth services allocation $12,000; family activity fees $3,600; increased CACFP claim from higher average daily attendance $3,200</w:t>
            </w:r>
          </w:p>
        </w:tc>
      </w:tr>
      <w:tr>
        <w:tc>
          <w:tcPr>
            <w:tcW w:type="dxa" w:w="1008"/>
          </w:tcPr>
          <w:p>
            <w:pPr>
              <w:spacing w:after="40" w:before="40"/>
            </w:pPr>
            <w:r/>
            <w:r>
              <w:rPr>
                <w:sz w:val="19"/>
              </w:rPr>
              <w:t>Year 3</w:t>
            </w:r>
          </w:p>
        </w:tc>
        <w:tc>
          <w:tcPr>
            <w:tcW w:type="dxa" w:w="1872"/>
          </w:tcPr>
          <w:p>
            <w:pPr>
              <w:spacing w:after="40" w:before="40"/>
            </w:pPr>
            <w:r/>
            <w:r>
              <w:rPr>
                <w:sz w:val="19"/>
              </w:rPr>
              <w:t>$140,000</w:t>
            </w:r>
          </w:p>
        </w:tc>
        <w:tc>
          <w:tcPr>
            <w:tcW w:type="dxa" w:w="1872"/>
          </w:tcPr>
          <w:p>
            <w:pPr>
              <w:spacing w:after="40" w:before="40"/>
            </w:pPr>
            <w:r/>
            <w:r>
              <w:rPr>
                <w:sz w:val="19"/>
              </w:rPr>
              <w:t>45 percent, $63,000</w:t>
            </w:r>
          </w:p>
        </w:tc>
        <w:tc>
          <w:tcPr>
            <w:tcW w:type="dxa" w:w="4608"/>
          </w:tcPr>
          <w:p>
            <w:pPr>
              <w:spacing w:after="40" w:before="40"/>
            </w:pPr>
            <w:r/>
            <w:r>
              <w:rPr>
                <w:sz w:val="19"/>
              </w:rPr>
              <w:t>District site contract $30,000; county allocation $18,000; state out-of-school-time subgrant $22,000; family activity fees $4,200; employer sponsorship of the STEM rotation $2,800</w:t>
            </w:r>
          </w:p>
        </w:tc>
      </w:tr>
    </w:tbl>
    <w:p>
      <w:pPr>
        <w:spacing w:after="0"/>
      </w:pPr>
    </w:p>
    <w:p>
      <w:pPr>
        <w:spacing w:after="200"/>
      </w:pPr>
      <w:r>
        <w:rPr>
          <w:i/>
          <w:color w:val="5A5A5A"/>
          <w:sz w:val="18"/>
        </w:rPr>
        <w:t>Illustrative shares for the composite. Build your own from commitments you can name and a funder can verify.</w:t>
      </w:r>
    </w:p>
    <w:p>
      <w:pPr>
        <w:pStyle w:val="Heading2"/>
      </w:pPr>
      <w:r>
        <w:t>Where the replacement revenue comes from</w:t>
      </w:r>
    </w:p>
    <w:p>
      <w:pPr>
        <w:pStyle w:val="ListBullet"/>
      </w:pPr>
      <w:r>
        <w:t>District site contract. Northline Public Schools currently contributes space and staff time in kind. The step to a paid site contract is a budget decision the district makes in its spring cycle, and EYA's request is on the district's agenda with a date, not an intention.</w:t>
      </w:r>
    </w:p>
    <w:p>
      <w:pPr>
        <w:pStyle w:val="ListBullet"/>
      </w:pPr>
      <w:r>
        <w:t>County youth services allocation. Cedar County's youth services department funds out-of-school-time providers on an annual application cycle. EYA's year-two application date is on the grant calendar.</w:t>
      </w:r>
    </w:p>
    <w:p>
      <w:pPr>
        <w:pStyle w:val="ListBullet"/>
      </w:pPr>
      <w:r>
        <w:t>State out-of-school-time subgrant. The Nita M. Lowey 21st Century Community Learning Centers program, authorized under Title IV, Part B of the Elementary and Secondary Education Act, is a formula grant to state educational agencies under assistance listing 84.287, and each state runs its own subgrant competition with its own deadline and priorities (U.S. Department of Education, Office of Elementary and Secondary Education, accessed September 2026). EYA's state competition opens in year two for a year-three start, which is why it appears in year three rather than year two.</w:t>
      </w:r>
    </w:p>
    <w:p>
      <w:pPr>
        <w:pStyle w:val="ListBullet"/>
      </w:pPr>
      <w:r>
        <w:t>CACFP reimbursement growth. Reimbursement scales with average daily participation, so the same enrollment growth that raises program cost also raises this revenue. It is the one line that moves in the program's favor as it grows.</w:t>
      </w:r>
    </w:p>
    <w:p>
      <w:pPr>
        <w:pStyle w:val="ListBullet"/>
      </w:pPr>
      <w:r>
        <w:t>Family activity fees. A sliding-scale voluntary contribution for field trips, waived on request, with no participant excluded for non-payment. It is a small line and it is stated as small.</w:t>
      </w:r>
    </w:p>
    <w:p>
      <w:pPr>
        <w:pStyle w:val="ListBullet"/>
      </w:pPr>
      <w:r>
        <w:t>Employer and civic sponsorship of the enrichment block. A named sponsor for the STEM rotation, sold as a one-year renewable commitment against a specific rotation rather than as general support.</w:t>
      </w:r>
    </w:p>
    <w:p>
      <w:pPr>
        <w:pStyle w:val="Heading2"/>
      </w:pPr>
      <w:r>
        <w:t>Contingencies</w:t>
      </w:r>
    </w:p>
    <w:p>
      <w:r>
        <w:rPr>
          <w:b w:val="0"/>
          <w:i w:val="0"/>
        </w:rPr>
        <w:t>If the district site contract does not materialize in year two, EYA holds enrollment at 60 rather than expanding, reduces the contracted instructor line by one instructor, and moves the second van run to a three-day-a-week schedule, which preserves the ratio and the dosage threshold at a lower total cost. The program does not respond to a revenue shortfall by increasing group sizes, because the ratio is the thing the funder was told it was buying.</w:t>
      </w:r>
    </w:p>
    <w:p>
      <w:pPr>
        <w:pStyle w:val="Heading1"/>
      </w:pPr>
      <w:r>
        <w:t>10. Questions a Youth Reviewer Will Ask</w:t>
      </w:r>
    </w:p>
    <w:p>
      <w:pPr>
        <w:pStyle w:val="Heading2"/>
      </w:pPr>
      <w:r>
        <w:t>Is every adult in the room cleared, and who tracks the expiration dates?</w:t>
      </w:r>
    </w:p>
    <w:p>
      <w:r>
        <w:rPr>
          <w:b w:val="0"/>
          <w:i w:val="0"/>
        </w:rPr>
        <w:t>Answered in section 3 with a table naming every check, who completes it, when, its renewal interval, and the person who owns the log. Expiration tracking is where this fails in practice, so the answer names a monthly review date and a person, and objective 4.3 reports on it.</w:t>
      </w:r>
    </w:p>
    <w:p>
      <w:pPr>
        <w:pStyle w:val="Heading2"/>
      </w:pPr>
      <w:r>
        <w:t>Does the ratio hold in the loudest block?</w:t>
      </w:r>
    </w:p>
    <w:p>
      <w:r>
        <w:rPr>
          <w:b w:val="0"/>
          <w:i w:val="0"/>
        </w:rPr>
        <w:t>Answered by giving a ratio per block rather than a program average, and by stating the gym cap of 24 participants with two adults. A one to ten average that conceals a one to twenty-two physical activity period is a finding youth site visits routinely produce.</w:t>
      </w:r>
    </w:p>
    <w:p>
      <w:pPr>
        <w:pStyle w:val="Heading2"/>
      </w:pPr>
      <w:r>
        <w:t>How many hours does one participant actually get?</w:t>
      </w:r>
    </w:p>
    <w:p>
      <w:r>
        <w:rPr>
          <w:b w:val="0"/>
          <w:i w:val="0"/>
        </w:rPr>
        <w:t>Answered by the dosage threshold of 60 program days, the weekly dose of three academic and three enrichment hours at an average of three attended days, and a block schedule audit that checks delivery against sign-in records monthly. A headcount with no dosage definition behind it tells a reviewer nothing about what any individual received.</w:t>
      </w:r>
    </w:p>
    <w:p>
      <w:pPr>
        <w:pStyle w:val="Heading2"/>
      </w:pPr>
      <w:r>
        <w:t>What gets a participant home?</w:t>
      </w:r>
    </w:p>
    <w:p>
      <w:r>
        <w:rPr>
          <w:b w:val="0"/>
          <w:i w:val="0"/>
        </w:rPr>
        <w:t>Answered in the transportation subsection with a route, a vehicle, a driver credential, two adults aboard, a manifest, a release procedure, and a written not-picked-up escalation. For a program at this age band in this kind of attendance zone, transportation is the difference between an enrollment number and an attendance number.</w:t>
      </w:r>
    </w:p>
    <w:p>
      <w:pPr>
        <w:pStyle w:val="Heading2"/>
      </w:pPr>
      <w:r>
        <w:t>Will the school data you promised actually arrive?</w:t>
      </w:r>
    </w:p>
    <w:p>
      <w:r>
        <w:rPr>
          <w:b w:val="0"/>
          <w:i w:val="0"/>
        </w:rPr>
        <w:t>Answered by naming both routes, guardian consent at enrollment and a written agreement under 34 CFR 99.31, putting the execution target in the timeline, and stating in advance what will be reported if the date slips.</w:t>
      </w:r>
    </w:p>
    <w:p>
      <w:pPr>
        <w:pStyle w:val="Heading2"/>
      </w:pPr>
      <w:r>
        <w:t>What happens on the days school is closed?</w:t>
      </w:r>
    </w:p>
    <w:p>
      <w:r>
        <w:rPr>
          <w:b w:val="0"/>
          <w:i w:val="0"/>
        </w:rPr>
        <w:t>Answered with 12 full-day break sessions inside the program calendar, six closure days published at enrollment, and summer treated as a separate program rather than folded silently into this budget.</w:t>
      </w:r>
    </w:p>
    <w:p>
      <w:pPr>
        <w:pStyle w:val="Heading2"/>
      </w:pPr>
      <w:r>
        <w:t>What is the funder paying for that someone else is already paying for?</w:t>
      </w:r>
    </w:p>
    <w:p>
      <w:r>
        <w:rPr>
          <w:b w:val="0"/>
          <w:i w:val="0"/>
        </w:rPr>
        <w:t>Answered by the Other Resources table. CACFP covers supper on 147 days, the district covers facility and custodial costs, and this request pays for neither. A reviewer who finds the same meal in two places stops trusting the rest of the budget.</w:t>
      </w:r>
    </w:p>
    <w:p>
      <w:pPr>
        <w:pStyle w:val="Heading1"/>
      </w:pPr>
      <w:r>
        <w:t>11. Attachments</w:t>
      </w:r>
    </w:p>
    <w:tbl>
      <w:tblPr>
        <w:tblStyle w:val="LightGrid-Accent1"/>
        <w:tblW w:type="auto" w:w="0"/>
        <w:jc w:val="center"/>
        <w:tblLayout w:type="fixed"/>
        <w:tblLook w:firstColumn="1" w:firstRow="1" w:lastColumn="0" w:lastRow="0" w:noHBand="0" w:noVBand="1" w:val="04A0"/>
      </w:tblPr>
      <w:tblGrid>
        <w:gridCol w:w="3120"/>
        <w:gridCol w:w="3120"/>
        <w:gridCol w:w="3120"/>
      </w:tblGrid>
      <w:tr>
        <w:tc>
          <w:tcPr>
            <w:tcW w:type="dxa" w:w="504"/>
          </w:tcPr>
          <w:p>
            <w:pPr>
              <w:spacing w:after="40" w:before="40"/>
            </w:pPr>
            <w:r/>
            <w:r>
              <w:rPr>
                <w:b/>
                <w:sz w:val="19"/>
              </w:rPr>
            </w:r>
          </w:p>
        </w:tc>
        <w:tc>
          <w:tcPr>
            <w:tcW w:type="dxa" w:w="4320"/>
          </w:tcPr>
          <w:p>
            <w:pPr>
              <w:spacing w:after="40" w:before="40"/>
            </w:pPr>
            <w:r/>
            <w:r>
              <w:rPr>
                <w:b/>
                <w:sz w:val="19"/>
              </w:rPr>
              <w:t>Attachment</w:t>
            </w:r>
          </w:p>
        </w:tc>
        <w:tc>
          <w:tcPr>
            <w:tcW w:type="dxa" w:w="4536"/>
          </w:tcPr>
          <w:p>
            <w:pPr>
              <w:spacing w:after="40" w:before="40"/>
            </w:pPr>
            <w:r/>
            <w:r>
              <w:rPr>
                <w:b/>
                <w:sz w:val="19"/>
              </w:rPr>
              <w:t>Why a youth funder asks for it</w:t>
            </w:r>
          </w:p>
        </w:tc>
      </w:tr>
      <w:tr>
        <w:tc>
          <w:tcPr>
            <w:tcW w:type="dxa" w:w="504"/>
          </w:tcPr>
          <w:p>
            <w:pPr>
              <w:spacing w:after="40" w:before="40"/>
            </w:pPr>
            <w:r/>
            <w:r>
              <w:rPr>
                <w:sz w:val="19"/>
              </w:rPr>
              <w:t>A</w:t>
            </w:r>
          </w:p>
        </w:tc>
        <w:tc>
          <w:tcPr>
            <w:tcW w:type="dxa" w:w="4320"/>
          </w:tcPr>
          <w:p>
            <w:pPr>
              <w:spacing w:after="40" w:before="40"/>
            </w:pPr>
            <w:r/>
            <w:r>
              <w:rPr>
                <w:sz w:val="19"/>
              </w:rPr>
              <w:t>IRS determination letter</w:t>
            </w:r>
          </w:p>
        </w:tc>
        <w:tc>
          <w:tcPr>
            <w:tcW w:type="dxa" w:w="4536"/>
          </w:tcPr>
          <w:p>
            <w:pPr>
              <w:spacing w:after="40" w:before="40"/>
            </w:pPr>
            <w:r/>
            <w:r>
              <w:rPr>
                <w:sz w:val="19"/>
              </w:rPr>
              <w:t>Confirms tax-exempt status and eligibility</w:t>
            </w:r>
          </w:p>
        </w:tc>
      </w:tr>
      <w:tr>
        <w:tc>
          <w:tcPr>
            <w:tcW w:type="dxa" w:w="504"/>
          </w:tcPr>
          <w:p>
            <w:pPr>
              <w:spacing w:after="40" w:before="40"/>
            </w:pPr>
            <w:r/>
            <w:r>
              <w:rPr>
                <w:sz w:val="19"/>
              </w:rPr>
              <w:t>B</w:t>
            </w:r>
          </w:p>
        </w:tc>
        <w:tc>
          <w:tcPr>
            <w:tcW w:type="dxa" w:w="4320"/>
          </w:tcPr>
          <w:p>
            <w:pPr>
              <w:spacing w:after="40" w:before="40"/>
            </w:pPr>
            <w:r/>
            <w:r>
              <w:rPr>
                <w:sz w:val="19"/>
              </w:rPr>
              <w:t>Audited financial statements, two most recent fiscal years, with management letter</w:t>
            </w:r>
          </w:p>
        </w:tc>
        <w:tc>
          <w:tcPr>
            <w:tcW w:type="dxa" w:w="4536"/>
          </w:tcPr>
          <w:p>
            <w:pPr>
              <w:spacing w:after="40" w:before="40"/>
            </w:pPr>
            <w:r/>
            <w:r>
              <w:rPr>
                <w:sz w:val="19"/>
              </w:rPr>
              <w:t>Financial stability and audit findings</w:t>
            </w:r>
          </w:p>
        </w:tc>
      </w:tr>
      <w:tr>
        <w:tc>
          <w:tcPr>
            <w:tcW w:type="dxa" w:w="504"/>
          </w:tcPr>
          <w:p>
            <w:pPr>
              <w:spacing w:after="40" w:before="40"/>
            </w:pPr>
            <w:r/>
            <w:r>
              <w:rPr>
                <w:sz w:val="19"/>
              </w:rPr>
              <w:t>C</w:t>
            </w:r>
          </w:p>
        </w:tc>
        <w:tc>
          <w:tcPr>
            <w:tcW w:type="dxa" w:w="4320"/>
          </w:tcPr>
          <w:p>
            <w:pPr>
              <w:spacing w:after="40" w:before="40"/>
            </w:pPr>
            <w:r/>
            <w:r>
              <w:rPr>
                <w:sz w:val="19"/>
              </w:rPr>
              <w:t>Negotiated indirect cost rate agreement, or a signed de minimis election statement</w:t>
            </w:r>
          </w:p>
        </w:tc>
        <w:tc>
          <w:tcPr>
            <w:tcW w:type="dxa" w:w="4536"/>
          </w:tcPr>
          <w:p>
            <w:pPr>
              <w:spacing w:after="40" w:before="40"/>
            </w:pPr>
            <w:r/>
            <w:r>
              <w:rPr>
                <w:sz w:val="19"/>
              </w:rPr>
              <w:t>Supports the indirect line in the budget</w:t>
            </w:r>
          </w:p>
        </w:tc>
      </w:tr>
      <w:tr>
        <w:tc>
          <w:tcPr>
            <w:tcW w:type="dxa" w:w="504"/>
          </w:tcPr>
          <w:p>
            <w:pPr>
              <w:spacing w:after="40" w:before="40"/>
            </w:pPr>
            <w:r/>
            <w:r>
              <w:rPr>
                <w:sz w:val="19"/>
              </w:rPr>
              <w:t>D</w:t>
            </w:r>
          </w:p>
        </w:tc>
        <w:tc>
          <w:tcPr>
            <w:tcW w:type="dxa" w:w="4320"/>
          </w:tcPr>
          <w:p>
            <w:pPr>
              <w:spacing w:after="40" w:before="40"/>
            </w:pPr>
            <w:r/>
            <w:r>
              <w:rPr>
                <w:sz w:val="19"/>
              </w:rPr>
              <w:t>Board roster with affiliations and terms</w:t>
            </w:r>
          </w:p>
        </w:tc>
        <w:tc>
          <w:tcPr>
            <w:tcW w:type="dxa" w:w="4536"/>
          </w:tcPr>
          <w:p>
            <w:pPr>
              <w:spacing w:after="40" w:before="40"/>
            </w:pPr>
            <w:r/>
            <w:r>
              <w:rPr>
                <w:sz w:val="19"/>
              </w:rPr>
              <w:t>Governance, and whether families are represented</w:t>
            </w:r>
          </w:p>
        </w:tc>
      </w:tr>
      <w:tr>
        <w:tc>
          <w:tcPr>
            <w:tcW w:type="dxa" w:w="504"/>
          </w:tcPr>
          <w:p>
            <w:pPr>
              <w:spacing w:after="40" w:before="40"/>
            </w:pPr>
            <w:r/>
            <w:r>
              <w:rPr>
                <w:sz w:val="19"/>
              </w:rPr>
              <w:t>E</w:t>
            </w:r>
          </w:p>
        </w:tc>
        <w:tc>
          <w:tcPr>
            <w:tcW w:type="dxa" w:w="4320"/>
          </w:tcPr>
          <w:p>
            <w:pPr>
              <w:spacing w:after="40" w:before="40"/>
            </w:pPr>
            <w:r/>
            <w:r>
              <w:rPr>
                <w:sz w:val="19"/>
              </w:rPr>
              <w:t>Organizational chart showing where the site coordinator reports</w:t>
            </w:r>
          </w:p>
        </w:tc>
        <w:tc>
          <w:tcPr>
            <w:tcW w:type="dxa" w:w="4536"/>
          </w:tcPr>
          <w:p>
            <w:pPr>
              <w:spacing w:after="40" w:before="40"/>
            </w:pPr>
            <w:r/>
            <w:r>
              <w:rPr>
                <w:sz w:val="19"/>
              </w:rPr>
              <w:t>Supervision and accountability</w:t>
            </w:r>
          </w:p>
        </w:tc>
      </w:tr>
      <w:tr>
        <w:tc>
          <w:tcPr>
            <w:tcW w:type="dxa" w:w="504"/>
          </w:tcPr>
          <w:p>
            <w:pPr>
              <w:spacing w:after="40" w:before="40"/>
            </w:pPr>
            <w:r/>
            <w:r>
              <w:rPr>
                <w:sz w:val="19"/>
              </w:rPr>
              <w:t>F</w:t>
            </w:r>
          </w:p>
        </w:tc>
        <w:tc>
          <w:tcPr>
            <w:tcW w:type="dxa" w:w="4320"/>
          </w:tcPr>
          <w:p>
            <w:pPr>
              <w:spacing w:after="40" w:before="40"/>
            </w:pPr>
            <w:r/>
            <w:r>
              <w:rPr>
                <w:sz w:val="19"/>
              </w:rPr>
              <w:t>Staffing chart by activity block, with ratios and adult counts</w:t>
            </w:r>
          </w:p>
        </w:tc>
        <w:tc>
          <w:tcPr>
            <w:tcW w:type="dxa" w:w="4536"/>
          </w:tcPr>
          <w:p>
            <w:pPr>
              <w:spacing w:after="40" w:before="40"/>
            </w:pPr>
            <w:r/>
            <w:r>
              <w:rPr>
                <w:sz w:val="19"/>
              </w:rPr>
              <w:t>The safety question, answered in one page</w:t>
            </w:r>
          </w:p>
        </w:tc>
      </w:tr>
      <w:tr>
        <w:tc>
          <w:tcPr>
            <w:tcW w:type="dxa" w:w="504"/>
          </w:tcPr>
          <w:p>
            <w:pPr>
              <w:spacing w:after="40" w:before="40"/>
            </w:pPr>
            <w:r/>
            <w:r>
              <w:rPr>
                <w:sz w:val="19"/>
              </w:rPr>
              <w:t>G</w:t>
            </w:r>
          </w:p>
        </w:tc>
        <w:tc>
          <w:tcPr>
            <w:tcW w:type="dxa" w:w="4320"/>
          </w:tcPr>
          <w:p>
            <w:pPr>
              <w:spacing w:after="40" w:before="40"/>
            </w:pPr>
            <w:r/>
            <w:r>
              <w:rPr>
                <w:sz w:val="19"/>
              </w:rPr>
              <w:t>Adult screening and clearance policy, with the clearance log format and renewal schedule</w:t>
            </w:r>
          </w:p>
        </w:tc>
        <w:tc>
          <w:tcPr>
            <w:tcW w:type="dxa" w:w="4536"/>
          </w:tcPr>
          <w:p>
            <w:pPr>
              <w:spacing w:after="40" w:before="40"/>
            </w:pPr>
            <w:r/>
            <w:r>
              <w:rPr>
                <w:sz w:val="19"/>
              </w:rPr>
              <w:t>Confirms every adult in the room is cleared</w:t>
            </w:r>
          </w:p>
        </w:tc>
      </w:tr>
      <w:tr>
        <w:tc>
          <w:tcPr>
            <w:tcW w:type="dxa" w:w="504"/>
          </w:tcPr>
          <w:p>
            <w:pPr>
              <w:spacing w:after="40" w:before="40"/>
            </w:pPr>
            <w:r/>
            <w:r>
              <w:rPr>
                <w:sz w:val="19"/>
              </w:rPr>
              <w:t>H</w:t>
            </w:r>
          </w:p>
        </w:tc>
        <w:tc>
          <w:tcPr>
            <w:tcW w:type="dxa" w:w="4320"/>
          </w:tcPr>
          <w:p>
            <w:pPr>
              <w:spacing w:after="40" w:before="40"/>
            </w:pPr>
            <w:r/>
            <w:r>
              <w:rPr>
                <w:sz w:val="19"/>
              </w:rPr>
              <w:t>Training matrix with completion and expiration dates</w:t>
            </w:r>
          </w:p>
        </w:tc>
        <w:tc>
          <w:tcPr>
            <w:tcW w:type="dxa" w:w="4536"/>
          </w:tcPr>
          <w:p>
            <w:pPr>
              <w:spacing w:after="40" w:before="40"/>
            </w:pPr>
            <w:r/>
            <w:r>
              <w:rPr>
                <w:sz w:val="19"/>
              </w:rPr>
              <w:t>Confirms training happened before contact, not after</w:t>
            </w:r>
          </w:p>
        </w:tc>
      </w:tr>
      <w:tr>
        <w:tc>
          <w:tcPr>
            <w:tcW w:type="dxa" w:w="504"/>
          </w:tcPr>
          <w:p>
            <w:pPr>
              <w:spacing w:after="40" w:before="40"/>
            </w:pPr>
            <w:r/>
            <w:r>
              <w:rPr>
                <w:sz w:val="19"/>
              </w:rPr>
              <w:t>I</w:t>
            </w:r>
          </w:p>
        </w:tc>
        <w:tc>
          <w:tcPr>
            <w:tcW w:type="dxa" w:w="4320"/>
          </w:tcPr>
          <w:p>
            <w:pPr>
              <w:spacing w:after="40" w:before="40"/>
            </w:pPr>
            <w:r/>
            <w:r>
              <w:rPr>
                <w:sz w:val="19"/>
              </w:rPr>
              <w:t>Site licensing or exemption documentation and the most recent health and safety inspection</w:t>
            </w:r>
          </w:p>
        </w:tc>
        <w:tc>
          <w:tcPr>
            <w:tcW w:type="dxa" w:w="4536"/>
          </w:tcPr>
          <w:p>
            <w:pPr>
              <w:spacing w:after="40" w:before="40"/>
            </w:pPr>
            <w:r/>
            <w:r>
              <w:rPr>
                <w:sz w:val="19"/>
              </w:rPr>
              <w:t>Confirms the site may legally operate</w:t>
            </w:r>
          </w:p>
        </w:tc>
      </w:tr>
      <w:tr>
        <w:tc>
          <w:tcPr>
            <w:tcW w:type="dxa" w:w="504"/>
          </w:tcPr>
          <w:p>
            <w:pPr>
              <w:spacing w:after="40" w:before="40"/>
            </w:pPr>
            <w:r/>
            <w:r>
              <w:rPr>
                <w:sz w:val="19"/>
              </w:rPr>
              <w:t>J</w:t>
            </w:r>
          </w:p>
        </w:tc>
        <w:tc>
          <w:tcPr>
            <w:tcW w:type="dxa" w:w="4320"/>
          </w:tcPr>
          <w:p>
            <w:pPr>
              <w:spacing w:after="40" w:before="40"/>
            </w:pPr>
            <w:r/>
            <w:r>
              <w:rPr>
                <w:sz w:val="19"/>
              </w:rPr>
              <w:t>Transportation plan: vehicle records, insurance certificate, driver credential, route map, release procedure</w:t>
            </w:r>
          </w:p>
        </w:tc>
        <w:tc>
          <w:tcPr>
            <w:tcW w:type="dxa" w:w="4536"/>
          </w:tcPr>
          <w:p>
            <w:pPr>
              <w:spacing w:after="40" w:before="40"/>
            </w:pPr>
            <w:r/>
            <w:r>
              <w:rPr>
                <w:sz w:val="19"/>
              </w:rPr>
              <w:t>Whether enrolled participants can actually attend</w:t>
            </w:r>
          </w:p>
        </w:tc>
      </w:tr>
      <w:tr>
        <w:tc>
          <w:tcPr>
            <w:tcW w:type="dxa" w:w="504"/>
          </w:tcPr>
          <w:p>
            <w:pPr>
              <w:spacing w:after="40" w:before="40"/>
            </w:pPr>
            <w:r/>
            <w:r>
              <w:rPr>
                <w:sz w:val="19"/>
              </w:rPr>
              <w:t>K</w:t>
            </w:r>
          </w:p>
        </w:tc>
        <w:tc>
          <w:tcPr>
            <w:tcW w:type="dxa" w:w="4320"/>
          </w:tcPr>
          <w:p>
            <w:pPr>
              <w:spacing w:after="40" w:before="40"/>
            </w:pPr>
            <w:r/>
            <w:r>
              <w:rPr>
                <w:sz w:val="19"/>
              </w:rPr>
              <w:t>Emergency operations plan, including medical, missing participant, severe weather, and lockdown procedures</w:t>
            </w:r>
          </w:p>
        </w:tc>
        <w:tc>
          <w:tcPr>
            <w:tcW w:type="dxa" w:w="4536"/>
          </w:tcPr>
          <w:p>
            <w:pPr>
              <w:spacing w:after="40" w:before="40"/>
            </w:pPr>
            <w:r/>
            <w:r>
              <w:rPr>
                <w:sz w:val="19"/>
              </w:rPr>
              <w:t>Preparedness for the situations a site will eventually face</w:t>
            </w:r>
          </w:p>
        </w:tc>
      </w:tr>
      <w:tr>
        <w:tc>
          <w:tcPr>
            <w:tcW w:type="dxa" w:w="504"/>
          </w:tcPr>
          <w:p>
            <w:pPr>
              <w:spacing w:after="40" w:before="40"/>
            </w:pPr>
            <w:r/>
            <w:r>
              <w:rPr>
                <w:sz w:val="19"/>
              </w:rPr>
              <w:t>L</w:t>
            </w:r>
          </w:p>
        </w:tc>
        <w:tc>
          <w:tcPr>
            <w:tcW w:type="dxa" w:w="4320"/>
          </w:tcPr>
          <w:p>
            <w:pPr>
              <w:spacing w:after="40" w:before="40"/>
            </w:pPr>
            <w:r/>
            <w:r>
              <w:rPr>
                <w:sz w:val="19"/>
              </w:rPr>
              <w:t>Enrollment packet: registration form, guardian consent for data sharing, photo release, authorized pickup list, health and allergy form</w:t>
            </w:r>
          </w:p>
        </w:tc>
        <w:tc>
          <w:tcPr>
            <w:tcW w:type="dxa" w:w="4536"/>
          </w:tcPr>
          <w:p>
            <w:pPr>
              <w:spacing w:after="40" w:before="40"/>
            </w:pPr>
            <w:r/>
            <w:r>
              <w:rPr>
                <w:sz w:val="19"/>
              </w:rPr>
              <w:t>The consent route behind your outcome measures</w:t>
            </w:r>
          </w:p>
        </w:tc>
      </w:tr>
      <w:tr>
        <w:tc>
          <w:tcPr>
            <w:tcW w:type="dxa" w:w="504"/>
          </w:tcPr>
          <w:p>
            <w:pPr>
              <w:spacing w:after="40" w:before="40"/>
            </w:pPr>
            <w:r/>
            <w:r>
              <w:rPr>
                <w:sz w:val="19"/>
              </w:rPr>
              <w:t>M</w:t>
            </w:r>
          </w:p>
        </w:tc>
        <w:tc>
          <w:tcPr>
            <w:tcW w:type="dxa" w:w="4320"/>
          </w:tcPr>
          <w:p>
            <w:pPr>
              <w:spacing w:after="40" w:before="40"/>
            </w:pPr>
            <w:r/>
            <w:r>
              <w:rPr>
                <w:sz w:val="19"/>
              </w:rPr>
              <w:t>District data sharing agreement, executed or in draft with a target date</w:t>
            </w:r>
          </w:p>
        </w:tc>
        <w:tc>
          <w:tcPr>
            <w:tcW w:type="dxa" w:w="4536"/>
          </w:tcPr>
          <w:p>
            <w:pPr>
              <w:spacing w:after="40" w:before="40"/>
            </w:pPr>
            <w:r/>
            <w:r>
              <w:rPr>
                <w:sz w:val="19"/>
              </w:rPr>
              <w:t>Determines whether promised outcomes are collectible</w:t>
            </w:r>
          </w:p>
        </w:tc>
      </w:tr>
      <w:tr>
        <w:tc>
          <w:tcPr>
            <w:tcW w:type="dxa" w:w="504"/>
          </w:tcPr>
          <w:p>
            <w:pPr>
              <w:spacing w:after="40" w:before="40"/>
            </w:pPr>
            <w:r/>
            <w:r>
              <w:rPr>
                <w:sz w:val="19"/>
              </w:rPr>
              <w:t>N</w:t>
            </w:r>
          </w:p>
        </w:tc>
        <w:tc>
          <w:tcPr>
            <w:tcW w:type="dxa" w:w="4320"/>
          </w:tcPr>
          <w:p>
            <w:pPr>
              <w:spacing w:after="40" w:before="40"/>
            </w:pPr>
            <w:r/>
            <w:r>
              <w:rPr>
                <w:sz w:val="19"/>
              </w:rPr>
              <w:t>Youth survey instrument with its citation and administration protocol</w:t>
            </w:r>
          </w:p>
        </w:tc>
        <w:tc>
          <w:tcPr>
            <w:tcW w:type="dxa" w:w="4536"/>
          </w:tcPr>
          <w:p>
            <w:pPr>
              <w:spacing w:after="40" w:before="40"/>
            </w:pPr>
            <w:r/>
            <w:r>
              <w:rPr>
                <w:sz w:val="19"/>
              </w:rPr>
              <w:t>Confirms the social and emotional measure is a real instrument</w:t>
            </w:r>
          </w:p>
        </w:tc>
      </w:tr>
      <w:tr>
        <w:tc>
          <w:tcPr>
            <w:tcW w:type="dxa" w:w="504"/>
          </w:tcPr>
          <w:p>
            <w:pPr>
              <w:spacing w:after="40" w:before="40"/>
            </w:pPr>
            <w:r/>
            <w:r>
              <w:rPr>
                <w:sz w:val="19"/>
              </w:rPr>
              <w:t>O</w:t>
            </w:r>
          </w:p>
        </w:tc>
        <w:tc>
          <w:tcPr>
            <w:tcW w:type="dxa" w:w="4320"/>
          </w:tcPr>
          <w:p>
            <w:pPr>
              <w:spacing w:after="40" w:before="40"/>
            </w:pPr>
            <w:r/>
            <w:r>
              <w:rPr>
                <w:sz w:val="19"/>
              </w:rPr>
              <w:t>Letters of support from the school, the district, and the CACFP sponsor</w:t>
            </w:r>
          </w:p>
        </w:tc>
        <w:tc>
          <w:tcPr>
            <w:tcW w:type="dxa" w:w="4536"/>
          </w:tcPr>
          <w:p>
            <w:pPr>
              <w:spacing w:after="40" w:before="40"/>
            </w:pPr>
            <w:r/>
            <w:r>
              <w:rPr>
                <w:sz w:val="19"/>
              </w:rPr>
              <w:t>Confirms the partners named in the proposal are real</w:t>
            </w:r>
          </w:p>
        </w:tc>
      </w:tr>
      <w:tr>
        <w:tc>
          <w:tcPr>
            <w:tcW w:type="dxa" w:w="504"/>
          </w:tcPr>
          <w:p>
            <w:pPr>
              <w:spacing w:after="40" w:before="40"/>
            </w:pPr>
            <w:r/>
            <w:r>
              <w:rPr>
                <w:sz w:val="19"/>
              </w:rPr>
              <w:t>P</w:t>
            </w:r>
          </w:p>
        </w:tc>
        <w:tc>
          <w:tcPr>
            <w:tcW w:type="dxa" w:w="4320"/>
          </w:tcPr>
          <w:p>
            <w:pPr>
              <w:spacing w:after="40" w:before="40"/>
            </w:pPr>
            <w:r/>
            <w:r>
              <w:rPr>
                <w:sz w:val="19"/>
              </w:rPr>
              <w:t>Prior-year attendance summary, days attended distribution, and waitlist</w:t>
            </w:r>
          </w:p>
        </w:tc>
        <w:tc>
          <w:tcPr>
            <w:tcW w:type="dxa" w:w="4536"/>
          </w:tcPr>
          <w:p>
            <w:pPr>
              <w:spacing w:after="40" w:before="40"/>
            </w:pPr>
            <w:r/>
            <w:r>
              <w:rPr>
                <w:sz w:val="19"/>
              </w:rPr>
              <w:t>Evidence for both the need and the dosage target</w:t>
            </w:r>
          </w:p>
        </w:tc>
      </w:tr>
      <w:tr>
        <w:tc>
          <w:tcPr>
            <w:tcW w:type="dxa" w:w="504"/>
          </w:tcPr>
          <w:p>
            <w:pPr>
              <w:spacing w:after="40" w:before="40"/>
            </w:pPr>
            <w:r/>
            <w:r>
              <w:rPr>
                <w:sz w:val="19"/>
              </w:rPr>
              <w:t>Q</w:t>
            </w:r>
          </w:p>
        </w:tc>
        <w:tc>
          <w:tcPr>
            <w:tcW w:type="dxa" w:w="4320"/>
          </w:tcPr>
          <w:p>
            <w:pPr>
              <w:spacing w:after="40" w:before="40"/>
            </w:pPr>
            <w:r/>
            <w:r>
              <w:rPr>
                <w:sz w:val="19"/>
              </w:rPr>
              <w:t>Job descriptions for the site coordinator and youth development staff, and the teen leader role description with its hour log</w:t>
            </w:r>
          </w:p>
        </w:tc>
        <w:tc>
          <w:tcPr>
            <w:tcW w:type="dxa" w:w="4536"/>
          </w:tcPr>
          <w:p>
            <w:pPr>
              <w:spacing w:after="40" w:before="40"/>
            </w:pPr>
            <w:r/>
            <w:r>
              <w:rPr>
                <w:sz w:val="19"/>
              </w:rPr>
              <w:t>Supports the personnel and stipend lines</w:t>
            </w:r>
          </w:p>
        </w:tc>
      </w:tr>
      <w:tr>
        <w:tc>
          <w:tcPr>
            <w:tcW w:type="dxa" w:w="504"/>
          </w:tcPr>
          <w:p>
            <w:pPr>
              <w:spacing w:after="40" w:before="40"/>
            </w:pPr>
            <w:r/>
            <w:r>
              <w:rPr>
                <w:sz w:val="19"/>
              </w:rPr>
              <w:t>R</w:t>
            </w:r>
          </w:p>
        </w:tc>
        <w:tc>
          <w:tcPr>
            <w:tcW w:type="dxa" w:w="4320"/>
          </w:tcPr>
          <w:p>
            <w:pPr>
              <w:spacing w:after="40" w:before="40"/>
            </w:pPr>
            <w:r/>
            <w:r>
              <w:rPr>
                <w:sz w:val="19"/>
              </w:rPr>
              <w:t>Program calendar with all 165 days, break sessions, and closure days</w:t>
            </w:r>
          </w:p>
        </w:tc>
        <w:tc>
          <w:tcPr>
            <w:tcW w:type="dxa" w:w="4536"/>
          </w:tcPr>
          <w:p>
            <w:pPr>
              <w:spacing w:after="40" w:before="40"/>
            </w:pPr>
            <w:r/>
            <w:r>
              <w:rPr>
                <w:sz w:val="19"/>
              </w:rPr>
              <w:t>Shows the day count in the budget is real</w:t>
            </w:r>
          </w:p>
        </w:tc>
      </w:tr>
      <w:tr>
        <w:tc>
          <w:tcPr>
            <w:tcW w:type="dxa" w:w="504"/>
          </w:tcPr>
          <w:p>
            <w:pPr>
              <w:spacing w:after="40" w:before="40"/>
            </w:pPr>
            <w:r/>
            <w:r>
              <w:rPr>
                <w:sz w:val="19"/>
              </w:rPr>
              <w:t>S</w:t>
            </w:r>
          </w:p>
        </w:tc>
        <w:tc>
          <w:tcPr>
            <w:tcW w:type="dxa" w:w="4320"/>
          </w:tcPr>
          <w:p>
            <w:pPr>
              <w:spacing w:after="40" w:before="40"/>
            </w:pPr>
            <w:r/>
            <w:r>
              <w:rPr>
                <w:sz w:val="19"/>
              </w:rPr>
              <w:t>Sliding scale for family activity fees</w:t>
            </w:r>
          </w:p>
        </w:tc>
        <w:tc>
          <w:tcPr>
            <w:tcW w:type="dxa" w:w="4536"/>
          </w:tcPr>
          <w:p>
            <w:pPr>
              <w:spacing w:after="40" w:before="40"/>
            </w:pPr>
            <w:r/>
            <w:r>
              <w:rPr>
                <w:sz w:val="19"/>
              </w:rPr>
              <w:t>Shows no participant is excluded for non-payment</w:t>
            </w:r>
          </w:p>
        </w:tc>
      </w:tr>
    </w:tbl>
    <w:p>
      <w:pPr>
        <w:spacing w:after="0"/>
      </w:pPr>
    </w:p>
    <w:p>
      <w:pPr>
        <w:pStyle w:val="Heading1"/>
      </w:pPr>
      <w:r>
        <w:t>12. Adaptation Checklist</w:t>
      </w:r>
    </w:p>
    <w:p>
      <w:r>
        <w:rPr>
          <w:b w:val="0"/>
          <w:i w:val="0"/>
        </w:rPr>
        <w:t>Work in this order. Each step constrains the one after it, and a step taken out of order produces a document whose numbers contradict each other.</w:t>
      </w:r>
    </w:p>
    <w:p>
      <w:pPr>
        <w:pStyle w:val="ListNumber"/>
      </w:pPr>
      <w:r>
        <w:t>Need data first. Replace the district, the school, the attendance zone figures, the dismissal time, the caregiver return time, and the waitlist with your own, from the sources named in the section 2 table. Do this before you touch anything else, because the size of your gap sets the size of your program.</w:t>
      </w:r>
    </w:p>
    <w:p>
      <w:pPr>
        <w:pStyle w:val="ListNumber"/>
      </w:pPr>
      <w:r>
        <w:t>Set the dosage threshold second, from your own prior-year distribution of days attended per participant. Then set enrollment, regular attendee, and average daily attendance targets that follow from it.</w:t>
      </w:r>
    </w:p>
    <w:p>
      <w:pPr>
        <w:pStyle w:val="ListNumber"/>
      </w:pPr>
      <w:r>
        <w:t>Write the program design third, block by block, with clock times and a ratio for each block under your state's rule. Name every adult category and every training before you open the budget.</w:t>
      </w:r>
    </w:p>
    <w:p>
      <w:pPr>
        <w:pStyle w:val="ListNumber"/>
      </w:pPr>
      <w:r>
        <w:t>Build the budget fourth. Every ratio and every training named in the design becomes a line, and every line gets a basis showing the arithmetic.</w:t>
      </w:r>
    </w:p>
    <w:p>
      <w:pPr>
        <w:pStyle w:val="ListNumber"/>
      </w:pPr>
      <w:r>
        <w:t>Pick evaluation instruments fifth, limited to what you can collect given the district agreement you hold or can get signed before the project period starts. Put the agreement date in the timeline.</w:t>
      </w:r>
    </w:p>
    <w:p>
      <w:pPr>
        <w:pStyle w:val="ListNumber"/>
      </w:pPr>
      <w:r>
        <w:t>Write the executive summary last, then check that every figure in it matches the figure in the section it summarizes. Mismatched numbers between the summary and the budget are the most common reason a strong program reads as careless.</w:t>
      </w:r>
    </w:p>
    <w:p>
      <w:pPr>
        <w:pStyle w:val="ListNumber"/>
      </w:pPr>
      <w:r>
        <w:t>Check the funder's instructions for section names, page limits, and required attachments, and cut to fit. A section that exceeds a stated limit is scored against the applicant.</w:t>
      </w:r>
    </w:p>
    <w:p>
      <w:pPr>
        <w:pStyle w:val="Heading2"/>
      </w:pPr>
      <w:r>
        <w:t>Common reasons a youth proposal loses points</w:t>
      </w:r>
    </w:p>
    <w:p>
      <w:pPr>
        <w:pStyle w:val="ListBullet"/>
      </w:pPr>
      <w:r>
        <w:t>A national youth statistic where the school's own report card figure belongs.</w:t>
      </w:r>
    </w:p>
    <w:p>
      <w:pPr>
        <w:pStyle w:val="ListBullet"/>
      </w:pPr>
      <w:r>
        <w:t>A program average ratio that hides the gym block.</w:t>
      </w:r>
    </w:p>
    <w:p>
      <w:pPr>
        <w:pStyle w:val="ListBullet"/>
      </w:pPr>
      <w:r>
        <w:t>Students served, with no dosage definition behind the number.</w:t>
      </w:r>
    </w:p>
    <w:p>
      <w:pPr>
        <w:pStyle w:val="ListBullet"/>
      </w:pPr>
      <w:r>
        <w:t>An enrollment target with no transportation plan holding it up.</w:t>
      </w:r>
    </w:p>
    <w:p>
      <w:pPr>
        <w:pStyle w:val="ListBullet"/>
      </w:pPr>
      <w:r>
        <w:t>Background checks missing from the budget, which reads as screening that is not happening.</w:t>
      </w:r>
    </w:p>
    <w:p>
      <w:pPr>
        <w:pStyle w:val="ListBullet"/>
      </w:pPr>
      <w:r>
        <w:t>Outcome promises that depend on district data, with no agreement named and no date attached.</w:t>
      </w:r>
    </w:p>
    <w:p>
      <w:pPr>
        <w:pStyle w:val="ListBullet"/>
      </w:pPr>
      <w:r>
        <w:t>Food budgeted twice, once by the funder and once by the meal reimbursement program.</w:t>
      </w:r>
    </w:p>
    <w:p>
      <w:pPr>
        <w:pStyle w:val="ListBullet"/>
      </w:pPr>
      <w:r>
        <w:t>A contracted instructor line with no rate and no session count.</w:t>
      </w:r>
    </w:p>
    <w:p>
      <w:pPr>
        <w:pStyle w:val="ListBullet"/>
      </w:pPr>
      <w:r>
        <w:t>An outcome the program cannot touch, such as a graduation rate from a twelve-week club.</w:t>
      </w:r>
    </w:p>
    <w:p>
      <w:pPr>
        <w:pStyle w:val="ListBullet"/>
      </w:pPr>
      <w:r>
        <w:t>Participant stipends with no statement of what the stipend buys.</w:t>
      </w:r>
    </w:p>
    <w:p>
      <w:pPr>
        <w:pStyle w:val="ListBullet"/>
      </w:pPr>
      <w:r>
        <w:t>No plan for the weeks school is closed.</w:t>
      </w:r>
    </w:p>
    <w:p>
      <w:pPr>
        <w:pStyle w:val="ListBullet"/>
      </w:pPr>
      <w:r>
        <w:t>An evaluation plan with no evaluation line in the budget.</w:t>
      </w:r>
    </w:p>
    <w:p>
      <w:pPr>
        <w:pStyle w:val="Heading1"/>
      </w:pPr>
      <w:r>
        <w:t>13. Sources Cited in This Document</w:t>
      </w:r>
    </w:p>
    <w:p>
      <w:r>
        <w:rPr>
          <w:b w:val="0"/>
          <w:i w:val="0"/>
        </w:rPr>
        <w:t>The composite organization and every figure attributed to it are illustrative. The references below are real and were current as of September 2026. Verify each one for your own program year before you cite it.</w:t>
      </w:r>
    </w:p>
    <w:p>
      <w:pPr>
        <w:pStyle w:val="ListBullet"/>
      </w:pPr>
      <w:r>
        <w:t>At-Risk Afterschool Meals eligibility conditions and school-year operation, under the Child and Adult Care Food Program: USDA Food and Nutrition Service. https://www.fns.usda.gov/cacfp/afterschool-meals</w:t>
      </w:r>
    </w:p>
    <w:p>
      <w:pPr>
        <w:pStyle w:val="ListBullet"/>
      </w:pPr>
      <w:r>
        <w:t>De minimis indirect cost rate of up to 15 percent of modified total direct costs, as revised in the Uniform Guidance revision published April 22, 2024: 2 CFR 200.414. https://www.ecfr.gov/current/title-2/part-200/section-200.414</w:t>
      </w:r>
    </w:p>
    <w:p>
      <w:pPr>
        <w:pStyle w:val="ListBullet"/>
      </w:pPr>
      <w:r>
        <w:t>Definition of modified total direct costs and the categories excluded from that base: 2 CFR 200.1. https://www.ecfr.gov/current/title-2/section-200.1</w:t>
      </w:r>
    </w:p>
    <w:p>
      <w:pPr>
        <w:pStyle w:val="ListBullet"/>
      </w:pPr>
      <w:r>
        <w:t>Participant support costs and the prior written approval condition on federal awards: 2 CFR 200.456. https://www.ecfr.gov/current/title-2/section-200.456</w:t>
      </w:r>
    </w:p>
    <w:p>
      <w:pPr>
        <w:pStyle w:val="ListBullet"/>
      </w:pPr>
      <w:r>
        <w:t>Single audit requirement and its threshold: 2 CFR 200.501. https://www.ecfr.gov/current/title-2/section-200.501</w:t>
      </w:r>
    </w:p>
    <w:p>
      <w:pPr>
        <w:pStyle w:val="ListBullet"/>
      </w:pPr>
      <w:r>
        <w:t>Family Educational Rights and Privacy Act implementing regulations, including the conditions for disclosure of student records without consent at 34 CFR 99.31: 34 CFR Part 99. https://www.ecfr.gov/current/title-34/part-99</w:t>
      </w:r>
    </w:p>
    <w:p>
      <w:pPr>
        <w:pStyle w:val="ListBullet"/>
      </w:pPr>
      <w:r>
        <w:t>Nita M. Lowey 21st Century Community Learning Centers, authorized under Title IV, Part B of the Elementary and Secondary Education Act, a formula grant to state educational agencies under assistance listing 84.287: U.S. Department of Education, Office of Elementary and Secondary Education. https://oese.ed.gov/offices/office-of-formula-grants/school-support-and-accountability/21st-century-community-learning-centers/</w:t>
      </w:r>
    </w:p>
    <w:p>
      <w:pPr>
        <w:pStyle w:val="ListBullet"/>
      </w:pPr>
      <w:r>
        <w:t>School-level enrollment, chronic absenteeism, and free and reduced-price meal eligibility: your state education agency's school report card for your specific site.</w:t>
      </w:r>
    </w:p>
    <w:p>
      <w:pPr>
        <w:pStyle w:val="ListBullet"/>
      </w:pPr>
      <w:r>
        <w:t>Attendance zone household composition, income, and labor force participation: U.S. Census Bureau, American Community Survey. https://www.census.gov/programs-surveys/acs</w:t>
      </w:r>
    </w:p>
    <w:p>
      <w:pPr>
        <w:pStyle w:val="Heading2"/>
      </w:pPr>
      <w:r>
        <w:t>About this template</w:t>
      </w:r>
    </w:p>
    <w:p>
      <w:r>
        <w:rPr>
          <w:b w:val="0"/>
          <w:i w:val="0"/>
        </w:rPr>
        <w:t>This sample proposal accompanies the article "Sample Grant Proposal for Youth Program: A Complete After-School Example" on the GrantCue blog. It is free to adapt, copy, and submit under your own organization's name. There is no attribution requirement and no restriction on commercial use by a grant-seeking organization.</w:t>
      </w:r>
    </w:p>
    <w:p>
      <w:r>
        <w:rPr>
          <w:b w:val="0"/>
          <w:i w:val="0"/>
        </w:rPr>
        <w:t>GrantCue searches federal, state, and local grant portals in one place and carries IRS Form 990-PF foundation data, so a youth-serving organization can see which funders have supported out-of-school-time work before. Deadlines and tasks stay with the team.</w:t>
      </w:r>
    </w:p>
    <w:p>
      <w:r>
        <w:rPr>
          <w:b w:val="0"/>
          <w:i w:val="0"/>
        </w:rPr>
        <w:t>GrantCue - grantcue.com/blog/sample-grant-proposal-youth-program</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66666"/>
        <w:sz w:val="16"/>
      </w:rPr>
      <w:t>GrantCue - grantcue.com/blog/sample-grant-proposal-youth-program</w:t>
    </w:r>
  </w:p>
  <w:p>
    <w:pPr>
      <w:jc w:val="center"/>
    </w:pPr>
    <w:r>
      <w:rPr>
        <w:color w:val="666666"/>
        <w:sz w:val="16"/>
      </w:rPr>
      <w:t xml:space="preserve">Page </w:t>
    </w:r>
    <w:r>
      <w:rPr>
        <w:color w:val="666666"/>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