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Veterans Nonprofit</w:t>
      </w:r>
    </w:p>
    <w:p>
      <w:pPr>
        <w:pStyle w:val="Subtitle"/>
      </w:pPr>
      <w:r>
        <w:t>A complete, adaptable $88,000 request for a twelve-month peer navigation and employment program serving 60 veterans in one county. Written to be edited, not admired.</w:t>
      </w:r>
    </w:p>
    <w:p>
      <w:pPr>
        <w:spacing w:before="40" w:after="200"/>
        <w:pBdr>
          <w:bottom w:val="single" w:sz="6" w:space="1" w:color="C6D0DC"/>
        </w:pBdr>
      </w:pPr>
    </w:p>
    <w:p>
      <w:pPr>
        <w:pStyle w:val="Heading1"/>
      </w:pPr>
      <w:r>
        <w:t>How to Use This Document</w:t>
      </w:r>
    </w:p>
    <w:p>
      <w:r>
        <w:rPr>
          <w:b w:val="0"/>
          <w:i w:val="0"/>
        </w:rPr>
        <w:t>This is a full proposal, not an outline. Every section is written out at the length a funder expects, so you can open it, replace the facts with your own, and submit. Nothing here is locked, gated, or watermarked.</w:t>
      </w:r>
    </w:p>
    <w:p>
      <w:r>
        <w:rPr>
          <w:b w:val="0"/>
          <w:i w:val="0"/>
        </w:rPr>
        <w:t>Riverbend County Veterans Alliance is a composite example organization. It does not exist, and neither does Riverbend County. Every dollar figure, count, percentage and local condition in this document is illustrative and built to be internally consistent, so the budget reconciles with the caseload and the caseload reconciles with the objectives. None of it describes a real place. Replace all of it. Where a fact has to come from outside your own records, the grey note under the section names the public source you should pull it from.</w:t>
      </w:r>
    </w:p>
    <w:p>
      <w:r>
        <w:rPr>
          <w:b w:val="0"/>
          <w:i w:val="0"/>
        </w:rPr>
        <w:t>Three rules for adapting it:</w:t>
      </w:r>
    </w:p>
    <w:p>
      <w:pPr>
        <w:pStyle w:val="ListBullet"/>
      </w:pPr>
      <w:r>
        <w:t>Replace every bracketed field. Square brackets mark the items only you can supply: the funder's name, your dates, your legal name, the signer.</w:t>
      </w:r>
    </w:p>
    <w:p>
      <w:pPr>
        <w:pStyle w:val="ListBullet"/>
      </w:pPr>
      <w:r>
        <w:t>Replace every number. The figures are illustrative. A reviewer who recognises a borrowed budget stops reading, and a number you cannot defend in a site visit is worse than no number.</w:t>
      </w:r>
    </w:p>
    <w:p>
      <w:pPr>
        <w:pStyle w:val="ListBullet"/>
      </w:pPr>
      <w:r>
        <w:t>Keep the veteran-specific sections. Sections 3, 5.5, 5.6, 5.7 and Appendix A are the parts a generic nonprofit template leaves out, and they are the parts a veterans reviewer reads first.</w:t>
      </w:r>
    </w:p>
    <w:p>
      <w:pPr>
        <w:pStyle w:val="Caption"/>
      </w:pPr>
      <w:r>
        <w:t>Legal, regulatory and clinical references in this document are cited in Appendix F with links to the primary source. Confirm each one is current before you rely on it. This document is an example of proposal writing, not legal, tax or clinical advice.</w:t>
      </w:r>
    </w:p>
    <w:p>
      <w:pPr>
        <w:pStyle w:val="Heading2"/>
      </w:pPr>
      <w:r>
        <w:t>What is in the file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448"/>
            <w:shd w:val="clear" w:color="auto" w:fill="E8EDF3"/>
          </w:tcPr>
          <w:p>
            <w:pPr>
              <w:spacing w:before="60" w:after="60"/>
            </w:pPr>
            <w:r/>
            <w:r>
              <w:rPr>
                <w:b/>
                <w:color w:val="1F3B5C"/>
                <w:sz w:val="20"/>
              </w:rPr>
              <w:t>Part</w:t>
            </w:r>
          </w:p>
        </w:tc>
        <w:tc>
          <w:tcPr>
            <w:tcW w:type="dxa" w:w="4464"/>
            <w:shd w:val="clear" w:color="auto" w:fill="E8EDF3"/>
          </w:tcPr>
          <w:p>
            <w:pPr>
              <w:spacing w:before="60" w:after="60"/>
            </w:pPr>
            <w:r/>
            <w:r>
              <w:rPr>
                <w:b/>
                <w:color w:val="1F3B5C"/>
                <w:sz w:val="20"/>
              </w:rPr>
              <w:t>What it is</w:t>
            </w:r>
          </w:p>
        </w:tc>
        <w:tc>
          <w:tcPr>
            <w:tcW w:type="dxa" w:w="2448"/>
            <w:shd w:val="clear" w:color="auto" w:fill="E8EDF3"/>
          </w:tcPr>
          <w:p>
            <w:pPr>
              <w:spacing w:before="60" w:after="60"/>
            </w:pPr>
            <w:r/>
            <w:r>
              <w:rPr>
                <w:b/>
                <w:color w:val="1F3B5C"/>
                <w:sz w:val="20"/>
              </w:rPr>
              <w:t>How much editing it needs</w:t>
            </w:r>
          </w:p>
        </w:tc>
      </w:tr>
      <w:tr>
        <w:tc>
          <w:tcPr>
            <w:tcW w:type="dxa" w:w="2448"/>
          </w:tcPr>
          <w:p>
            <w:pPr>
              <w:spacing w:before="60" w:after="60"/>
            </w:pPr>
            <w:r/>
            <w:r>
              <w:rPr>
                <w:b w:val="0"/>
                <w:sz w:val="20"/>
              </w:rPr>
              <w:t>Proposal summary sheet</w:t>
            </w:r>
          </w:p>
        </w:tc>
        <w:tc>
          <w:tcPr>
            <w:tcW w:type="dxa" w:w="4464"/>
          </w:tcPr>
          <w:p>
            <w:pPr>
              <w:spacing w:before="60" w:after="60"/>
            </w:pPr>
            <w:r/>
            <w:r>
              <w:rPr>
                <w:b w:val="0"/>
                <w:sz w:val="20"/>
              </w:rPr>
              <w:t>One-page facts panel for the reviewer's file</w:t>
            </w:r>
          </w:p>
        </w:tc>
        <w:tc>
          <w:tcPr>
            <w:tcW w:type="dxa" w:w="2448"/>
          </w:tcPr>
          <w:p>
            <w:pPr>
              <w:spacing w:before="60" w:after="60"/>
            </w:pPr>
            <w:r/>
            <w:r>
              <w:rPr>
                <w:b w:val="0"/>
                <w:sz w:val="20"/>
              </w:rPr>
              <w:t>Replace every field</w:t>
            </w:r>
          </w:p>
        </w:tc>
      </w:tr>
      <w:tr>
        <w:tc>
          <w:tcPr>
            <w:tcW w:type="dxa" w:w="2448"/>
            <w:shd w:val="clear" w:color="auto" w:fill="F5F7FA"/>
          </w:tcPr>
          <w:p>
            <w:pPr>
              <w:spacing w:before="60" w:after="60"/>
            </w:pPr>
            <w:r/>
            <w:r>
              <w:rPr>
                <w:b w:val="0"/>
                <w:sz w:val="20"/>
              </w:rPr>
              <w:t>Cover letter</w:t>
            </w:r>
          </w:p>
        </w:tc>
        <w:tc>
          <w:tcPr>
            <w:tcW w:type="dxa" w:w="4464"/>
            <w:shd w:val="clear" w:color="auto" w:fill="F5F7FA"/>
          </w:tcPr>
          <w:p>
            <w:pPr>
              <w:spacing w:before="60" w:after="60"/>
            </w:pPr>
            <w:r/>
            <w:r>
              <w:rPr>
                <w:b w:val="0"/>
                <w:sz w:val="20"/>
              </w:rPr>
              <w:t>One page, names the ask and the fit</w:t>
            </w:r>
          </w:p>
        </w:tc>
        <w:tc>
          <w:tcPr>
            <w:tcW w:type="dxa" w:w="2448"/>
            <w:shd w:val="clear" w:color="auto" w:fill="F5F7FA"/>
          </w:tcPr>
          <w:p>
            <w:pPr>
              <w:spacing w:before="60" w:after="60"/>
            </w:pPr>
            <w:r/>
            <w:r>
              <w:rPr>
                <w:b w:val="0"/>
                <w:sz w:val="20"/>
              </w:rPr>
              <w:t>Rewrite the funder paragraph</w:t>
            </w:r>
          </w:p>
        </w:tc>
      </w:tr>
      <w:tr>
        <w:tc>
          <w:tcPr>
            <w:tcW w:type="dxa" w:w="2448"/>
          </w:tcPr>
          <w:p>
            <w:pPr>
              <w:spacing w:before="60" w:after="60"/>
            </w:pPr>
            <w:r/>
            <w:r>
              <w:rPr>
                <w:b w:val="0"/>
                <w:sz w:val="20"/>
              </w:rPr>
              <w:t>Sections 1 to 12</w:t>
            </w:r>
          </w:p>
        </w:tc>
        <w:tc>
          <w:tcPr>
            <w:tcW w:type="dxa" w:w="4464"/>
          </w:tcPr>
          <w:p>
            <w:pPr>
              <w:spacing w:before="60" w:after="60"/>
            </w:pPr>
            <w:r/>
            <w:r>
              <w:rPr>
                <w:b w:val="0"/>
                <w:sz w:val="20"/>
              </w:rPr>
              <w:t>The proposal itself, full prose</w:t>
            </w:r>
          </w:p>
        </w:tc>
        <w:tc>
          <w:tcPr>
            <w:tcW w:type="dxa" w:w="2448"/>
          </w:tcPr>
          <w:p>
            <w:pPr>
              <w:spacing w:before="60" w:after="60"/>
            </w:pPr>
            <w:r/>
            <w:r>
              <w:rPr>
                <w:b w:val="0"/>
                <w:sz w:val="20"/>
              </w:rPr>
              <w:t>Replace facts, keep the structure</w:t>
            </w:r>
          </w:p>
        </w:tc>
      </w:tr>
      <w:tr>
        <w:tc>
          <w:tcPr>
            <w:tcW w:type="dxa" w:w="2448"/>
            <w:shd w:val="clear" w:color="auto" w:fill="F5F7FA"/>
          </w:tcPr>
          <w:p>
            <w:pPr>
              <w:spacing w:before="60" w:after="60"/>
            </w:pPr>
            <w:r/>
            <w:r>
              <w:rPr>
                <w:b w:val="0"/>
                <w:sz w:val="20"/>
              </w:rPr>
              <w:t>Appendix A</w:t>
            </w:r>
          </w:p>
        </w:tc>
        <w:tc>
          <w:tcPr>
            <w:tcW w:type="dxa" w:w="4464"/>
            <w:shd w:val="clear" w:color="auto" w:fill="F5F7FA"/>
          </w:tcPr>
          <w:p>
            <w:pPr>
              <w:spacing w:before="60" w:after="60"/>
            </w:pPr>
            <w:r/>
            <w:r>
              <w:rPr>
                <w:b w:val="0"/>
                <w:sz w:val="20"/>
              </w:rPr>
              <w:t>Coordination and referral map</w:t>
            </w:r>
          </w:p>
        </w:tc>
        <w:tc>
          <w:tcPr>
            <w:tcW w:type="dxa" w:w="2448"/>
            <w:shd w:val="clear" w:color="auto" w:fill="F5F7FA"/>
          </w:tcPr>
          <w:p>
            <w:pPr>
              <w:spacing w:before="60" w:after="60"/>
            </w:pPr>
            <w:r/>
            <w:r>
              <w:rPr>
                <w:b w:val="0"/>
                <w:sz w:val="20"/>
              </w:rPr>
              <w:t>Replace partners, keep the columns</w:t>
            </w:r>
          </w:p>
        </w:tc>
      </w:tr>
      <w:tr>
        <w:tc>
          <w:tcPr>
            <w:tcW w:type="dxa" w:w="2448"/>
          </w:tcPr>
          <w:p>
            <w:pPr>
              <w:spacing w:before="60" w:after="60"/>
            </w:pPr>
            <w:r/>
            <w:r>
              <w:rPr>
                <w:b w:val="0"/>
                <w:sz w:val="20"/>
              </w:rPr>
              <w:t>Appendix B</w:t>
            </w:r>
          </w:p>
        </w:tc>
        <w:tc>
          <w:tcPr>
            <w:tcW w:type="dxa" w:w="4464"/>
          </w:tcPr>
          <w:p>
            <w:pPr>
              <w:spacing w:before="60" w:after="60"/>
            </w:pPr>
            <w:r/>
            <w:r>
              <w:rPr>
                <w:b w:val="0"/>
                <w:sz w:val="20"/>
              </w:rPr>
              <w:t>Caseload math worksheet</w:t>
            </w:r>
          </w:p>
        </w:tc>
        <w:tc>
          <w:tcPr>
            <w:tcW w:type="dxa" w:w="2448"/>
          </w:tcPr>
          <w:p>
            <w:pPr>
              <w:spacing w:before="60" w:after="60"/>
            </w:pPr>
            <w:r/>
            <w:r>
              <w:rPr>
                <w:b w:val="0"/>
                <w:sz w:val="20"/>
              </w:rPr>
              <w:t>Re-run with your own staffing</w:t>
            </w:r>
          </w:p>
        </w:tc>
      </w:tr>
      <w:tr>
        <w:tc>
          <w:tcPr>
            <w:tcW w:type="dxa" w:w="2448"/>
            <w:shd w:val="clear" w:color="auto" w:fill="F5F7FA"/>
          </w:tcPr>
          <w:p>
            <w:pPr>
              <w:spacing w:before="60" w:after="60"/>
            </w:pPr>
            <w:r/>
            <w:r>
              <w:rPr>
                <w:b w:val="0"/>
                <w:sz w:val="20"/>
              </w:rPr>
              <w:t>Appendix C</w:t>
            </w:r>
          </w:p>
        </w:tc>
        <w:tc>
          <w:tcPr>
            <w:tcW w:type="dxa" w:w="4464"/>
            <w:shd w:val="clear" w:color="auto" w:fill="F5F7FA"/>
          </w:tcPr>
          <w:p>
            <w:pPr>
              <w:spacing w:before="60" w:after="60"/>
            </w:pPr>
            <w:r/>
            <w:r>
              <w:rPr>
                <w:b w:val="0"/>
                <w:sz w:val="20"/>
              </w:rPr>
              <w:t>Answers to the five recurring objections</w:t>
            </w:r>
          </w:p>
        </w:tc>
        <w:tc>
          <w:tcPr>
            <w:tcW w:type="dxa" w:w="2448"/>
            <w:shd w:val="clear" w:color="auto" w:fill="F5F7FA"/>
          </w:tcPr>
          <w:p>
            <w:pPr>
              <w:spacing w:before="60" w:after="60"/>
            </w:pPr>
            <w:r/>
            <w:r>
              <w:rPr>
                <w:b w:val="0"/>
                <w:sz w:val="20"/>
              </w:rPr>
              <w:t>Adapt the wording to your gap</w:t>
            </w:r>
          </w:p>
        </w:tc>
      </w:tr>
      <w:tr>
        <w:tc>
          <w:tcPr>
            <w:tcW w:type="dxa" w:w="2448"/>
          </w:tcPr>
          <w:p>
            <w:pPr>
              <w:spacing w:before="60" w:after="60"/>
            </w:pPr>
            <w:r/>
            <w:r>
              <w:rPr>
                <w:b w:val="0"/>
                <w:sz w:val="20"/>
              </w:rPr>
              <w:t>Appendix D</w:t>
            </w:r>
          </w:p>
        </w:tc>
        <w:tc>
          <w:tcPr>
            <w:tcW w:type="dxa" w:w="4464"/>
          </w:tcPr>
          <w:p>
            <w:pPr>
              <w:spacing w:before="60" w:after="60"/>
            </w:pPr>
            <w:r/>
            <w:r>
              <w:rPr>
                <w:b w:val="0"/>
                <w:sz w:val="20"/>
              </w:rPr>
              <w:t>Pre-submission checklist</w:t>
            </w:r>
          </w:p>
        </w:tc>
        <w:tc>
          <w:tcPr>
            <w:tcW w:type="dxa" w:w="2448"/>
          </w:tcPr>
          <w:p>
            <w:pPr>
              <w:spacing w:before="60" w:after="60"/>
            </w:pPr>
            <w:r/>
            <w:r>
              <w:rPr>
                <w:b w:val="0"/>
                <w:sz w:val="20"/>
              </w:rPr>
              <w:t>Use as is</w:t>
            </w:r>
          </w:p>
        </w:tc>
      </w:tr>
      <w:tr>
        <w:tc>
          <w:tcPr>
            <w:tcW w:type="dxa" w:w="2448"/>
            <w:shd w:val="clear" w:color="auto" w:fill="F5F7FA"/>
          </w:tcPr>
          <w:p>
            <w:pPr>
              <w:spacing w:before="60" w:after="60"/>
            </w:pPr>
            <w:r/>
            <w:r>
              <w:rPr>
                <w:b w:val="0"/>
                <w:sz w:val="20"/>
              </w:rPr>
              <w:t>Appendix E</w:t>
            </w:r>
          </w:p>
        </w:tc>
        <w:tc>
          <w:tcPr>
            <w:tcW w:type="dxa" w:w="4464"/>
            <w:shd w:val="clear" w:color="auto" w:fill="F5F7FA"/>
          </w:tcPr>
          <w:p>
            <w:pPr>
              <w:spacing w:before="60" w:after="60"/>
            </w:pPr>
            <w:r/>
            <w:r>
              <w:rPr>
                <w:b w:val="0"/>
                <w:sz w:val="20"/>
              </w:rPr>
              <w:t>Interim and final report outline</w:t>
            </w:r>
          </w:p>
        </w:tc>
        <w:tc>
          <w:tcPr>
            <w:tcW w:type="dxa" w:w="2448"/>
            <w:shd w:val="clear" w:color="auto" w:fill="F5F7FA"/>
          </w:tcPr>
          <w:p>
            <w:pPr>
              <w:spacing w:before="60" w:after="60"/>
            </w:pPr>
            <w:r/>
            <w:r>
              <w:rPr>
                <w:b w:val="0"/>
                <w:sz w:val="20"/>
              </w:rPr>
              <w:t>Use as is</w:t>
            </w:r>
          </w:p>
        </w:tc>
      </w:tr>
      <w:tr>
        <w:tc>
          <w:tcPr>
            <w:tcW w:type="dxa" w:w="2448"/>
          </w:tcPr>
          <w:p>
            <w:pPr>
              <w:spacing w:before="60" w:after="60"/>
            </w:pPr>
            <w:r/>
            <w:r>
              <w:rPr>
                <w:b w:val="0"/>
                <w:sz w:val="20"/>
              </w:rPr>
              <w:t>Appendix F</w:t>
            </w:r>
          </w:p>
        </w:tc>
        <w:tc>
          <w:tcPr>
            <w:tcW w:type="dxa" w:w="4464"/>
          </w:tcPr>
          <w:p>
            <w:pPr>
              <w:spacing w:before="60" w:after="60"/>
            </w:pPr>
            <w:r/>
            <w:r>
              <w:rPr>
                <w:b w:val="0"/>
                <w:sz w:val="20"/>
              </w:rPr>
              <w:t>Sources and citations</w:t>
            </w:r>
          </w:p>
        </w:tc>
        <w:tc>
          <w:tcPr>
            <w:tcW w:type="dxa" w:w="2448"/>
          </w:tcPr>
          <w:p>
            <w:pPr>
              <w:spacing w:before="60" w:after="60"/>
            </w:pPr>
            <w:r/>
            <w:r>
              <w:rPr>
                <w:b w:val="0"/>
                <w:sz w:val="20"/>
              </w:rPr>
              <w:t>Verify currency before filing</w:t>
            </w:r>
          </w:p>
        </w:tc>
      </w:tr>
    </w:tbl>
    <w:p>
      <w:pPr>
        <w:spacing w:after="40"/>
      </w:pPr>
    </w:p>
    <w:p>
      <w:r>
        <w:br w:type="page"/>
      </w:r>
    </w:p>
    <w:p>
      <w:pPr>
        <w:pStyle w:val="Heading1"/>
      </w:pPr>
      <w:r>
        <w:t>Proposal Summary Sheet</w:t>
      </w:r>
    </w:p>
    <w:p>
      <w:pPr>
        <w:pStyle w:val="Caption"/>
      </w:pPr>
      <w:r>
        <w:t>Many funders detach this page and file it. Every figure on it must match the figure in the body of the proposal exactly.</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736"/>
            <w:shd w:val="clear" w:color="auto" w:fill="E8EDF3"/>
          </w:tcPr>
          <w:p>
            <w:pPr>
              <w:spacing w:before="60" w:after="60"/>
            </w:pPr>
            <w:r/>
            <w:r>
              <w:rPr>
                <w:b/>
                <w:color w:val="1F3B5C"/>
                <w:sz w:val="20"/>
              </w:rPr>
              <w:t>Field</w:t>
            </w:r>
          </w:p>
        </w:tc>
        <w:tc>
          <w:tcPr>
            <w:tcW w:type="dxa" w:w="6624"/>
            <w:shd w:val="clear" w:color="auto" w:fill="E8EDF3"/>
          </w:tcPr>
          <w:p>
            <w:pPr>
              <w:spacing w:before="60" w:after="60"/>
            </w:pPr>
            <w:r/>
            <w:r>
              <w:rPr>
                <w:b/>
                <w:color w:val="1F3B5C"/>
                <w:sz w:val="20"/>
              </w:rPr>
              <w:t>Entry</w:t>
            </w:r>
          </w:p>
        </w:tc>
      </w:tr>
      <w:tr>
        <w:tc>
          <w:tcPr>
            <w:tcW w:type="dxa" w:w="2736"/>
          </w:tcPr>
          <w:p>
            <w:pPr>
              <w:spacing w:before="60" w:after="60"/>
            </w:pPr>
            <w:r/>
            <w:r>
              <w:rPr>
                <w:b w:val="0"/>
                <w:sz w:val="20"/>
              </w:rPr>
              <w:t>Applicant organization</w:t>
            </w:r>
          </w:p>
        </w:tc>
        <w:tc>
          <w:tcPr>
            <w:tcW w:type="dxa" w:w="6624"/>
          </w:tcPr>
          <w:p>
            <w:pPr>
              <w:spacing w:before="60" w:after="60"/>
            </w:pPr>
            <w:r/>
            <w:r>
              <w:rPr>
                <w:b w:val="0"/>
                <w:sz w:val="20"/>
              </w:rPr>
              <w:t>Riverbend County Veterans Alliance (composite example)</w:t>
            </w:r>
          </w:p>
        </w:tc>
      </w:tr>
      <w:tr>
        <w:tc>
          <w:tcPr>
            <w:tcW w:type="dxa" w:w="2736"/>
            <w:shd w:val="clear" w:color="auto" w:fill="F5F7FA"/>
          </w:tcPr>
          <w:p>
            <w:pPr>
              <w:spacing w:before="60" w:after="60"/>
            </w:pPr>
            <w:r/>
            <w:r>
              <w:rPr>
                <w:b w:val="0"/>
                <w:sz w:val="20"/>
              </w:rPr>
              <w:t>Legal status</w:t>
            </w:r>
          </w:p>
        </w:tc>
        <w:tc>
          <w:tcPr>
            <w:tcW w:type="dxa" w:w="6624"/>
            <w:shd w:val="clear" w:color="auto" w:fill="F5F7FA"/>
          </w:tcPr>
          <w:p>
            <w:pPr>
              <w:spacing w:before="60" w:after="60"/>
            </w:pPr>
            <w:r/>
            <w:r>
              <w:rPr>
                <w:b w:val="0"/>
                <w:sz w:val="20"/>
              </w:rPr>
              <w:t>501(c)(3) public charity, determination letter attached</w:t>
            </w:r>
          </w:p>
        </w:tc>
      </w:tr>
      <w:tr>
        <w:tc>
          <w:tcPr>
            <w:tcW w:type="dxa" w:w="2736"/>
          </w:tcPr>
          <w:p>
            <w:pPr>
              <w:spacing w:before="60" w:after="60"/>
            </w:pPr>
            <w:r/>
            <w:r>
              <w:rPr>
                <w:b w:val="0"/>
                <w:sz w:val="20"/>
              </w:rPr>
              <w:t>Year founded</w:t>
            </w:r>
          </w:p>
        </w:tc>
        <w:tc>
          <w:tcPr>
            <w:tcW w:type="dxa" w:w="6624"/>
          </w:tcPr>
          <w:p>
            <w:pPr>
              <w:spacing w:before="60" w:after="60"/>
            </w:pPr>
            <w:r/>
            <w:r>
              <w:rPr>
                <w:b w:val="0"/>
                <w:sz w:val="20"/>
              </w:rPr>
              <w:t>2013</w:t>
            </w:r>
          </w:p>
        </w:tc>
      </w:tr>
      <w:tr>
        <w:tc>
          <w:tcPr>
            <w:tcW w:type="dxa" w:w="2736"/>
            <w:shd w:val="clear" w:color="auto" w:fill="F5F7FA"/>
          </w:tcPr>
          <w:p>
            <w:pPr>
              <w:spacing w:before="60" w:after="60"/>
            </w:pPr>
            <w:r/>
            <w:r>
              <w:rPr>
                <w:b w:val="0"/>
                <w:sz w:val="20"/>
              </w:rPr>
              <w:t>EIN</w:t>
            </w:r>
          </w:p>
        </w:tc>
        <w:tc>
          <w:tcPr>
            <w:tcW w:type="dxa" w:w="6624"/>
            <w:shd w:val="clear" w:color="auto" w:fill="F5F7FA"/>
          </w:tcPr>
          <w:p>
            <w:pPr>
              <w:spacing w:before="60" w:after="60"/>
            </w:pPr>
            <w:r/>
            <w:r>
              <w:rPr>
                <w:b w:val="0"/>
                <w:sz w:val="20"/>
              </w:rPr>
              <w:t>[Your EIN]</w:t>
            </w:r>
          </w:p>
        </w:tc>
      </w:tr>
      <w:tr>
        <w:tc>
          <w:tcPr>
            <w:tcW w:type="dxa" w:w="2736"/>
          </w:tcPr>
          <w:p>
            <w:pPr>
              <w:spacing w:before="60" w:after="60"/>
            </w:pPr>
            <w:r/>
            <w:r>
              <w:rPr>
                <w:b w:val="0"/>
                <w:sz w:val="20"/>
              </w:rPr>
              <w:t>Program name</w:t>
            </w:r>
          </w:p>
        </w:tc>
        <w:tc>
          <w:tcPr>
            <w:tcW w:type="dxa" w:w="6624"/>
          </w:tcPr>
          <w:p>
            <w:pPr>
              <w:spacing w:before="60" w:after="60"/>
            </w:pPr>
            <w:r/>
            <w:r>
              <w:rPr>
                <w:b w:val="0"/>
                <w:sz w:val="20"/>
              </w:rPr>
              <w:t>Riverbend Veteran Navigation</w:t>
            </w:r>
          </w:p>
        </w:tc>
      </w:tr>
      <w:tr>
        <w:tc>
          <w:tcPr>
            <w:tcW w:type="dxa" w:w="2736"/>
            <w:shd w:val="clear" w:color="auto" w:fill="F5F7FA"/>
          </w:tcPr>
          <w:p>
            <w:pPr>
              <w:spacing w:before="60" w:after="60"/>
            </w:pPr>
            <w:r/>
            <w:r>
              <w:rPr>
                <w:b w:val="0"/>
                <w:sz w:val="20"/>
              </w:rPr>
              <w:t>Amount requested</w:t>
            </w:r>
          </w:p>
        </w:tc>
        <w:tc>
          <w:tcPr>
            <w:tcW w:type="dxa" w:w="6624"/>
            <w:shd w:val="clear" w:color="auto" w:fill="F5F7FA"/>
          </w:tcPr>
          <w:p>
            <w:pPr>
              <w:spacing w:before="60" w:after="60"/>
            </w:pPr>
            <w:r/>
            <w:r>
              <w:rPr>
                <w:b w:val="0"/>
                <w:sz w:val="20"/>
              </w:rPr>
              <w:t>$88,000</w:t>
            </w:r>
          </w:p>
        </w:tc>
      </w:tr>
      <w:tr>
        <w:tc>
          <w:tcPr>
            <w:tcW w:type="dxa" w:w="2736"/>
          </w:tcPr>
          <w:p>
            <w:pPr>
              <w:spacing w:before="60" w:after="60"/>
            </w:pPr>
            <w:r/>
            <w:r>
              <w:rPr>
                <w:b w:val="0"/>
                <w:sz w:val="20"/>
              </w:rPr>
              <w:t>Total program budget</w:t>
            </w:r>
          </w:p>
        </w:tc>
        <w:tc>
          <w:tcPr>
            <w:tcW w:type="dxa" w:w="6624"/>
          </w:tcPr>
          <w:p>
            <w:pPr>
              <w:spacing w:before="60" w:after="60"/>
            </w:pPr>
            <w:r/>
            <w:r>
              <w:rPr>
                <w:b w:val="0"/>
                <w:sz w:val="20"/>
              </w:rPr>
              <w:t>$88,000, of which $80,000 is direct cost</w:t>
            </w:r>
          </w:p>
        </w:tc>
      </w:tr>
      <w:tr>
        <w:tc>
          <w:tcPr>
            <w:tcW w:type="dxa" w:w="2736"/>
            <w:shd w:val="clear" w:color="auto" w:fill="F5F7FA"/>
          </w:tcPr>
          <w:p>
            <w:pPr>
              <w:spacing w:before="60" w:after="60"/>
            </w:pPr>
            <w:r/>
            <w:r>
              <w:rPr>
                <w:b w:val="0"/>
                <w:sz w:val="20"/>
              </w:rPr>
              <w:t>Grant period</w:t>
            </w:r>
          </w:p>
        </w:tc>
        <w:tc>
          <w:tcPr>
            <w:tcW w:type="dxa" w:w="6624"/>
            <w:shd w:val="clear" w:color="auto" w:fill="F5F7FA"/>
          </w:tcPr>
          <w:p>
            <w:pPr>
              <w:spacing w:before="60" w:after="60"/>
            </w:pPr>
            <w:r/>
            <w:r>
              <w:rPr>
                <w:b w:val="0"/>
                <w:sz w:val="20"/>
              </w:rPr>
              <w:t>[Start date] to [End date], twelve months</w:t>
            </w:r>
          </w:p>
        </w:tc>
      </w:tr>
      <w:tr>
        <w:tc>
          <w:tcPr>
            <w:tcW w:type="dxa" w:w="2736"/>
          </w:tcPr>
          <w:p>
            <w:pPr>
              <w:spacing w:before="60" w:after="60"/>
            </w:pPr>
            <w:r/>
            <w:r>
              <w:rPr>
                <w:b w:val="0"/>
                <w:sz w:val="20"/>
              </w:rPr>
              <w:t>Geographic area</w:t>
            </w:r>
          </w:p>
        </w:tc>
        <w:tc>
          <w:tcPr>
            <w:tcW w:type="dxa" w:w="6624"/>
          </w:tcPr>
          <w:p>
            <w:pPr>
              <w:spacing w:before="60" w:after="60"/>
            </w:pPr>
            <w:r/>
            <w:r>
              <w:rPr>
                <w:b w:val="0"/>
                <w:sz w:val="20"/>
              </w:rPr>
              <w:t>Riverbend County and the two adjacent rural townships we already serve</w:t>
            </w:r>
          </w:p>
        </w:tc>
      </w:tr>
      <w:tr>
        <w:tc>
          <w:tcPr>
            <w:tcW w:type="dxa" w:w="2736"/>
            <w:shd w:val="clear" w:color="auto" w:fill="F5F7FA"/>
          </w:tcPr>
          <w:p>
            <w:pPr>
              <w:spacing w:before="60" w:after="60"/>
            </w:pPr>
            <w:r/>
            <w:r>
              <w:rPr>
                <w:b w:val="0"/>
                <w:sz w:val="20"/>
              </w:rPr>
              <w:t>Population served</w:t>
            </w:r>
          </w:p>
        </w:tc>
        <w:tc>
          <w:tcPr>
            <w:tcW w:type="dxa" w:w="6624"/>
            <w:shd w:val="clear" w:color="auto" w:fill="F5F7FA"/>
          </w:tcPr>
          <w:p>
            <w:pPr>
              <w:spacing w:before="60" w:after="60"/>
            </w:pPr>
            <w:r/>
            <w:r>
              <w:rPr>
                <w:b w:val="0"/>
                <w:sz w:val="20"/>
              </w:rPr>
              <w:t>Veterans of all discharge characterizations, National Guard and Reserve members, and the spouses, caregivers and survivors attached to their households</w:t>
            </w:r>
          </w:p>
        </w:tc>
      </w:tr>
      <w:tr>
        <w:tc>
          <w:tcPr>
            <w:tcW w:type="dxa" w:w="2736"/>
          </w:tcPr>
          <w:p>
            <w:pPr>
              <w:spacing w:before="60" w:after="60"/>
            </w:pPr>
            <w:r/>
            <w:r>
              <w:rPr>
                <w:b w:val="0"/>
                <w:sz w:val="20"/>
              </w:rPr>
              <w:t>Number to be served</w:t>
            </w:r>
          </w:p>
        </w:tc>
        <w:tc>
          <w:tcPr>
            <w:tcW w:type="dxa" w:w="6624"/>
          </w:tcPr>
          <w:p>
            <w:pPr>
              <w:spacing w:before="60" w:after="60"/>
            </w:pPr>
            <w:r/>
            <w:r>
              <w:rPr>
                <w:b w:val="0"/>
                <w:sz w:val="20"/>
              </w:rPr>
              <w:t>60 veterans enrolled, of whom 24 enter the employment track</w:t>
            </w:r>
          </w:p>
        </w:tc>
      </w:tr>
      <w:tr>
        <w:tc>
          <w:tcPr>
            <w:tcW w:type="dxa" w:w="2736"/>
            <w:shd w:val="clear" w:color="auto" w:fill="F5F7FA"/>
          </w:tcPr>
          <w:p>
            <w:pPr>
              <w:spacing w:before="60" w:after="60"/>
            </w:pPr>
            <w:r/>
            <w:r>
              <w:rPr>
                <w:b w:val="0"/>
                <w:sz w:val="20"/>
              </w:rPr>
              <w:t>Program staffing</w:t>
            </w:r>
          </w:p>
        </w:tc>
        <w:tc>
          <w:tcPr>
            <w:tcW w:type="dxa" w:w="6624"/>
            <w:shd w:val="clear" w:color="auto" w:fill="F5F7FA"/>
          </w:tcPr>
          <w:p>
            <w:pPr>
              <w:spacing w:before="60" w:after="60"/>
            </w:pPr>
            <w:r/>
            <w:r>
              <w:rPr>
                <w:b w:val="0"/>
                <w:sz w:val="20"/>
              </w:rPr>
              <w:t>1.0 FTE peer support specialist, 0.25 FTE employment navigator, 0.05 FTE program director oversight from unrestricted funds</w:t>
            </w:r>
          </w:p>
        </w:tc>
      </w:tr>
      <w:tr>
        <w:tc>
          <w:tcPr>
            <w:tcW w:type="dxa" w:w="2736"/>
          </w:tcPr>
          <w:p>
            <w:pPr>
              <w:spacing w:before="60" w:after="60"/>
            </w:pPr>
            <w:r/>
            <w:r>
              <w:rPr>
                <w:b w:val="0"/>
                <w:sz w:val="20"/>
              </w:rPr>
              <w:t>Primary outcomes</w:t>
            </w:r>
          </w:p>
        </w:tc>
        <w:tc>
          <w:tcPr>
            <w:tcW w:type="dxa" w:w="6624"/>
          </w:tcPr>
          <w:p>
            <w:pPr>
              <w:spacing w:before="60" w:after="60"/>
            </w:pPr>
            <w:r/>
            <w:r>
              <w:rPr>
                <w:b w:val="0"/>
                <w:sz w:val="20"/>
              </w:rPr>
              <w:t>60 enrollments, 51 projected verified within 90 days, 45 completed warm handoffs, 18 employment placements, 13 retained at 180 days, 85 percent housing retention at 6 months</w:t>
            </w:r>
          </w:p>
        </w:tc>
      </w:tr>
      <w:tr>
        <w:tc>
          <w:tcPr>
            <w:tcW w:type="dxa" w:w="2736"/>
            <w:shd w:val="clear" w:color="auto" w:fill="F5F7FA"/>
          </w:tcPr>
          <w:p>
            <w:pPr>
              <w:spacing w:before="60" w:after="60"/>
            </w:pPr>
            <w:r/>
            <w:r>
              <w:rPr>
                <w:b w:val="0"/>
                <w:sz w:val="20"/>
              </w:rPr>
              <w:t>Evaluation</w:t>
            </w:r>
          </w:p>
        </w:tc>
        <w:tc>
          <w:tcPr>
            <w:tcW w:type="dxa" w:w="6624"/>
            <w:shd w:val="clear" w:color="auto" w:fill="F5F7FA"/>
          </w:tcPr>
          <w:p>
            <w:pPr>
              <w:spacing w:before="60" w:after="60"/>
            </w:pPr>
            <w:r/>
            <w:r>
              <w:rPr>
                <w:b w:val="0"/>
                <w:sz w:val="20"/>
              </w:rPr>
              <w:t>Internal quarterly reporting plus 40 hours of external evaluator time</w:t>
            </w:r>
          </w:p>
        </w:tc>
      </w:tr>
      <w:tr>
        <w:tc>
          <w:tcPr>
            <w:tcW w:type="dxa" w:w="2736"/>
          </w:tcPr>
          <w:p>
            <w:pPr>
              <w:spacing w:before="60" w:after="60"/>
            </w:pPr>
            <w:r/>
            <w:r>
              <w:rPr>
                <w:b w:val="0"/>
                <w:sz w:val="20"/>
              </w:rPr>
              <w:t>Prior funding from this funder</w:t>
            </w:r>
          </w:p>
        </w:tc>
        <w:tc>
          <w:tcPr>
            <w:tcW w:type="dxa" w:w="6624"/>
          </w:tcPr>
          <w:p>
            <w:pPr>
              <w:spacing w:before="60" w:after="60"/>
            </w:pPr>
            <w:r/>
            <w:r>
              <w:rPr>
                <w:b w:val="0"/>
                <w:sz w:val="20"/>
              </w:rPr>
              <w:t>None. This is a first request.</w:t>
            </w:r>
          </w:p>
        </w:tc>
      </w:tr>
      <w:tr>
        <w:tc>
          <w:tcPr>
            <w:tcW w:type="dxa" w:w="2736"/>
            <w:shd w:val="clear" w:color="auto" w:fill="F5F7FA"/>
          </w:tcPr>
          <w:p>
            <w:pPr>
              <w:spacing w:before="60" w:after="60"/>
            </w:pPr>
            <w:r/>
            <w:r>
              <w:rPr>
                <w:b w:val="0"/>
                <w:sz w:val="20"/>
              </w:rPr>
              <w:t>Contact</w:t>
            </w:r>
          </w:p>
        </w:tc>
        <w:tc>
          <w:tcPr>
            <w:tcW w:type="dxa" w:w="6624"/>
            <w:shd w:val="clear" w:color="auto" w:fill="F5F7FA"/>
          </w:tcPr>
          <w:p>
            <w:pPr>
              <w:spacing w:before="60" w:after="60"/>
            </w:pPr>
            <w:r/>
            <w:r>
              <w:rPr>
                <w:b w:val="0"/>
                <w:sz w:val="20"/>
              </w:rPr>
              <w:t>[Name], [Title], [Phone], [Email]</w:t>
            </w:r>
          </w:p>
        </w:tc>
      </w:tr>
    </w:tbl>
    <w:p>
      <w:pPr>
        <w:spacing w:after="40"/>
      </w:pPr>
    </w:p>
    <w:p>
      <w:r>
        <w:br w:type="page"/>
      </w:r>
    </w:p>
    <w:p>
      <w:pPr>
        <w:pStyle w:val="Heading1"/>
      </w:pPr>
      <w:r>
        <w:t>Cover Letter</w:t>
      </w:r>
    </w:p>
    <w:p>
      <w:pPr>
        <w:pStyle w:val="Caption"/>
      </w:pPr>
      <w:r>
        <w:t>One page. It names the amount, the program, the population and the reason this funder in particular. The second paragraph is the only one you cannot copy: rewrite it in two or three sentences that quote the funder's own guidelines and name the fit. A program officer can tell from that paragraph alone whether you read them.</w:t>
      </w:r>
    </w:p>
    <w:p>
      <w:pPr>
        <w:spacing w:after="40"/>
      </w:pPr>
      <w:r>
        <w:rPr>
          <w:b w:val="0"/>
          <w:i w:val="0"/>
        </w:rPr>
        <w:t>[Date]</w:t>
      </w:r>
    </w:p>
    <w:p>
      <w:pPr>
        <w:spacing w:after="40"/>
      </w:pPr>
      <w:r>
        <w:rPr>
          <w:b w:val="0"/>
          <w:i w:val="0"/>
        </w:rPr>
        <w:t>[Program Officer name]</w:t>
      </w:r>
    </w:p>
    <w:p>
      <w:pPr>
        <w:spacing w:after="40"/>
      </w:pPr>
      <w:r>
        <w:rPr>
          <w:b w:val="0"/>
          <w:i w:val="0"/>
        </w:rPr>
        <w:t>[Title]</w:t>
      </w:r>
    </w:p>
    <w:p>
      <w:pPr>
        <w:spacing w:after="40"/>
      </w:pPr>
      <w:r>
        <w:rPr>
          <w:b w:val="0"/>
          <w:i w:val="0"/>
        </w:rPr>
        <w:t>[Funder name]</w:t>
      </w:r>
    </w:p>
    <w:p>
      <w:pPr>
        <w:spacing w:after="40"/>
      </w:pPr>
      <w:r>
        <w:rPr>
          <w:b w:val="0"/>
          <w:i w:val="0"/>
        </w:rPr>
        <w:t>[Street address]</w:t>
      </w:r>
    </w:p>
    <w:p>
      <w:pPr>
        <w:spacing w:after="240"/>
      </w:pPr>
      <w:r>
        <w:rPr>
          <w:b w:val="0"/>
          <w:i w:val="0"/>
        </w:rPr>
        <w:t>[City, State ZIP]</w:t>
      </w:r>
    </w:p>
    <w:p>
      <w:pPr>
        <w:spacing w:after="200"/>
      </w:pPr>
      <w:r>
        <w:rPr>
          <w:b w:val="0"/>
          <w:i w:val="0"/>
        </w:rPr>
        <w:t>Dear [Program Officer name]:</w:t>
      </w:r>
    </w:p>
    <w:p>
      <w:r>
        <w:rPr>
          <w:b w:val="0"/>
          <w:i w:val="0"/>
        </w:rPr>
        <w:t>Riverbend County Veterans Alliance requests $88,000 over twelve months to operate Riverbend Veteran Navigation, a peer support and employment program for 60 veterans in Riverbend County who are outside the reach of the Department of Veterans Affairs, either because the VA will not serve them or because the nearest VA medical center is 70 miles from our county seat and the veteran has no way to get there.</w:t>
      </w:r>
    </w:p>
    <w:p>
      <w:r>
        <w:rPr>
          <w:b w:val="0"/>
          <w:i w:val="0"/>
        </w:rPr>
        <w:t>We are approaching [Funder name] because your guidelines name [quote the funder's stated priority, and the section of the guidelines it appears in] as a funding priority. Riverbend Veteran Navigation sits inside that priority rather than beside it. It is a workforce and stabilization program whose participants happen to be veterans, run in a rural county with no VA facility of any kind inside its borders, and its two measurable products are employment placements that hold at 180 days and confirmed connections to care.</w:t>
      </w:r>
    </w:p>
    <w:p>
      <w:r>
        <w:rPr>
          <w:b w:val="0"/>
          <w:i w:val="0"/>
        </w:rPr>
        <w:t>The program funds one certified peer support specialist and a quarter-time employment navigator. The peer specialist meets a veteran within 72 hours of referral, completes a needs screen covering housing, employment, benefits and behavioral health within five business days of referral, and stays with that veteran for up to nine months, including walking into the first appointment with them. Nothing in this request pays for a service the VA would cover for the veterans we enroll. Our written referral agreements route a veteran to the VA the moment eligibility exists, and we track the handoff until the veteran is seen.</w:t>
      </w:r>
    </w:p>
    <w:p>
      <w:r>
        <w:rPr>
          <w:b w:val="0"/>
          <w:i w:val="0"/>
        </w:rPr>
        <w:t>Two facts shape our request. Sixty-one percent of the veterans who came through our door last year had never contacted the VA before someone in our office contacted them on their behalf. And of the veterans we could not help, the most common reason was not eligibility but distance: no transport to a facility more than an hour away, on a weekday, without pay.</w:t>
      </w:r>
    </w:p>
    <w:p>
      <w:r>
        <w:rPr>
          <w:b w:val="0"/>
          <w:i w:val="0"/>
        </w:rPr>
        <w:t>Attached are the full proposal, our IRS determination letter, board list, most recent audited financial statements, organizational budget, the memorandum of understanding governing our referrals to the VA medical center serving our region, a letter of support from the Riverbend County Veterans Service Officer, our peer specialist position description, and our written crisis response protocol.</w:t>
      </w:r>
    </w:p>
    <w:p>
      <w:r>
        <w:rPr>
          <w:b w:val="0"/>
          <w:i w:val="0"/>
        </w:rPr>
        <w:t>I would welcome a call or a site visit. You can reach me directly at [phone] or [email].</w:t>
      </w:r>
    </w:p>
    <w:p>
      <w:pPr>
        <w:spacing w:after="440"/>
      </w:pPr>
      <w:r>
        <w:rPr>
          <w:b w:val="0"/>
          <w:i w:val="0"/>
        </w:rPr>
        <w:t>Sincerely,</w:t>
      </w:r>
    </w:p>
    <w:p>
      <w:pPr>
        <w:spacing w:after="40"/>
      </w:pPr>
      <w:r>
        <w:rPr>
          <w:b w:val="0"/>
          <w:i w:val="0"/>
        </w:rPr>
        <w:t>[Signature]</w:t>
      </w:r>
    </w:p>
    <w:p>
      <w:pPr>
        <w:spacing w:after="40"/>
      </w:pPr>
      <w:r>
        <w:rPr>
          <w:b w:val="0"/>
          <w:i w:val="0"/>
        </w:rPr>
        <w:t>[Name], Executive Director</w:t>
      </w:r>
    </w:p>
    <w:p>
      <w:pPr>
        <w:spacing w:after="40"/>
      </w:pPr>
      <w:r>
        <w:rPr>
          <w:b w:val="0"/>
          <w:i w:val="0"/>
        </w:rPr>
        <w:t>Riverbend County Veterans Alliance</w:t>
      </w:r>
    </w:p>
    <w:p>
      <w:r>
        <w:rPr>
          <w:b w:val="0"/>
          <w:i w:val="0"/>
        </w:rPr>
        <w:t>[Address] | [Phone] | [Email]</w:t>
      </w:r>
    </w:p>
    <w:p>
      <w:r>
        <w:br w:type="page"/>
      </w:r>
    </w:p>
    <w:p>
      <w:pPr>
        <w:pStyle w:val="Heading1"/>
      </w:pPr>
      <w:r>
        <w:t>1. Executive Summary</w:t>
      </w:r>
    </w:p>
    <w:p>
      <w:pPr>
        <w:pStyle w:val="Caption"/>
      </w:pPr>
      <w:r>
        <w:t>250 to 400 words. The ask, the population, the outcome, in that order.</w:t>
      </w:r>
    </w:p>
    <w:p>
      <w:r>
        <w:rPr>
          <w:b w:val="0"/>
          <w:i w:val="0"/>
        </w:rPr>
        <w:t>Riverbend County Veterans Alliance requests $88,000 for twelve months to operate Riverbend Veteran Navigation, a peer support and employment program serving 60 veterans in a rural county whose nearest VA medical center is 70 miles away.</w:t>
      </w:r>
    </w:p>
    <w:p>
      <w:r>
        <w:rPr>
          <w:b w:val="0"/>
          <w:i w:val="0"/>
        </w:rPr>
        <w:t>The program addresses a specific gap rather than a general hardship. Three groups of veterans in Riverbend County get little or nothing from the VA system: veterans with other than honorable discharges, who are barred from most VA benefits; veterans waiting on a pending eligibility or benefits determination, who are in the system but not yet served by it; and veterans who are fully eligible but who cannot reach a facility 70 miles away during working hours. These are not veterans the VA serves badly. They are veterans the VA does not reach at all.</w:t>
      </w:r>
    </w:p>
    <w:p>
      <w:r>
        <w:rPr>
          <w:b w:val="0"/>
          <w:i w:val="0"/>
        </w:rPr>
        <w:t>One certified peer support specialist, funded at 1.0 FTE, is the core of the program. The specialist meets each veteran within 72 hours of referral, completes a needs screen within five business days of referral covering housing, employment, benefits and behavioral health, and builds a service plan reviewed every 30 days for up to nine months. A quarter-time employment navigator carries the job search work for the 24 veterans expected to enter the employment track. Both roles receive documented clinical supervision. Where a veteran is eligible for VA care or benefits, we do not substitute for it. We accompany the veteran to the door of it.</w:t>
      </w:r>
    </w:p>
    <w:p>
      <w:r>
        <w:rPr>
          <w:b w:val="0"/>
          <w:i w:val="0"/>
        </w:rPr>
        <w:t>Within twelve months the program will enroll 60 veterans, of whom 51 are projected to have verified service within 90 days, complete 45 warm handoffs to VA care, community care or an accredited benefits representative, place 18 veterans in employment, and hold 85 percent of the veterans housed at intake in housing at six months. Every one of those numbers has a named collection method and a reporting frequency, listed in Section 7.</w:t>
      </w:r>
    </w:p>
    <w:p>
      <w:r>
        <w:rPr>
          <w:b w:val="0"/>
          <w:i w:val="0"/>
        </w:rPr>
        <w:t>Riverbend County Veterans Alliance has served this county since 2013 on an annual operating budget of $312,000, with a county allocation, individual donors and two employer partners already in place to carry a share of this program's cost in year two.</w:t>
      </w:r>
    </w:p>
    <w:p>
      <w:pPr>
        <w:pStyle w:val="Heading1"/>
      </w:pPr>
      <w:r>
        <w:t>2. Organization Background</w:t>
      </w:r>
    </w:p>
    <w:p>
      <w:pPr>
        <w:pStyle w:val="Caption"/>
      </w:pPr>
      <w:r>
        <w:t>300 to 500 words. A veterans funder reads this section for one thing: have you served veterans before, and for how long. Lead with that, not with your mission statement.</w:t>
      </w:r>
    </w:p>
    <w:p>
      <w:r>
        <w:rPr>
          <w:b w:val="0"/>
          <w:i w:val="0"/>
        </w:rPr>
        <w:t>Riverbend County Veterans Alliance was founded in 2013 by a group of veterans who had spent two years driving other veterans to appointments in a neighboring county. We incorporated as a 501(c)(3) public charity in 2014 and have served veterans continuously since, from a storefront office two blocks from the county courthouse.</w:t>
      </w:r>
    </w:p>
    <w:p>
      <w:r>
        <w:rPr>
          <w:b w:val="0"/>
          <w:i w:val="0"/>
        </w:rPr>
        <w:t>We do three things now. We run a drop-in office open four days a week, where 214 veterans and family members made contact last year. We operate a volunteer transportation program that completed 610 rides to medical, benefits and employment appointments last year, 380 of them to VA facilities. And we hold a small emergency assistance fund, governed by a written board policy with a per-household cap, that prevented 24 utility shutoffs and 11 evictions in the same period.</w:t>
      </w:r>
    </w:p>
    <w:p>
      <w:r>
        <w:rPr>
          <w:b w:val="0"/>
          <w:i w:val="0"/>
        </w:rPr>
        <w:t>Our current annual operating budget is $312,000. It comes from a county veterans allocation (28 percent), individual donors and an annual appeal (34 percent), two foundation grants (26 percent), and earned revenue from a facility rental and an employer sponsorship (12 percent). We have been audited annually since 2019 with no findings, and our most recent audit and Form 990 are attached.</w:t>
      </w:r>
    </w:p>
    <w:p>
      <w:r>
        <w:rPr>
          <w:b w:val="0"/>
          <w:i w:val="0"/>
        </w:rPr>
        <w:t>Staff are the Executive Director, a full-time Program Director, a part-time office coordinator, and 31 active volunteers, 22 of whom are veterans. Our nine-member board includes six veterans, a certified public accountant, an attorney, and the retired director of a regional workforce board. Board meetings are held monthly with a documented conflict of interest policy reviewed annually.</w:t>
      </w:r>
    </w:p>
    <w:p>
      <w:r>
        <w:rPr>
          <w:b w:val="0"/>
          <w:i w:val="0"/>
        </w:rPr>
        <w:t>What we do not currently have is a paid peer support specialist. Every navigation contact we make today is made by a volunteer or squeezed into the Program Director's week, which is why our follow-through drops off after the first appointment. This request funds the position that closes that gap. It is a capacity request, not a new idea, and the demand documented in Section 4 comes from our own intake records rather than from a projection.</w:t>
      </w:r>
    </w:p>
    <w:p>
      <w:pPr>
        <w:pStyle w:val="Caption"/>
      </w:pPr>
      <w:r>
        <w:t>Replace with your own history, budget, staffing and governance. If your organization is new to veterans work, say so plainly and name the partner whose experience you are borrowing, with a letter from them attached. Reviewers forgive inexperience. They do not forgive a claim of experience they cannot verify.</w:t>
      </w:r>
    </w:p>
    <w:p>
      <w:r>
        <w:br w:type="page"/>
      </w:r>
    </w:p>
    <w:p>
      <w:pPr>
        <w:pStyle w:val="Heading1"/>
      </w:pPr>
      <w:r>
        <w:t>3. Who We Serve: Eligibility, Discharge, and Verification</w:t>
      </w:r>
    </w:p>
    <w:p>
      <w:pPr>
        <w:pStyle w:val="Caption"/>
      </w:pPr>
      <w:r>
        <w:t>This section does not appear in generic nonprofit templates and it is the first thing a veterans reviewer looks for. Write your eligibility rules in plain language, because 'veteran' means different things to the VA, to a funder, and to your intake staff.</w:t>
      </w:r>
    </w:p>
    <w:p>
      <w:pPr>
        <w:pStyle w:val="Heading2"/>
      </w:pPr>
      <w:r>
        <w:t>3.1 Who qualifies for this program</w:t>
      </w:r>
    </w:p>
    <w:p>
      <w:r>
        <w:rPr>
          <w:b w:val="0"/>
          <w:i w:val="0"/>
        </w:rPr>
        <w:t>Riverbend Veteran Navigation serves, without distinction in service level:</w:t>
      </w:r>
    </w:p>
    <w:p>
      <w:pPr>
        <w:pStyle w:val="ListBullet"/>
      </w:pPr>
      <w:r>
        <w:t>Veterans of the active components of any branch, regardless of the characterization of their discharge.</w:t>
      </w:r>
    </w:p>
    <w:p>
      <w:pPr>
        <w:pStyle w:val="ListBullet"/>
      </w:pPr>
      <w:r>
        <w:t>Current and former members of the National Guard and Reserve, including those without a qualifying federal activation.</w:t>
      </w:r>
    </w:p>
    <w:p>
      <w:pPr>
        <w:pStyle w:val="ListBullet"/>
      </w:pPr>
      <w:r>
        <w:t>Spouses, caregivers and survivors in the veteran's household, where the household need is the reason the veteran is unstable.</w:t>
      </w:r>
    </w:p>
    <w:p>
      <w:r>
        <w:rPr>
          <w:b w:val="0"/>
          <w:i w:val="0"/>
        </w:rPr>
        <w:t>We serve veterans with other than honorable discharges deliberately. VA eligibility turns on the character of discharge under 38 CFR 3.12, and for most service beginning after September 7, 1980 a minimum active duty service requirement applies under 38 CFR 3.12a. A veteran barred by either rule has almost no public option in this county. Community programs are frequently the only door open to them, and shutting it because a form says 'other than honorable' means the veterans in the worst condition are the ones we turn away.</w:t>
      </w:r>
    </w:p>
    <w:p>
      <w:pPr>
        <w:pStyle w:val="Caption"/>
      </w:pPr>
      <w:r>
        <w:t>If your program does restrict by discharge characterization, say so here and say why. An honest restriction reads better than a silence a reviewer will read as an oversight.</w:t>
      </w:r>
    </w:p>
    <w:p>
      <w:pPr>
        <w:pStyle w:val="Heading2"/>
      </w:pPr>
      <w:r>
        <w:t>3.2 How we verify service, and what happens when a veteran cannot</w:t>
      </w:r>
    </w:p>
    <w:p>
      <w:r>
        <w:rPr>
          <w:b w:val="0"/>
          <w:i w:val="0"/>
        </w:rPr>
        <w:t>A copy of the DD Form 214 on file is our standard verification and is requested at intake. We do not require it before a veteran receives service, for the same reason we do not require an appointment: a veteran sleeping in a truck does not have a document folder.</w:t>
      </w:r>
    </w:p>
    <w:p>
      <w:r>
        <w:rPr>
          <w:b w:val="0"/>
          <w:i w:val="0"/>
        </w:rPr>
        <w:t>Our written intake policy runs a three-step path:</w:t>
      </w:r>
    </w:p>
    <w:p>
      <w:pPr>
        <w:pStyle w:val="ListNumber"/>
      </w:pPr>
      <w:r>
        <w:t>If the veteran has a DD-214, a VA identification card, a VA benefits award letter or a state veteran designation on a driver's license, we copy it, log the verification method and the date, and the file is complete.</w:t>
      </w:r>
    </w:p>
    <w:p>
      <w:pPr>
        <w:pStyle w:val="ListNumber"/>
      </w:pPr>
      <w:r>
        <w:t>If not, the veteran is enrolled on a self-attestation recorded on our intake form, and the peer specialist begins a records request through the county veterans service officer, who is authorized to help the veteran request records from the National Archives.</w:t>
      </w:r>
    </w:p>
    <w:p>
      <w:pPr>
        <w:pStyle w:val="ListNumber"/>
      </w:pPr>
      <w:r>
        <w:t>If verification is still outstanding at 90 days, the case is reviewed by the Program Director. Service continues. The file is flagged as unverified and reported to funders as unverified, because a verified enrollment count that quietly includes unverified veterans is a number no one can audit.</w:t>
      </w:r>
    </w:p>
    <w:p>
      <w:r>
        <w:rPr>
          <w:b w:val="0"/>
          <w:i w:val="0"/>
        </w:rPr>
        <w:t>Verification status is tracked as a field, not as a gate. Of 60 enrollments, we project 51 verified within 90 days, and we report the remaining 9 as unverified rather than folding them into the headline number.</w:t>
      </w:r>
    </w:p>
    <w:p>
      <w:pPr>
        <w:pStyle w:val="Heading2"/>
      </w:pPr>
      <w:r>
        <w:t>3.3 Where our definition stops</w:t>
      </w:r>
    </w:p>
    <w:p>
      <w:r>
        <w:rPr>
          <w:b w:val="0"/>
          <w:i w:val="0"/>
        </w:rPr>
        <w:t>We do not prepare, present or prosecute claims for VA benefits. Doing so requires accreditation under 38 U.S.C. 5901, with the accreditation rules at 38 CFR 14.629. No member of our staff is accredited. Our role is to identify a possible entitlement, explain it in plain language, and route the veteran to the county veterans service officer or another accredited representative, then track whether the veteran actually got seen. Section 5.5 describes how we track it and Appendix A names the partners.</w:t>
      </w:r>
    </w:p>
    <w:p>
      <w:r>
        <w:br w:type="page"/>
      </w:r>
    </w:p>
    <w:p>
      <w:pPr>
        <w:pStyle w:val="Heading1"/>
      </w:pPr>
      <w:r>
        <w:t>4. Statement of Need</w:t>
      </w:r>
    </w:p>
    <w:p>
      <w:pPr>
        <w:pStyle w:val="Caption"/>
      </w:pPr>
      <w:r>
        <w:t>500 to 900 words. The strongest veterans need statement names one specific gap and proves it with local evidence. Build it from three sources: public data for your service area, your own program records, and one short client story labelled as an example.</w:t>
      </w:r>
    </w:p>
    <w:p>
      <w:pPr>
        <w:pStyle w:val="Heading2"/>
      </w:pPr>
      <w:r>
        <w:t>4.1 The county</w:t>
      </w:r>
    </w:p>
    <w:p>
      <w:r>
        <w:rPr>
          <w:b w:val="0"/>
          <w:i w:val="0"/>
        </w:rPr>
        <w:t>Riverbend County has a population of 48,000 across 720 square miles, with an estimated 3,900 veterans, or roughly 10 percent of the adult population. The county has no VA medical center, no community based outpatient clinic and no vet center inside its borders. The nearest VA medical center is 70 miles from the county seat, a drive of about 95 minutes each way in good weather. There is no public transit route between the two.</w:t>
      </w:r>
    </w:p>
    <w:p>
      <w:pPr>
        <w:pStyle w:val="Caption"/>
      </w:pPr>
      <w:r>
        <w:t>Sources to pull your equivalents from: veteran population and demographics from the U.S. Census Bureau American Community Survey table S2101 (Veteran Status) for your county; county-level veteran counts and projections from the VA National Center for Veterans Analysis and Statistics; facility distance from the VA facility locator; unemployment from the Bureau of Labor Statistics Local Area Unemployment Statistics; homelessness counts from your Continuum of Care's HUD Point-in-Time count. Cite the table, the geography and the year every time.</w:t>
      </w:r>
    </w:p>
    <w:p>
      <w:pPr>
        <w:pStyle w:val="Heading2"/>
      </w:pPr>
      <w:r>
        <w:t>4.2 The gap, in four parts</w:t>
      </w:r>
    </w:p>
    <w:p>
      <w:r>
        <w:rPr>
          <w:b w:val="0"/>
          <w:i w:val="0"/>
        </w:rPr>
        <w:t>The barrier in Riverbend County is not that the VA serves veterans badly. It is that four specific groups never get inside the system at all.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440"/>
            <w:shd w:val="clear" w:color="auto" w:fill="E8EDF3"/>
          </w:tcPr>
          <w:p>
            <w:pPr>
              <w:spacing w:before="60" w:after="60"/>
            </w:pPr>
            <w:r/>
            <w:r>
              <w:rPr>
                <w:b/>
                <w:color w:val="1F3B5C"/>
                <w:sz w:val="20"/>
              </w:rPr>
              <w:t>Gap</w:t>
            </w:r>
          </w:p>
        </w:tc>
        <w:tc>
          <w:tcPr>
            <w:tcW w:type="dxa" w:w="3744"/>
            <w:shd w:val="clear" w:color="auto" w:fill="E8EDF3"/>
          </w:tcPr>
          <w:p>
            <w:pPr>
              <w:spacing w:before="60" w:after="60"/>
            </w:pPr>
            <w:r/>
            <w:r>
              <w:rPr>
                <w:b/>
                <w:color w:val="1F3B5C"/>
                <w:sz w:val="20"/>
              </w:rPr>
              <w:t>Who it affects here</w:t>
            </w:r>
          </w:p>
        </w:tc>
        <w:tc>
          <w:tcPr>
            <w:tcW w:type="dxa" w:w="4176"/>
            <w:shd w:val="clear" w:color="auto" w:fill="E8EDF3"/>
          </w:tcPr>
          <w:p>
            <w:pPr>
              <w:spacing w:before="60" w:after="60"/>
            </w:pPr>
            <w:r/>
            <w:r>
              <w:rPr>
                <w:b/>
                <w:color w:val="1F3B5C"/>
                <w:sz w:val="20"/>
              </w:rPr>
              <w:t>Evidence we hold</w:t>
            </w:r>
          </w:p>
        </w:tc>
      </w:tr>
      <w:tr>
        <w:tc>
          <w:tcPr>
            <w:tcW w:type="dxa" w:w="1440"/>
          </w:tcPr>
          <w:p>
            <w:pPr>
              <w:spacing w:before="60" w:after="60"/>
            </w:pPr>
            <w:r/>
            <w:r>
              <w:rPr>
                <w:b w:val="0"/>
                <w:sz w:val="20"/>
              </w:rPr>
              <w:t>Distance</w:t>
            </w:r>
          </w:p>
        </w:tc>
        <w:tc>
          <w:tcPr>
            <w:tcW w:type="dxa" w:w="3744"/>
          </w:tcPr>
          <w:p>
            <w:pPr>
              <w:spacing w:before="60" w:after="60"/>
            </w:pPr>
            <w:r/>
            <w:r>
              <w:rPr>
                <w:b w:val="0"/>
                <w:sz w:val="20"/>
              </w:rPr>
              <w:t>Eligible veterans with no transport to a facility 70 miles away during working hours</w:t>
            </w:r>
          </w:p>
        </w:tc>
        <w:tc>
          <w:tcPr>
            <w:tcW w:type="dxa" w:w="4176"/>
          </w:tcPr>
          <w:p>
            <w:pPr>
              <w:spacing w:before="60" w:after="60"/>
            </w:pPr>
            <w:r/>
            <w:r>
              <w:rPr>
                <w:b w:val="0"/>
                <w:sz w:val="20"/>
              </w:rPr>
              <w:t>610 rides provided last year, 380 to VA facilities; 84 ride requests declined for lack of a driver</w:t>
            </w:r>
          </w:p>
        </w:tc>
      </w:tr>
      <w:tr>
        <w:tc>
          <w:tcPr>
            <w:tcW w:type="dxa" w:w="1440"/>
            <w:shd w:val="clear" w:color="auto" w:fill="F5F7FA"/>
          </w:tcPr>
          <w:p>
            <w:pPr>
              <w:spacing w:before="60" w:after="60"/>
            </w:pPr>
            <w:r/>
            <w:r>
              <w:rPr>
                <w:b w:val="0"/>
                <w:sz w:val="20"/>
              </w:rPr>
              <w:t>Eligibility</w:t>
            </w:r>
          </w:p>
        </w:tc>
        <w:tc>
          <w:tcPr>
            <w:tcW w:type="dxa" w:w="3744"/>
            <w:shd w:val="clear" w:color="auto" w:fill="F5F7FA"/>
          </w:tcPr>
          <w:p>
            <w:pPr>
              <w:spacing w:before="60" w:after="60"/>
            </w:pPr>
            <w:r/>
            <w:r>
              <w:rPr>
                <w:b w:val="0"/>
                <w:sz w:val="20"/>
              </w:rPr>
              <w:t>Veterans with other than honorable discharges, and Guard members without a qualifying activation</w:t>
            </w:r>
          </w:p>
        </w:tc>
        <w:tc>
          <w:tcPr>
            <w:tcW w:type="dxa" w:w="4176"/>
            <w:shd w:val="clear" w:color="auto" w:fill="F5F7FA"/>
          </w:tcPr>
          <w:p>
            <w:pPr>
              <w:spacing w:before="60" w:after="60"/>
            </w:pPr>
            <w:r/>
            <w:r>
              <w:rPr>
                <w:b w:val="0"/>
                <w:sz w:val="20"/>
              </w:rPr>
              <w:t>19 percent of our intakes in the last 12 months, 41 veterans</w:t>
            </w:r>
          </w:p>
        </w:tc>
      </w:tr>
      <w:tr>
        <w:tc>
          <w:tcPr>
            <w:tcW w:type="dxa" w:w="1440"/>
          </w:tcPr>
          <w:p>
            <w:pPr>
              <w:spacing w:before="60" w:after="60"/>
            </w:pPr>
            <w:r/>
            <w:r>
              <w:rPr>
                <w:b w:val="0"/>
                <w:sz w:val="20"/>
              </w:rPr>
              <w:t>Timing</w:t>
            </w:r>
          </w:p>
        </w:tc>
        <w:tc>
          <w:tcPr>
            <w:tcW w:type="dxa" w:w="3744"/>
          </w:tcPr>
          <w:p>
            <w:pPr>
              <w:spacing w:before="60" w:after="60"/>
            </w:pPr>
            <w:r/>
            <w:r>
              <w:rPr>
                <w:b w:val="0"/>
                <w:sz w:val="20"/>
              </w:rPr>
              <w:t>Veterans in a pending eligibility or claims determination, unserved while they wait</w:t>
            </w:r>
          </w:p>
        </w:tc>
        <w:tc>
          <w:tcPr>
            <w:tcW w:type="dxa" w:w="4176"/>
          </w:tcPr>
          <w:p>
            <w:pPr>
              <w:spacing w:before="60" w:after="60"/>
            </w:pPr>
            <w:r/>
            <w:r>
              <w:rPr>
                <w:b w:val="0"/>
                <w:sz w:val="20"/>
              </w:rPr>
              <w:t>Median 96 days from our referral to a first VA appointment across 63 tracked referrals</w:t>
            </w:r>
          </w:p>
        </w:tc>
      </w:tr>
      <w:tr>
        <w:tc>
          <w:tcPr>
            <w:tcW w:type="dxa" w:w="1440"/>
            <w:shd w:val="clear" w:color="auto" w:fill="F5F7FA"/>
          </w:tcPr>
          <w:p>
            <w:pPr>
              <w:spacing w:before="60" w:after="60"/>
            </w:pPr>
            <w:r/>
            <w:r>
              <w:rPr>
                <w:b w:val="0"/>
                <w:sz w:val="20"/>
              </w:rPr>
              <w:t>Trust</w:t>
            </w:r>
          </w:p>
        </w:tc>
        <w:tc>
          <w:tcPr>
            <w:tcW w:type="dxa" w:w="3744"/>
            <w:shd w:val="clear" w:color="auto" w:fill="F5F7FA"/>
          </w:tcPr>
          <w:p>
            <w:pPr>
              <w:spacing w:before="60" w:after="60"/>
            </w:pPr>
            <w:r/>
            <w:r>
              <w:rPr>
                <w:b w:val="0"/>
                <w:sz w:val="20"/>
              </w:rPr>
              <w:t>Veterans who will not approach a government office and will talk to another veteran</w:t>
            </w:r>
          </w:p>
        </w:tc>
        <w:tc>
          <w:tcPr>
            <w:tcW w:type="dxa" w:w="4176"/>
            <w:shd w:val="clear" w:color="auto" w:fill="F5F7FA"/>
          </w:tcPr>
          <w:p>
            <w:pPr>
              <w:spacing w:before="60" w:after="60"/>
            </w:pPr>
            <w:r/>
            <w:r>
              <w:rPr>
                <w:b w:val="0"/>
                <w:sz w:val="20"/>
              </w:rPr>
              <w:t>61 percent of intakes had made no VA contact before a peer contacted them</w:t>
            </w:r>
          </w:p>
        </w:tc>
      </w:tr>
    </w:tbl>
    <w:p>
      <w:pPr>
        <w:spacing w:after="40"/>
      </w:pPr>
    </w:p>
    <w:p>
      <w:r>
        <w:rPr>
          <w:b w:val="0"/>
          <w:i w:val="0"/>
        </w:rPr>
        <w:t>Those four groups are not hypothetical categories. They are the reasons written on our own declined and lapsed cases. In the last twelve months we opened 214 contacts and closed 96 of them as 'no further contact', the largest single category in our file.</w:t>
      </w:r>
    </w:p>
    <w:p>
      <w:pPr>
        <w:pStyle w:val="Heading2"/>
      </w:pPr>
      <w:r>
        <w:t>4.3 What the veterans in the gap are facing</w:t>
      </w:r>
    </w:p>
    <w:p>
      <w:r>
        <w:rPr>
          <w:b w:val="0"/>
          <w:i w:val="0"/>
        </w:rPr>
        <w:t>Of the 214 veterans and family members who contacted our office in the last twelve months, the presenting need was housing instability for 71, employment or underemployment for 58, a benefits question for 47, transportation for 22, and behavioral health for 16. Those categories overlap; the figure records what the veteran said first.</w:t>
      </w:r>
    </w:p>
    <w:p>
      <w:r>
        <w:rPr>
          <w:b w:val="0"/>
          <w:i w:val="0"/>
        </w:rPr>
        <w:t>The employment picture is the one we can least address today. Riverbend County's largest employers are a hospital system, two manufacturers and the county itself, all of which require either a credential or a clean background check. Veterans who separated with an other than honorable discharge, or who have a gap of several years since their last civilian job, do not clear an automated applicant screen. They need a person who knows the hiring manager, which is exactly what a 0.25 FTE employment navigator with employer relationships provides and what an online job board does not.</w:t>
      </w:r>
    </w:p>
    <w:p>
      <w:pPr>
        <w:pStyle w:val="Heading2"/>
      </w:pPr>
      <w:r>
        <w:t>4.4 One veteran's path, as an example</w:t>
      </w:r>
    </w:p>
    <w:p>
      <w:r>
        <w:rPr>
          <w:b w:val="0"/>
          <w:i w:val="0"/>
        </w:rPr>
        <w:t>The following is a composite drawn from several case files, with all identifying detail removed. It is included to show how the four gaps compound, not as a testimonial.</w:t>
      </w:r>
    </w:p>
    <w:p>
      <w:pPr>
        <w:pStyle w:val="Quote"/>
      </w:pPr>
      <w:r>
        <w:t>A veteran in his early thirties separated from the Army with a general discharge after four years, moved back to his mother's house in the county, and worked seasonal warehouse shifts for two years. When the shifts stopped he had no income, no primary care and no idea whether he was eligible for anything. He did not call the VA because he assumed his discharge disqualified him. He came to our office because a neighbor who volunteers with us told him to. It took one conversation to establish that he was very likely eligible for VA health care, four weeks for the county veterans service officer to confirm it, and eleven weeks for a first appointment. He had no vehicle. He missed the first appointment because our volunteer driver called in sick and we had no backup.</w:t>
      </w:r>
    </w:p>
    <w:p>
      <w:r>
        <w:rPr>
          <w:b w:val="0"/>
          <w:i w:val="0"/>
        </w:rPr>
        <w:t>The failure in that sequence was not the VA's. It was ours: no paid staff, no backup driver, no one whose job it was to follow the case to the appointment. That is the failure this request funds a person to fix.</w:t>
      </w:r>
    </w:p>
    <w:p>
      <w:pPr>
        <w:pStyle w:val="Caption"/>
      </w:pPr>
      <w:r>
        <w:t>Keep the story to a paragraph and label it as a composite or use written consent. Avoid describing veterans as broken. Deficit language reads as an outsider writing about a population rather than with it, and veterans funders notice.</w:t>
      </w:r>
    </w:p>
    <w:p>
      <w:r>
        <w:br w:type="page"/>
      </w:r>
    </w:p>
    <w:p>
      <w:pPr>
        <w:pStyle w:val="Heading1"/>
      </w:pPr>
      <w:r>
        <w:t>5. Program Description</w:t>
      </w:r>
    </w:p>
    <w:p>
      <w:pPr>
        <w:pStyle w:val="Caption"/>
      </w:pPr>
      <w:r>
        <w:t>700 to 1,200 words. Describe the service as a sequence with a named staff role attached to each step. A veterans funder wants to see who does what, how often, and what happens at the handoff.</w:t>
      </w:r>
    </w:p>
    <w:p>
      <w:pPr>
        <w:pStyle w:val="Heading2"/>
      </w:pPr>
      <w:r>
        <w:t>5.1 Outreach and referral sources</w:t>
      </w:r>
    </w:p>
    <w:p>
      <w:r>
        <w:rPr>
          <w:b w:val="0"/>
          <w:i w:val="0"/>
        </w:rPr>
        <w:t>Veterans reach the program four ways. The peer support specialist holds scheduled hours twice a week at the county veterans service office and once a week at each of two subsidized housing sites where veterans live. Partner organizations refer directly under the agreements listed in Appendix A. Veterans walk into our drop-in office. And veterans already known to us are re-contacted from our own case files, which is how we expect to reach the group that has stopped answering the phone.</w:t>
      </w:r>
    </w:p>
    <w:p>
      <w:r>
        <w:rPr>
          <w:b w:val="0"/>
          <w:i w:val="0"/>
        </w:rPr>
        <w:t>We project 60 enrollments from approximately 110 referrals over twelve months, a conversion rate consistent with our current drop-in numbers. Referrals that do not convert are logged with a reason.</w:t>
      </w:r>
    </w:p>
    <w:p>
      <w:pPr>
        <w:pStyle w:val="Heading2"/>
      </w:pPr>
      <w:r>
        <w:t>5.2 Intake, screening and the service plan</w:t>
      </w:r>
    </w:p>
    <w:p>
      <w:r>
        <w:rPr>
          <w:b w:val="0"/>
          <w:i w:val="0"/>
        </w:rPr>
        <w:t>The peer support specialist contacts every referred veteran within 72 hours and completes an in-person intake within five business days, at our office, at the veteran's home, or at a location the veteran picks. Intake covers verification (Section 3.2), a needs screen across housing, employment, benefits, transportation, behavioral health and legal issues, and a written service plan the veteran signs.</w:t>
      </w:r>
    </w:p>
    <w:p>
      <w:r>
        <w:rPr>
          <w:b w:val="0"/>
          <w:i w:val="0"/>
        </w:rPr>
        <w:t>The service plan lists no more than three active goals at a time, names the responsible person for each, and is reviewed with the veteran every 30 days. Enrollment runs up to nine months, with a documented closure conversation and a written summary of open referrals handed to the veteran at exit.</w:t>
      </w:r>
    </w:p>
    <w:p>
      <w:pPr>
        <w:pStyle w:val="Heading2"/>
      </w:pPr>
      <w:r>
        <w:t>5.3 Peer navigation</w:t>
      </w:r>
    </w:p>
    <w:p>
      <w:r>
        <w:rPr>
          <w:b w:val="0"/>
          <w:i w:val="0"/>
        </w:rPr>
        <w:t>Navigation contact is weekly for the first eight weeks and every other week thereafter, with contact frequency raised at the specialist's discretion during a housing loss, a court date, a hospitalization or a crisis. Contacts are in person where possible and by phone where distance makes that impractical, which in a 720 square mile county is often. Every contact is logged in the case management system the same working day.</w:t>
      </w:r>
    </w:p>
    <w:p>
      <w:r>
        <w:rPr>
          <w:b w:val="0"/>
          <w:i w:val="0"/>
        </w:rPr>
        <w:t>The average veteran receives about 26.5 hours of peer specialist time across a six-month enrollment, which is the figure the budget in Section 8 is built on. Appendix B shows that arithmetic in full, because 'a peer specialist will serve 60 veterans' is a claim reviewers check and most proposals cannot support.</w:t>
      </w:r>
    </w:p>
    <w:p>
      <w:pPr>
        <w:pStyle w:val="Heading2"/>
      </w:pPr>
      <w:r>
        <w:t>5.4 The employment track</w:t>
      </w:r>
    </w:p>
    <w:p>
      <w:r>
        <w:rPr>
          <w:b w:val="0"/>
          <w:i w:val="0"/>
        </w:rPr>
        <w:t>Twenty-four of the 60 enrolled veterans are expected to enter the employment track, which is carried by the 0.25 FTE employment navigator with the peer specialist remaining the primary relationship. The track runs an employment assessment, a plan naming a target occupation and the barrier to it, then roughly ten working sessions covering resume translation of military experience, application support, interview preparation, and direct contact with employers.</w:t>
      </w:r>
    </w:p>
    <w:p>
      <w:r>
        <w:rPr>
          <w:b w:val="0"/>
          <w:i w:val="0"/>
        </w:rPr>
        <w:t>The navigator maintains relationships with named hiring managers at eleven local employers, including two that have agreed in writing to a first-interview commitment for candidates we refer. Where a credential is the barrier, the flexible assistance fund pays the licensing or certification fee, which is frequently the entire distance between a veteran and a job.</w:t>
      </w:r>
    </w:p>
    <w:p>
      <w:r>
        <w:rPr>
          <w:b w:val="0"/>
          <w:i w:val="0"/>
        </w:rPr>
        <w:t>We follow up with placed veterans and their employers at 30, 90 and 180 days. Retention matters more than placement here, and Section 7 explains how we handle the 180-day checks that fall outside the grant period.</w:t>
      </w:r>
    </w:p>
    <w:p>
      <w:pPr>
        <w:pStyle w:val="Heading2"/>
      </w:pPr>
      <w:r>
        <w:t>5.5 Warm handoffs and coordination with the VA</w:t>
      </w:r>
    </w:p>
    <w:p>
      <w:r>
        <w:rPr>
          <w:b w:val="0"/>
          <w:i w:val="0"/>
        </w:rPr>
        <w:t>A warm handoff in this program means one of two things, and we hold ourselves to the definition in writing: our staff physically accompanies the veteran to the first appointment, or our staff reaches the receiving provider by phone while the veteran is present and the appointment is confirmed before the call ends. A phone number handed over on a sticky note is not a handoff, and we do not count it as one.</w:t>
      </w:r>
    </w:p>
    <w:p>
      <w:r>
        <w:rPr>
          <w:b w:val="0"/>
          <w:i w:val="0"/>
        </w:rPr>
        <w:t>Where a veteran is eligible for VA care, we route the veteran to VA care. The memorandum of understanding with the VA medical center serving our region names a point of contact, commits us to release-of-information procedures, and lets us confirm whether a referred veteran was seen. Where a veteran needs benefits representation, we route to the county veterans service officer or another accredited representative, per Section 3.3. Where the veteran is ineligible for VA services, community resources listed in Appendix A carry the case.</w:t>
      </w:r>
    </w:p>
    <w:p>
      <w:r>
        <w:rPr>
          <w:b w:val="0"/>
          <w:i w:val="0"/>
        </w:rPr>
        <w:t>Every referral is logged in a tracking log with the date sent, the receiving organization, the confirmation date, and whether the veteran was actually seen. Completed handoffs are one of the outcome measures in Section 7 precisely because unconfirmed referrals are the point where veterans disappear.</w:t>
      </w:r>
    </w:p>
    <w:p>
      <w:pPr>
        <w:pStyle w:val="Heading2"/>
      </w:pPr>
      <w:r>
        <w:t>5.6 Crisis response and suicide prevention</w:t>
      </w:r>
    </w:p>
    <w:p>
      <w:r>
        <w:rPr>
          <w:b w:val="0"/>
          <w:i w:val="0"/>
        </w:rPr>
        <w:t>Program staff work weekdays. Veterans do not have crises only on weekdays, so our written protocol, attached, sets out what happens outside those hours.</w:t>
      </w:r>
    </w:p>
    <w:p>
      <w:pPr>
        <w:pStyle w:val="ListBullet"/>
      </w:pPr>
      <w:r>
        <w:t>Every enrolled veteran receives the Veterans Crisis Line number (dial 988 then press 1) at intake, written on the service plan they take home, and the peer specialist walks through when to use it.</w:t>
      </w:r>
    </w:p>
    <w:p>
      <w:pPr>
        <w:pStyle w:val="ListBullet"/>
      </w:pPr>
      <w:r>
        <w:t>All program staff and the Program Director complete an evidence-informed gatekeeper suicide prevention training within 60 days of hire and refresh it annually.</w:t>
      </w:r>
    </w:p>
    <w:p>
      <w:pPr>
        <w:pStyle w:val="ListBullet"/>
      </w:pPr>
      <w:r>
        <w:t>Risk screening happens at intake and at any contact where the specialist observes a change. A positive screen triggers a same-day consultation with the contracted clinical supervisor, who is a licensed behavioral health clinician, and a documented safety plan.</w:t>
      </w:r>
    </w:p>
    <w:p>
      <w:pPr>
        <w:pStyle w:val="ListBullet"/>
      </w:pPr>
      <w:r>
        <w:t>Our voicemail and office signage carry the crisis line number and the local emergency number. We do not advertise after-hours peer availability we cannot staff, because a promise of coverage that is not answered is worse than no promise.</w:t>
      </w:r>
    </w:p>
    <w:p>
      <w:pPr>
        <w:pStyle w:val="ListBullet"/>
      </w:pPr>
      <w:r>
        <w:t>Any crisis contact is reviewed in the following week's supervision and logged.</w:t>
      </w:r>
    </w:p>
    <w:p>
      <w:r>
        <w:rPr>
          <w:b w:val="0"/>
          <w:i w:val="0"/>
        </w:rPr>
        <w:t>We screen with the PHQ-9 and, where indicated, the PTSD Checklist for DSM-5 (PCL-5). Both are free self-report instruments and the National Center for PTSD publishes the PCL-5 for open use. Scoring, interpretation and the response a score can trigger still require clinical competence, and item 9 of the PHQ-9 asks about thoughts of self-harm, so we use these instruments only because a licensed clinical supervisor is contracted to act on the answers. If your program cannot fund that supervision, do not put these instruments in your proposal.</w:t>
      </w:r>
    </w:p>
    <w:p>
      <w:pPr>
        <w:pStyle w:val="Heading2"/>
      </w:pPr>
      <w:r>
        <w:t>5.7 Staffing, supervision, and certification</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872"/>
            <w:shd w:val="clear" w:color="auto" w:fill="E8EDF3"/>
          </w:tcPr>
          <w:p>
            <w:pPr>
              <w:spacing w:before="60" w:after="60"/>
            </w:pPr>
            <w:r/>
            <w:r>
              <w:rPr>
                <w:b/>
                <w:color w:val="1F3B5C"/>
                <w:sz w:val="20"/>
              </w:rPr>
              <w:t>Role</w:t>
            </w:r>
          </w:p>
        </w:tc>
        <w:tc>
          <w:tcPr>
            <w:tcW w:type="dxa" w:w="720"/>
            <w:shd w:val="clear" w:color="auto" w:fill="E8EDF3"/>
          </w:tcPr>
          <w:p>
            <w:pPr>
              <w:spacing w:before="60" w:after="60"/>
            </w:pPr>
            <w:r/>
            <w:r>
              <w:rPr>
                <w:b/>
                <w:color w:val="1F3B5C"/>
                <w:sz w:val="20"/>
              </w:rPr>
              <w:t>FTE</w:t>
            </w:r>
          </w:p>
        </w:tc>
        <w:tc>
          <w:tcPr>
            <w:tcW w:type="dxa" w:w="1728"/>
            <w:shd w:val="clear" w:color="auto" w:fill="E8EDF3"/>
          </w:tcPr>
          <w:p>
            <w:pPr>
              <w:spacing w:before="60" w:after="60"/>
            </w:pPr>
            <w:r/>
            <w:r>
              <w:rPr>
                <w:b/>
                <w:color w:val="1F3B5C"/>
                <w:sz w:val="20"/>
              </w:rPr>
              <w:t>Funded by</w:t>
            </w:r>
          </w:p>
        </w:tc>
        <w:tc>
          <w:tcPr>
            <w:tcW w:type="dxa" w:w="5040"/>
            <w:shd w:val="clear" w:color="auto" w:fill="E8EDF3"/>
          </w:tcPr>
          <w:p>
            <w:pPr>
              <w:spacing w:before="60" w:after="60"/>
            </w:pPr>
            <w:r/>
            <w:r>
              <w:rPr>
                <w:b/>
                <w:color w:val="1F3B5C"/>
                <w:sz w:val="20"/>
              </w:rPr>
              <w:t>Qualification and supervision</w:t>
            </w:r>
          </w:p>
        </w:tc>
      </w:tr>
      <w:tr>
        <w:tc>
          <w:tcPr>
            <w:tcW w:type="dxa" w:w="1872"/>
          </w:tcPr>
          <w:p>
            <w:pPr>
              <w:spacing w:before="60" w:after="60"/>
            </w:pPr>
            <w:r/>
            <w:r>
              <w:rPr>
                <w:b w:val="0"/>
                <w:sz w:val="20"/>
              </w:rPr>
              <w:t>Peer support specialist</w:t>
            </w:r>
          </w:p>
        </w:tc>
        <w:tc>
          <w:tcPr>
            <w:tcW w:type="dxa" w:w="720"/>
          </w:tcPr>
          <w:p>
            <w:pPr>
              <w:spacing w:before="60" w:after="60"/>
            </w:pPr>
            <w:r/>
            <w:r>
              <w:rPr>
                <w:b w:val="0"/>
                <w:sz w:val="20"/>
              </w:rPr>
              <w:t>1.0</w:t>
            </w:r>
          </w:p>
        </w:tc>
        <w:tc>
          <w:tcPr>
            <w:tcW w:type="dxa" w:w="1728"/>
          </w:tcPr>
          <w:p>
            <w:pPr>
              <w:spacing w:before="60" w:after="60"/>
            </w:pPr>
            <w:r/>
            <w:r>
              <w:rPr>
                <w:b w:val="0"/>
                <w:sz w:val="20"/>
              </w:rPr>
              <w:t>This request</w:t>
            </w:r>
          </w:p>
        </w:tc>
        <w:tc>
          <w:tcPr>
            <w:tcW w:type="dxa" w:w="5040"/>
          </w:tcPr>
          <w:p>
            <w:pPr>
              <w:spacing w:before="60" w:after="60"/>
            </w:pPr>
            <w:r/>
            <w:r>
              <w:rPr>
                <w:b w:val="0"/>
                <w:sz w:val="20"/>
              </w:rPr>
              <w:t>Veteran with lived experience; state peer specialist certification completed or in progress within 9 months of hire; 1.5 hours of documented clinical supervision monthly plus weekly case review with the Program Director</w:t>
            </w:r>
          </w:p>
        </w:tc>
      </w:tr>
      <w:tr>
        <w:tc>
          <w:tcPr>
            <w:tcW w:type="dxa" w:w="1872"/>
            <w:shd w:val="clear" w:color="auto" w:fill="F5F7FA"/>
          </w:tcPr>
          <w:p>
            <w:pPr>
              <w:spacing w:before="60" w:after="60"/>
            </w:pPr>
            <w:r/>
            <w:r>
              <w:rPr>
                <w:b w:val="0"/>
                <w:sz w:val="20"/>
              </w:rPr>
              <w:t>Employment navigator</w:t>
            </w:r>
          </w:p>
        </w:tc>
        <w:tc>
          <w:tcPr>
            <w:tcW w:type="dxa" w:w="720"/>
            <w:shd w:val="clear" w:color="auto" w:fill="F5F7FA"/>
          </w:tcPr>
          <w:p>
            <w:pPr>
              <w:spacing w:before="60" w:after="60"/>
            </w:pPr>
            <w:r/>
            <w:r>
              <w:rPr>
                <w:b w:val="0"/>
                <w:sz w:val="20"/>
              </w:rPr>
              <w:t>0.25</w:t>
            </w:r>
          </w:p>
        </w:tc>
        <w:tc>
          <w:tcPr>
            <w:tcW w:type="dxa" w:w="1728"/>
            <w:shd w:val="clear" w:color="auto" w:fill="F5F7FA"/>
          </w:tcPr>
          <w:p>
            <w:pPr>
              <w:spacing w:before="60" w:after="60"/>
            </w:pPr>
            <w:r/>
            <w:r>
              <w:rPr>
                <w:b w:val="0"/>
                <w:sz w:val="20"/>
              </w:rPr>
              <w:t>This request</w:t>
            </w:r>
          </w:p>
        </w:tc>
        <w:tc>
          <w:tcPr>
            <w:tcW w:type="dxa" w:w="5040"/>
            <w:shd w:val="clear" w:color="auto" w:fill="F5F7FA"/>
          </w:tcPr>
          <w:p>
            <w:pPr>
              <w:spacing w:before="60" w:after="60"/>
            </w:pPr>
            <w:r/>
            <w:r>
              <w:rPr>
                <w:b w:val="0"/>
                <w:sz w:val="20"/>
              </w:rPr>
              <w:t>Workforce development background; supervised weekly by the Program Director; maintains the employer relationships</w:t>
            </w:r>
          </w:p>
        </w:tc>
      </w:tr>
      <w:tr>
        <w:tc>
          <w:tcPr>
            <w:tcW w:type="dxa" w:w="1872"/>
          </w:tcPr>
          <w:p>
            <w:pPr>
              <w:spacing w:before="60" w:after="60"/>
            </w:pPr>
            <w:r/>
            <w:r>
              <w:rPr>
                <w:b w:val="0"/>
                <w:sz w:val="20"/>
              </w:rPr>
              <w:t>Program Director</w:t>
            </w:r>
          </w:p>
        </w:tc>
        <w:tc>
          <w:tcPr>
            <w:tcW w:type="dxa" w:w="720"/>
          </w:tcPr>
          <w:p>
            <w:pPr>
              <w:spacing w:before="60" w:after="60"/>
            </w:pPr>
            <w:r/>
            <w:r>
              <w:rPr>
                <w:b w:val="0"/>
                <w:sz w:val="20"/>
              </w:rPr>
              <w:t>0.05</w:t>
            </w:r>
          </w:p>
        </w:tc>
        <w:tc>
          <w:tcPr>
            <w:tcW w:type="dxa" w:w="1728"/>
          </w:tcPr>
          <w:p>
            <w:pPr>
              <w:spacing w:before="60" w:after="60"/>
            </w:pPr>
            <w:r/>
            <w:r>
              <w:rPr>
                <w:b w:val="0"/>
                <w:sz w:val="20"/>
              </w:rPr>
              <w:t>Unrestricted funds</w:t>
            </w:r>
          </w:p>
        </w:tc>
        <w:tc>
          <w:tcPr>
            <w:tcW w:type="dxa" w:w="5040"/>
          </w:tcPr>
          <w:p>
            <w:pPr>
              <w:spacing w:before="60" w:after="60"/>
            </w:pPr>
            <w:r/>
            <w:r>
              <w:rPr>
                <w:b w:val="0"/>
                <w:sz w:val="20"/>
              </w:rPr>
              <w:t>Six years supervising veteran services; conducts weekly case review and the quarterly file audit</w:t>
            </w:r>
          </w:p>
        </w:tc>
      </w:tr>
      <w:tr>
        <w:tc>
          <w:tcPr>
            <w:tcW w:type="dxa" w:w="1872"/>
            <w:shd w:val="clear" w:color="auto" w:fill="F5F7FA"/>
          </w:tcPr>
          <w:p>
            <w:pPr>
              <w:spacing w:before="60" w:after="60"/>
            </w:pPr>
            <w:r/>
            <w:r>
              <w:rPr>
                <w:b w:val="0"/>
                <w:sz w:val="20"/>
              </w:rPr>
              <w:t>Clinical supervisor</w:t>
            </w:r>
          </w:p>
        </w:tc>
        <w:tc>
          <w:tcPr>
            <w:tcW w:type="dxa" w:w="720"/>
            <w:shd w:val="clear" w:color="auto" w:fill="F5F7FA"/>
          </w:tcPr>
          <w:p>
            <w:pPr>
              <w:spacing w:before="60" w:after="60"/>
            </w:pPr>
            <w:r/>
            <w:r>
              <w:rPr>
                <w:b w:val="0"/>
                <w:sz w:val="20"/>
              </w:rPr>
              <w:t>Contracted</w:t>
            </w:r>
          </w:p>
        </w:tc>
        <w:tc>
          <w:tcPr>
            <w:tcW w:type="dxa" w:w="1728"/>
            <w:shd w:val="clear" w:color="auto" w:fill="F5F7FA"/>
          </w:tcPr>
          <w:p>
            <w:pPr>
              <w:spacing w:before="60" w:after="60"/>
            </w:pPr>
            <w:r/>
            <w:r>
              <w:rPr>
                <w:b w:val="0"/>
                <w:sz w:val="20"/>
              </w:rPr>
              <w:t>This request (training and supervision line)</w:t>
            </w:r>
          </w:p>
        </w:tc>
        <w:tc>
          <w:tcPr>
            <w:tcW w:type="dxa" w:w="5040"/>
            <w:shd w:val="clear" w:color="auto" w:fill="F5F7FA"/>
          </w:tcPr>
          <w:p>
            <w:pPr>
              <w:spacing w:before="60" w:after="60"/>
            </w:pPr>
            <w:r/>
            <w:r>
              <w:rPr>
                <w:b w:val="0"/>
                <w:sz w:val="20"/>
              </w:rPr>
              <w:t>Licensed behavioral health clinician, 1.5 hours monthly plus on-call consultation for positive risk screens</w:t>
            </w:r>
          </w:p>
        </w:tc>
      </w:tr>
      <w:tr>
        <w:tc>
          <w:tcPr>
            <w:tcW w:type="dxa" w:w="1872"/>
          </w:tcPr>
          <w:p>
            <w:pPr>
              <w:spacing w:before="60" w:after="60"/>
            </w:pPr>
            <w:r/>
            <w:r>
              <w:rPr>
                <w:b w:val="0"/>
                <w:sz w:val="20"/>
              </w:rPr>
              <w:t>Volunteer drivers</w:t>
            </w:r>
          </w:p>
        </w:tc>
        <w:tc>
          <w:tcPr>
            <w:tcW w:type="dxa" w:w="720"/>
          </w:tcPr>
          <w:p>
            <w:pPr>
              <w:spacing w:before="60" w:after="60"/>
            </w:pPr>
            <w:r/>
            <w:r>
              <w:rPr>
                <w:b w:val="0"/>
                <w:sz w:val="20"/>
              </w:rPr>
              <w:t>31 volunteers</w:t>
            </w:r>
          </w:p>
        </w:tc>
        <w:tc>
          <w:tcPr>
            <w:tcW w:type="dxa" w:w="1728"/>
          </w:tcPr>
          <w:p>
            <w:pPr>
              <w:spacing w:before="60" w:after="60"/>
            </w:pPr>
            <w:r/>
            <w:r>
              <w:rPr>
                <w:b w:val="0"/>
                <w:sz w:val="20"/>
              </w:rPr>
              <w:t>In kind</w:t>
            </w:r>
          </w:p>
        </w:tc>
        <w:tc>
          <w:tcPr>
            <w:tcW w:type="dxa" w:w="5040"/>
          </w:tcPr>
          <w:p>
            <w:pPr>
              <w:spacing w:before="60" w:after="60"/>
            </w:pPr>
            <w:r/>
            <w:r>
              <w:rPr>
                <w:b w:val="0"/>
                <w:sz w:val="20"/>
              </w:rPr>
              <w:t>Background checked, insured, trained on confidentiality and boundaries</w:t>
            </w:r>
          </w:p>
        </w:tc>
      </w:tr>
    </w:tbl>
    <w:p>
      <w:pPr>
        <w:spacing w:after="40"/>
      </w:pPr>
    </w:p>
    <w:p>
      <w:r>
        <w:rPr>
          <w:b w:val="0"/>
          <w:i w:val="0"/>
        </w:rPr>
        <w:t>Peer certification is not optional in this design. Reviewers who have funded peer programs before look for a certification pathway, named supervision hours and a licensed clinician, and read their absence as a risk. The position description is attached.</w:t>
      </w:r>
    </w:p>
    <w:p>
      <w:pPr>
        <w:pStyle w:val="Heading2"/>
      </w:pPr>
      <w:r>
        <w:t>5.8 Twelve-month timeline</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1296"/>
            <w:shd w:val="clear" w:color="auto" w:fill="E8EDF3"/>
          </w:tcPr>
          <w:p>
            <w:pPr>
              <w:spacing w:before="60" w:after="60"/>
            </w:pPr>
            <w:r/>
            <w:r>
              <w:rPr>
                <w:b/>
                <w:color w:val="1F3B5C"/>
                <w:sz w:val="20"/>
              </w:rPr>
              <w:t>Months</w:t>
            </w:r>
          </w:p>
        </w:tc>
        <w:tc>
          <w:tcPr>
            <w:tcW w:type="dxa" w:w="8064"/>
            <w:shd w:val="clear" w:color="auto" w:fill="E8EDF3"/>
          </w:tcPr>
          <w:p>
            <w:pPr>
              <w:spacing w:before="60" w:after="60"/>
            </w:pPr>
            <w:r/>
            <w:r>
              <w:rPr>
                <w:b/>
                <w:color w:val="1F3B5C"/>
                <w:sz w:val="20"/>
              </w:rPr>
              <w:t>Milestone</w:t>
            </w:r>
          </w:p>
        </w:tc>
      </w:tr>
      <w:tr>
        <w:tc>
          <w:tcPr>
            <w:tcW w:type="dxa" w:w="1296"/>
          </w:tcPr>
          <w:p>
            <w:pPr>
              <w:spacing w:before="60" w:after="60"/>
            </w:pPr>
            <w:r/>
            <w:r>
              <w:rPr>
                <w:b w:val="0"/>
                <w:sz w:val="20"/>
              </w:rPr>
              <w:t>1</w:t>
            </w:r>
          </w:p>
        </w:tc>
        <w:tc>
          <w:tcPr>
            <w:tcW w:type="dxa" w:w="8064"/>
          </w:tcPr>
          <w:p>
            <w:pPr>
              <w:spacing w:before="60" w:after="60"/>
            </w:pPr>
            <w:r/>
            <w:r>
              <w:rPr>
                <w:b w:val="0"/>
                <w:sz w:val="20"/>
              </w:rPr>
              <w:t>Post and hire the peer support specialist and employment navigator; execute or renew partner agreements; confirm clinical supervision contract</w:t>
            </w:r>
          </w:p>
        </w:tc>
      </w:tr>
      <w:tr>
        <w:tc>
          <w:tcPr>
            <w:tcW w:type="dxa" w:w="1296"/>
            <w:shd w:val="clear" w:color="auto" w:fill="F5F7FA"/>
          </w:tcPr>
          <w:p>
            <w:pPr>
              <w:spacing w:before="60" w:after="60"/>
            </w:pPr>
            <w:r/>
            <w:r>
              <w:rPr>
                <w:b w:val="0"/>
                <w:sz w:val="20"/>
              </w:rPr>
              <w:t>1 to 2</w:t>
            </w:r>
          </w:p>
        </w:tc>
        <w:tc>
          <w:tcPr>
            <w:tcW w:type="dxa" w:w="8064"/>
            <w:shd w:val="clear" w:color="auto" w:fill="F5F7FA"/>
          </w:tcPr>
          <w:p>
            <w:pPr>
              <w:spacing w:before="60" w:after="60"/>
            </w:pPr>
            <w:r/>
            <w:r>
              <w:rPr>
                <w:b w:val="0"/>
                <w:sz w:val="20"/>
              </w:rPr>
              <w:t>Onboarding, gatekeeper suicide prevention training, case management system setup, evaluation baseline instruments finalized with the external evaluator</w:t>
            </w:r>
          </w:p>
        </w:tc>
      </w:tr>
      <w:tr>
        <w:tc>
          <w:tcPr>
            <w:tcW w:type="dxa" w:w="1296"/>
          </w:tcPr>
          <w:p>
            <w:pPr>
              <w:spacing w:before="60" w:after="60"/>
            </w:pPr>
            <w:r/>
            <w:r>
              <w:rPr>
                <w:b w:val="0"/>
                <w:sz w:val="20"/>
              </w:rPr>
              <w:t>2</w:t>
            </w:r>
          </w:p>
        </w:tc>
        <w:tc>
          <w:tcPr>
            <w:tcW w:type="dxa" w:w="8064"/>
          </w:tcPr>
          <w:p>
            <w:pPr>
              <w:spacing w:before="60" w:after="60"/>
            </w:pPr>
            <w:r/>
            <w:r>
              <w:rPr>
                <w:b w:val="0"/>
                <w:sz w:val="20"/>
              </w:rPr>
              <w:t>Outreach schedule live at the county veterans service office and both housing sites; first enrollments</w:t>
            </w:r>
          </w:p>
        </w:tc>
      </w:tr>
      <w:tr>
        <w:tc>
          <w:tcPr>
            <w:tcW w:type="dxa" w:w="1296"/>
            <w:shd w:val="clear" w:color="auto" w:fill="F5F7FA"/>
          </w:tcPr>
          <w:p>
            <w:pPr>
              <w:spacing w:before="60" w:after="60"/>
            </w:pPr>
            <w:r/>
            <w:r>
              <w:rPr>
                <w:b w:val="0"/>
                <w:sz w:val="20"/>
              </w:rPr>
              <w:t>2 to 10</w:t>
            </w:r>
          </w:p>
        </w:tc>
        <w:tc>
          <w:tcPr>
            <w:tcW w:type="dxa" w:w="8064"/>
            <w:shd w:val="clear" w:color="auto" w:fill="F5F7FA"/>
          </w:tcPr>
          <w:p>
            <w:pPr>
              <w:spacing w:before="60" w:after="60"/>
            </w:pPr>
            <w:r/>
            <w:r>
              <w:rPr>
                <w:b w:val="0"/>
                <w:sz w:val="20"/>
              </w:rPr>
              <w:t>Continuous enrollment, target 6 to 7 new veterans per month across nine months; 30-day service plan reviews; monthly data entry audit</w:t>
            </w:r>
          </w:p>
        </w:tc>
      </w:tr>
      <w:tr>
        <w:tc>
          <w:tcPr>
            <w:tcW w:type="dxa" w:w="1296"/>
          </w:tcPr>
          <w:p>
            <w:pPr>
              <w:spacing w:before="60" w:after="60"/>
            </w:pPr>
            <w:r/>
            <w:r>
              <w:rPr>
                <w:b w:val="0"/>
                <w:sz w:val="20"/>
              </w:rPr>
              <w:t>3</w:t>
            </w:r>
          </w:p>
        </w:tc>
        <w:tc>
          <w:tcPr>
            <w:tcW w:type="dxa" w:w="8064"/>
          </w:tcPr>
          <w:p>
            <w:pPr>
              <w:spacing w:before="60" w:after="60"/>
            </w:pPr>
            <w:r/>
            <w:r>
              <w:rPr>
                <w:b w:val="0"/>
                <w:sz w:val="20"/>
              </w:rPr>
              <w:t>First quarterly report to the funder; peer certification training begins</w:t>
            </w:r>
          </w:p>
        </w:tc>
      </w:tr>
      <w:tr>
        <w:tc>
          <w:tcPr>
            <w:tcW w:type="dxa" w:w="1296"/>
            <w:shd w:val="clear" w:color="auto" w:fill="F5F7FA"/>
          </w:tcPr>
          <w:p>
            <w:pPr>
              <w:spacing w:before="60" w:after="60"/>
            </w:pPr>
            <w:r/>
            <w:r>
              <w:rPr>
                <w:b w:val="0"/>
                <w:sz w:val="20"/>
              </w:rPr>
              <w:t>4</w:t>
            </w:r>
          </w:p>
        </w:tc>
        <w:tc>
          <w:tcPr>
            <w:tcW w:type="dxa" w:w="8064"/>
            <w:shd w:val="clear" w:color="auto" w:fill="F5F7FA"/>
          </w:tcPr>
          <w:p>
            <w:pPr>
              <w:spacing w:before="60" w:after="60"/>
            </w:pPr>
            <w:r/>
            <w:r>
              <w:rPr>
                <w:b w:val="0"/>
                <w:sz w:val="20"/>
              </w:rPr>
              <w:t>Employment track opens for the first cohort; employer commitments confirmed in writing</w:t>
            </w:r>
          </w:p>
        </w:tc>
      </w:tr>
      <w:tr>
        <w:tc>
          <w:tcPr>
            <w:tcW w:type="dxa" w:w="1296"/>
          </w:tcPr>
          <w:p>
            <w:pPr>
              <w:spacing w:before="60" w:after="60"/>
            </w:pPr>
            <w:r/>
            <w:r>
              <w:rPr>
                <w:b w:val="0"/>
                <w:sz w:val="20"/>
              </w:rPr>
              <w:t>6</w:t>
            </w:r>
          </w:p>
        </w:tc>
        <w:tc>
          <w:tcPr>
            <w:tcW w:type="dxa" w:w="8064"/>
          </w:tcPr>
          <w:p>
            <w:pPr>
              <w:spacing w:before="60" w:after="60"/>
            </w:pPr>
            <w:r/>
            <w:r>
              <w:rPr>
                <w:b w:val="0"/>
                <w:sz w:val="20"/>
              </w:rPr>
              <w:t>Mid-year external evaluator review; first 6-month housing retention checks</w:t>
            </w:r>
          </w:p>
        </w:tc>
      </w:tr>
      <w:tr>
        <w:tc>
          <w:tcPr>
            <w:tcW w:type="dxa" w:w="1296"/>
            <w:shd w:val="clear" w:color="auto" w:fill="F5F7FA"/>
          </w:tcPr>
          <w:p>
            <w:pPr>
              <w:spacing w:before="60" w:after="60"/>
            </w:pPr>
            <w:r/>
            <w:r>
              <w:rPr>
                <w:b w:val="0"/>
                <w:sz w:val="20"/>
              </w:rPr>
              <w:t>9</w:t>
            </w:r>
          </w:p>
        </w:tc>
        <w:tc>
          <w:tcPr>
            <w:tcW w:type="dxa" w:w="8064"/>
            <w:shd w:val="clear" w:color="auto" w:fill="F5F7FA"/>
          </w:tcPr>
          <w:p>
            <w:pPr>
              <w:spacing w:before="60" w:after="60"/>
            </w:pPr>
            <w:r/>
            <w:r>
              <w:rPr>
                <w:b w:val="0"/>
                <w:sz w:val="20"/>
              </w:rPr>
              <w:t>First closures at the nine-month enrollment limit; sustainability conversations with county and second funder</w:t>
            </w:r>
          </w:p>
        </w:tc>
      </w:tr>
      <w:tr>
        <w:tc>
          <w:tcPr>
            <w:tcW w:type="dxa" w:w="1296"/>
          </w:tcPr>
          <w:p>
            <w:pPr>
              <w:spacing w:before="60" w:after="60"/>
            </w:pPr>
            <w:r/>
            <w:r>
              <w:rPr>
                <w:b w:val="0"/>
                <w:sz w:val="20"/>
              </w:rPr>
              <w:t>10</w:t>
            </w:r>
          </w:p>
        </w:tc>
        <w:tc>
          <w:tcPr>
            <w:tcW w:type="dxa" w:w="8064"/>
          </w:tcPr>
          <w:p>
            <w:pPr>
              <w:spacing w:before="60" w:after="60"/>
            </w:pPr>
            <w:r/>
            <w:r>
              <w:rPr>
                <w:b w:val="0"/>
                <w:sz w:val="20"/>
              </w:rPr>
              <w:t>Enrollment closes at 60; 180-day employment retention checks begin</w:t>
            </w:r>
          </w:p>
        </w:tc>
      </w:tr>
      <w:tr>
        <w:tc>
          <w:tcPr>
            <w:tcW w:type="dxa" w:w="1296"/>
            <w:shd w:val="clear" w:color="auto" w:fill="F5F7FA"/>
          </w:tcPr>
          <w:p>
            <w:pPr>
              <w:spacing w:before="60" w:after="60"/>
            </w:pPr>
            <w:r/>
            <w:r>
              <w:rPr>
                <w:b w:val="0"/>
                <w:sz w:val="20"/>
              </w:rPr>
              <w:t>12</w:t>
            </w:r>
          </w:p>
        </w:tc>
        <w:tc>
          <w:tcPr>
            <w:tcW w:type="dxa" w:w="8064"/>
            <w:shd w:val="clear" w:color="auto" w:fill="F5F7FA"/>
          </w:tcPr>
          <w:p>
            <w:pPr>
              <w:spacing w:before="60" w:after="60"/>
            </w:pPr>
            <w:r/>
            <w:r>
              <w:rPr>
                <w:b w:val="0"/>
                <w:sz w:val="20"/>
              </w:rPr>
              <w:t>Final data collection, external evaluation report, final report to the funder, transition plan for veterans still enrolled</w:t>
            </w:r>
          </w:p>
        </w:tc>
      </w:tr>
    </w:tbl>
    <w:p>
      <w:pPr>
        <w:spacing w:after="40"/>
      </w:pPr>
    </w:p>
    <w:p>
      <w:r>
        <w:br w:type="page"/>
      </w:r>
    </w:p>
    <w:p>
      <w:pPr>
        <w:pStyle w:val="Heading1"/>
      </w:pPr>
      <w:r>
        <w:t>6. Goals, Objectives, and Outcome Targets</w:t>
      </w:r>
    </w:p>
    <w:p>
      <w:pPr>
        <w:pStyle w:val="Caption"/>
      </w:pPr>
      <w:r>
        <w:t>200 to 400 words plus the table. Every objective states a number and a date. Reviewers score 'improved well-being' as unmeasurable.</w:t>
      </w:r>
    </w:p>
    <w:p>
      <w:r>
        <w:rPr>
          <w:b w:val="0"/>
          <w:i w:val="0"/>
        </w:rPr>
        <w:t>The program has five goals. Each objective below names a target, a deadline expressed in program months, and the record the number comes from. Targets are set against our own historical conversion rates rather than against best case assumptions, and Section 7 explains what we do when a target is missed.</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016"/>
            <w:shd w:val="clear" w:color="auto" w:fill="E8EDF3"/>
          </w:tcPr>
          <w:p>
            <w:pPr>
              <w:spacing w:before="60" w:after="60"/>
            </w:pPr>
            <w:r/>
            <w:r>
              <w:rPr>
                <w:b/>
                <w:color w:val="1F3B5C"/>
                <w:sz w:val="20"/>
              </w:rPr>
              <w:t>Goal</w:t>
            </w:r>
          </w:p>
        </w:tc>
        <w:tc>
          <w:tcPr>
            <w:tcW w:type="dxa" w:w="3600"/>
            <w:shd w:val="clear" w:color="auto" w:fill="E8EDF3"/>
          </w:tcPr>
          <w:p>
            <w:pPr>
              <w:spacing w:before="60" w:after="60"/>
            </w:pPr>
            <w:r/>
            <w:r>
              <w:rPr>
                <w:b/>
                <w:color w:val="1F3B5C"/>
                <w:sz w:val="20"/>
              </w:rPr>
              <w:t>Objective</w:t>
            </w:r>
          </w:p>
        </w:tc>
        <w:tc>
          <w:tcPr>
            <w:tcW w:type="dxa" w:w="1584"/>
            <w:shd w:val="clear" w:color="auto" w:fill="E8EDF3"/>
          </w:tcPr>
          <w:p>
            <w:pPr>
              <w:spacing w:before="60" w:after="60"/>
            </w:pPr>
            <w:r/>
            <w:r>
              <w:rPr>
                <w:b/>
                <w:color w:val="1F3B5C"/>
                <w:sz w:val="20"/>
              </w:rPr>
              <w:t>Target</w:t>
            </w:r>
          </w:p>
        </w:tc>
        <w:tc>
          <w:tcPr>
            <w:tcW w:type="dxa" w:w="2160"/>
            <w:shd w:val="clear" w:color="auto" w:fill="E8EDF3"/>
          </w:tcPr>
          <w:p>
            <w:pPr>
              <w:spacing w:before="60" w:after="60"/>
            </w:pPr>
            <w:r/>
            <w:r>
              <w:rPr>
                <w:b/>
                <w:color w:val="1F3B5C"/>
                <w:sz w:val="20"/>
              </w:rPr>
              <w:t>Source of the number</w:t>
            </w:r>
          </w:p>
        </w:tc>
      </w:tr>
      <w:tr>
        <w:tc>
          <w:tcPr>
            <w:tcW w:type="dxa" w:w="2016"/>
          </w:tcPr>
          <w:p>
            <w:pPr>
              <w:spacing w:before="60" w:after="60"/>
            </w:pPr>
            <w:r/>
            <w:r>
              <w:rPr>
                <w:b w:val="0"/>
                <w:sz w:val="20"/>
              </w:rPr>
              <w:t>1. Reach veterans the VA does not reach</w:t>
            </w:r>
          </w:p>
        </w:tc>
        <w:tc>
          <w:tcPr>
            <w:tcW w:type="dxa" w:w="3600"/>
          </w:tcPr>
          <w:p>
            <w:pPr>
              <w:spacing w:before="60" w:after="60"/>
            </w:pPr>
            <w:r/>
            <w:r>
              <w:rPr>
                <w:b w:val="0"/>
                <w:sz w:val="20"/>
              </w:rPr>
              <w:t>1.1 Enroll veterans with a completed intake and verification status recorded</w:t>
            </w:r>
          </w:p>
        </w:tc>
        <w:tc>
          <w:tcPr>
            <w:tcW w:type="dxa" w:w="1584"/>
          </w:tcPr>
          <w:p>
            <w:pPr>
              <w:spacing w:before="60" w:after="60"/>
            </w:pPr>
            <w:r/>
            <w:r>
              <w:rPr>
                <w:b w:val="0"/>
                <w:sz w:val="20"/>
              </w:rPr>
              <w:t>60 by month 12</w:t>
            </w:r>
          </w:p>
        </w:tc>
        <w:tc>
          <w:tcPr>
            <w:tcW w:type="dxa" w:w="2160"/>
          </w:tcPr>
          <w:p>
            <w:pPr>
              <w:spacing w:before="60" w:after="60"/>
            </w:pPr>
            <w:r/>
            <w:r>
              <w:rPr>
                <w:b w:val="0"/>
                <w:sz w:val="20"/>
              </w:rPr>
              <w:t>Intake file review</w:t>
            </w:r>
          </w:p>
        </w:tc>
      </w:tr>
      <w:tr>
        <w:tc>
          <w:tcPr>
            <w:tcW w:type="dxa" w:w="2016"/>
            <w:shd w:val="clear" w:color="auto" w:fill="F5F7FA"/>
          </w:tcPr>
          <w:p>
            <w:pPr>
              <w:spacing w:before="60" w:after="60"/>
            </w:pPr>
            <w:r/>
            <w:r>
              <w:rPr>
                <w:b w:val="0"/>
                <w:sz w:val="20"/>
              </w:rPr>
            </w:r>
          </w:p>
        </w:tc>
        <w:tc>
          <w:tcPr>
            <w:tcW w:type="dxa" w:w="3600"/>
            <w:shd w:val="clear" w:color="auto" w:fill="F5F7FA"/>
          </w:tcPr>
          <w:p>
            <w:pPr>
              <w:spacing w:before="60" w:after="60"/>
            </w:pPr>
            <w:r/>
            <w:r>
              <w:rPr>
                <w:b w:val="0"/>
                <w:sz w:val="20"/>
              </w:rPr>
              <w:t>1.2 Complete a needs screen within five business days of referral</w:t>
            </w:r>
          </w:p>
        </w:tc>
        <w:tc>
          <w:tcPr>
            <w:tcW w:type="dxa" w:w="1584"/>
            <w:shd w:val="clear" w:color="auto" w:fill="F5F7FA"/>
          </w:tcPr>
          <w:p>
            <w:pPr>
              <w:spacing w:before="60" w:after="60"/>
            </w:pPr>
            <w:r/>
            <w:r>
              <w:rPr>
                <w:b w:val="0"/>
                <w:sz w:val="20"/>
              </w:rPr>
              <w:t>90 percent, 54 of 60</w:t>
            </w:r>
          </w:p>
        </w:tc>
        <w:tc>
          <w:tcPr>
            <w:tcW w:type="dxa" w:w="2160"/>
            <w:shd w:val="clear" w:color="auto" w:fill="F5F7FA"/>
          </w:tcPr>
          <w:p>
            <w:pPr>
              <w:spacing w:before="60" w:after="60"/>
            </w:pPr>
            <w:r/>
            <w:r>
              <w:rPr>
                <w:b w:val="0"/>
                <w:sz w:val="20"/>
              </w:rPr>
              <w:t>Case management timestamps</w:t>
            </w:r>
          </w:p>
        </w:tc>
      </w:tr>
      <w:tr>
        <w:tc>
          <w:tcPr>
            <w:tcW w:type="dxa" w:w="2016"/>
          </w:tcPr>
          <w:p>
            <w:pPr>
              <w:spacing w:before="60" w:after="60"/>
            </w:pPr>
            <w:r/>
            <w:r>
              <w:rPr>
                <w:b w:val="0"/>
                <w:sz w:val="20"/>
              </w:rPr>
            </w:r>
          </w:p>
        </w:tc>
        <w:tc>
          <w:tcPr>
            <w:tcW w:type="dxa" w:w="3600"/>
          </w:tcPr>
          <w:p>
            <w:pPr>
              <w:spacing w:before="60" w:after="60"/>
            </w:pPr>
            <w:r/>
            <w:r>
              <w:rPr>
                <w:b w:val="0"/>
                <w:sz w:val="20"/>
              </w:rPr>
              <w:t>1.3 Complete warm handoffs to VA care, community care, or an accredited representative, confirmed as seen</w:t>
            </w:r>
          </w:p>
        </w:tc>
        <w:tc>
          <w:tcPr>
            <w:tcW w:type="dxa" w:w="1584"/>
          </w:tcPr>
          <w:p>
            <w:pPr>
              <w:spacing w:before="60" w:after="60"/>
            </w:pPr>
            <w:r/>
            <w:r>
              <w:rPr>
                <w:b w:val="0"/>
                <w:sz w:val="20"/>
              </w:rPr>
              <w:t>45 by month 12</w:t>
            </w:r>
          </w:p>
        </w:tc>
        <w:tc>
          <w:tcPr>
            <w:tcW w:type="dxa" w:w="2160"/>
          </w:tcPr>
          <w:p>
            <w:pPr>
              <w:spacing w:before="60" w:after="60"/>
            </w:pPr>
            <w:r/>
            <w:r>
              <w:rPr>
                <w:b w:val="0"/>
                <w:sz w:val="20"/>
              </w:rPr>
              <w:t>Referral tracking log</w:t>
            </w:r>
          </w:p>
        </w:tc>
      </w:tr>
      <w:tr>
        <w:tc>
          <w:tcPr>
            <w:tcW w:type="dxa" w:w="2016"/>
            <w:shd w:val="clear" w:color="auto" w:fill="F5F7FA"/>
          </w:tcPr>
          <w:p>
            <w:pPr>
              <w:spacing w:before="60" w:after="60"/>
            </w:pPr>
            <w:r/>
            <w:r>
              <w:rPr>
                <w:b w:val="0"/>
                <w:sz w:val="20"/>
              </w:rPr>
              <w:t>2. Move veterans into work</w:t>
            </w:r>
          </w:p>
        </w:tc>
        <w:tc>
          <w:tcPr>
            <w:tcW w:type="dxa" w:w="3600"/>
            <w:shd w:val="clear" w:color="auto" w:fill="F5F7FA"/>
          </w:tcPr>
          <w:p>
            <w:pPr>
              <w:spacing w:before="60" w:after="60"/>
            </w:pPr>
            <w:r/>
            <w:r>
              <w:rPr>
                <w:b w:val="0"/>
                <w:sz w:val="20"/>
              </w:rPr>
              <w:t>2.1 Enroll veterans in the employment track</w:t>
            </w:r>
          </w:p>
        </w:tc>
        <w:tc>
          <w:tcPr>
            <w:tcW w:type="dxa" w:w="1584"/>
            <w:shd w:val="clear" w:color="auto" w:fill="F5F7FA"/>
          </w:tcPr>
          <w:p>
            <w:pPr>
              <w:spacing w:before="60" w:after="60"/>
            </w:pPr>
            <w:r/>
            <w:r>
              <w:rPr>
                <w:b w:val="0"/>
                <w:sz w:val="20"/>
              </w:rPr>
              <w:t>24 by month 10</w:t>
            </w:r>
          </w:p>
        </w:tc>
        <w:tc>
          <w:tcPr>
            <w:tcW w:type="dxa" w:w="2160"/>
            <w:shd w:val="clear" w:color="auto" w:fill="F5F7FA"/>
          </w:tcPr>
          <w:p>
            <w:pPr>
              <w:spacing w:before="60" w:after="60"/>
            </w:pPr>
            <w:r/>
            <w:r>
              <w:rPr>
                <w:b w:val="0"/>
                <w:sz w:val="20"/>
              </w:rPr>
              <w:t>Employment plan on file</w:t>
            </w:r>
          </w:p>
        </w:tc>
      </w:tr>
      <w:tr>
        <w:tc>
          <w:tcPr>
            <w:tcW w:type="dxa" w:w="2016"/>
          </w:tcPr>
          <w:p>
            <w:pPr>
              <w:spacing w:before="60" w:after="60"/>
            </w:pPr>
            <w:r/>
            <w:r>
              <w:rPr>
                <w:b w:val="0"/>
                <w:sz w:val="20"/>
              </w:rPr>
            </w:r>
          </w:p>
        </w:tc>
        <w:tc>
          <w:tcPr>
            <w:tcW w:type="dxa" w:w="3600"/>
          </w:tcPr>
          <w:p>
            <w:pPr>
              <w:spacing w:before="60" w:after="60"/>
            </w:pPr>
            <w:r/>
            <w:r>
              <w:rPr>
                <w:b w:val="0"/>
                <w:sz w:val="20"/>
              </w:rPr>
              <w:t>2.2 Place veterans in employment</w:t>
            </w:r>
          </w:p>
        </w:tc>
        <w:tc>
          <w:tcPr>
            <w:tcW w:type="dxa" w:w="1584"/>
          </w:tcPr>
          <w:p>
            <w:pPr>
              <w:spacing w:before="60" w:after="60"/>
            </w:pPr>
            <w:r/>
            <w:r>
              <w:rPr>
                <w:b w:val="0"/>
                <w:sz w:val="20"/>
              </w:rPr>
              <w:t>18 by month 12</w:t>
            </w:r>
          </w:p>
        </w:tc>
        <w:tc>
          <w:tcPr>
            <w:tcW w:type="dxa" w:w="2160"/>
          </w:tcPr>
          <w:p>
            <w:pPr>
              <w:spacing w:before="60" w:after="60"/>
            </w:pPr>
            <w:r/>
            <w:r>
              <w:rPr>
                <w:b w:val="0"/>
                <w:sz w:val="20"/>
              </w:rPr>
              <w:t>Employer or payroll confirmation</w:t>
            </w:r>
          </w:p>
        </w:tc>
      </w:tr>
      <w:tr>
        <w:tc>
          <w:tcPr>
            <w:tcW w:type="dxa" w:w="2016"/>
            <w:shd w:val="clear" w:color="auto" w:fill="F5F7FA"/>
          </w:tcPr>
          <w:p>
            <w:pPr>
              <w:spacing w:before="60" w:after="60"/>
            </w:pPr>
            <w:r/>
            <w:r>
              <w:rPr>
                <w:b w:val="0"/>
                <w:sz w:val="20"/>
              </w:rPr>
            </w:r>
          </w:p>
        </w:tc>
        <w:tc>
          <w:tcPr>
            <w:tcW w:type="dxa" w:w="3600"/>
            <w:shd w:val="clear" w:color="auto" w:fill="F5F7FA"/>
          </w:tcPr>
          <w:p>
            <w:pPr>
              <w:spacing w:before="60" w:after="60"/>
            </w:pPr>
            <w:r/>
            <w:r>
              <w:rPr>
                <w:b w:val="0"/>
                <w:sz w:val="20"/>
              </w:rPr>
              <w:t>2.3 Retain placed veterans in employment at 180 days</w:t>
            </w:r>
          </w:p>
        </w:tc>
        <w:tc>
          <w:tcPr>
            <w:tcW w:type="dxa" w:w="1584"/>
            <w:shd w:val="clear" w:color="auto" w:fill="F5F7FA"/>
          </w:tcPr>
          <w:p>
            <w:pPr>
              <w:spacing w:before="60" w:after="60"/>
            </w:pPr>
            <w:r/>
            <w:r>
              <w:rPr>
                <w:b w:val="0"/>
                <w:sz w:val="20"/>
              </w:rPr>
              <w:t>At least 13 of 18, 70 percent</w:t>
            </w:r>
          </w:p>
        </w:tc>
        <w:tc>
          <w:tcPr>
            <w:tcW w:type="dxa" w:w="2160"/>
            <w:shd w:val="clear" w:color="auto" w:fill="F5F7FA"/>
          </w:tcPr>
          <w:p>
            <w:pPr>
              <w:spacing w:before="60" w:after="60"/>
            </w:pPr>
            <w:r/>
            <w:r>
              <w:rPr>
                <w:b w:val="0"/>
                <w:sz w:val="20"/>
              </w:rPr>
              <w:t>Follow-up contact and employer confirmation</w:t>
            </w:r>
          </w:p>
        </w:tc>
      </w:tr>
      <w:tr>
        <w:tc>
          <w:tcPr>
            <w:tcW w:type="dxa" w:w="2016"/>
          </w:tcPr>
          <w:p>
            <w:pPr>
              <w:spacing w:before="60" w:after="60"/>
            </w:pPr>
            <w:r/>
            <w:r>
              <w:rPr>
                <w:b w:val="0"/>
                <w:sz w:val="20"/>
              </w:rPr>
              <w:t>3. Hold housing</w:t>
            </w:r>
          </w:p>
        </w:tc>
        <w:tc>
          <w:tcPr>
            <w:tcW w:type="dxa" w:w="3600"/>
          </w:tcPr>
          <w:p>
            <w:pPr>
              <w:spacing w:before="60" w:after="60"/>
            </w:pPr>
            <w:r/>
            <w:r>
              <w:rPr>
                <w:b w:val="0"/>
                <w:sz w:val="20"/>
              </w:rPr>
              <w:t>3.1 Veterans housed at intake still housed at 6 months</w:t>
            </w:r>
          </w:p>
        </w:tc>
        <w:tc>
          <w:tcPr>
            <w:tcW w:type="dxa" w:w="1584"/>
          </w:tcPr>
          <w:p>
            <w:pPr>
              <w:spacing w:before="60" w:after="60"/>
            </w:pPr>
            <w:r/>
            <w:r>
              <w:rPr>
                <w:b w:val="0"/>
                <w:sz w:val="20"/>
              </w:rPr>
              <w:t>85 percent</w:t>
            </w:r>
          </w:p>
        </w:tc>
        <w:tc>
          <w:tcPr>
            <w:tcW w:type="dxa" w:w="2160"/>
          </w:tcPr>
          <w:p>
            <w:pPr>
              <w:spacing w:before="60" w:after="60"/>
            </w:pPr>
            <w:r/>
            <w:r>
              <w:rPr>
                <w:b w:val="0"/>
                <w:sz w:val="20"/>
              </w:rPr>
              <w:t>Case records and follow-up contact</w:t>
            </w:r>
          </w:p>
        </w:tc>
      </w:tr>
      <w:tr>
        <w:tc>
          <w:tcPr>
            <w:tcW w:type="dxa" w:w="2016"/>
            <w:shd w:val="clear" w:color="auto" w:fill="F5F7FA"/>
          </w:tcPr>
          <w:p>
            <w:pPr>
              <w:spacing w:before="60" w:after="60"/>
            </w:pPr>
            <w:r/>
            <w:r>
              <w:rPr>
                <w:b w:val="0"/>
                <w:sz w:val="20"/>
              </w:rPr>
            </w:r>
          </w:p>
        </w:tc>
        <w:tc>
          <w:tcPr>
            <w:tcW w:type="dxa" w:w="3600"/>
            <w:shd w:val="clear" w:color="auto" w:fill="F5F7FA"/>
          </w:tcPr>
          <w:p>
            <w:pPr>
              <w:spacing w:before="60" w:after="60"/>
            </w:pPr>
            <w:r/>
            <w:r>
              <w:rPr>
                <w:b w:val="0"/>
                <w:sz w:val="20"/>
              </w:rPr>
              <w:t>3.2 Veterans receiving rent arrears assistance who remain housed at 6 months</w:t>
            </w:r>
          </w:p>
        </w:tc>
        <w:tc>
          <w:tcPr>
            <w:tcW w:type="dxa" w:w="1584"/>
            <w:shd w:val="clear" w:color="auto" w:fill="F5F7FA"/>
          </w:tcPr>
          <w:p>
            <w:pPr>
              <w:spacing w:before="60" w:after="60"/>
            </w:pPr>
            <w:r/>
            <w:r>
              <w:rPr>
                <w:b w:val="0"/>
                <w:sz w:val="20"/>
              </w:rPr>
              <w:t>10 of 12</w:t>
            </w:r>
          </w:p>
        </w:tc>
        <w:tc>
          <w:tcPr>
            <w:tcW w:type="dxa" w:w="2160"/>
            <w:shd w:val="clear" w:color="auto" w:fill="F5F7FA"/>
          </w:tcPr>
          <w:p>
            <w:pPr>
              <w:spacing w:before="60" w:after="60"/>
            </w:pPr>
            <w:r/>
            <w:r>
              <w:rPr>
                <w:b w:val="0"/>
                <w:sz w:val="20"/>
              </w:rPr>
              <w:t>Assistance fund ledger and follow-up</w:t>
            </w:r>
          </w:p>
        </w:tc>
      </w:tr>
      <w:tr>
        <w:tc>
          <w:tcPr>
            <w:tcW w:type="dxa" w:w="2016"/>
          </w:tcPr>
          <w:p>
            <w:pPr>
              <w:spacing w:before="60" w:after="60"/>
            </w:pPr>
            <w:r/>
            <w:r>
              <w:rPr>
                <w:b w:val="0"/>
                <w:sz w:val="20"/>
              </w:rPr>
              <w:t>4. Connect benefits</w:t>
            </w:r>
          </w:p>
        </w:tc>
        <w:tc>
          <w:tcPr>
            <w:tcW w:type="dxa" w:w="3600"/>
          </w:tcPr>
          <w:p>
            <w:pPr>
              <w:spacing w:before="60" w:after="60"/>
            </w:pPr>
            <w:r/>
            <w:r>
              <w:rPr>
                <w:b w:val="0"/>
                <w:sz w:val="20"/>
              </w:rPr>
              <w:t>4.1 Refer veterans to the county veterans service officer or an accredited representative</w:t>
            </w:r>
          </w:p>
        </w:tc>
        <w:tc>
          <w:tcPr>
            <w:tcW w:type="dxa" w:w="1584"/>
          </w:tcPr>
          <w:p>
            <w:pPr>
              <w:spacing w:before="60" w:after="60"/>
            </w:pPr>
            <w:r/>
            <w:r>
              <w:rPr>
                <w:b w:val="0"/>
                <w:sz w:val="20"/>
              </w:rPr>
              <w:t>30 by month 12</w:t>
            </w:r>
          </w:p>
        </w:tc>
        <w:tc>
          <w:tcPr>
            <w:tcW w:type="dxa" w:w="2160"/>
          </w:tcPr>
          <w:p>
            <w:pPr>
              <w:spacing w:before="60" w:after="60"/>
            </w:pPr>
            <w:r/>
            <w:r>
              <w:rPr>
                <w:b w:val="0"/>
                <w:sz w:val="20"/>
              </w:rPr>
              <w:t>Referral tracking log</w:t>
            </w:r>
          </w:p>
        </w:tc>
      </w:tr>
      <w:tr>
        <w:tc>
          <w:tcPr>
            <w:tcW w:type="dxa" w:w="2016"/>
            <w:shd w:val="clear" w:color="auto" w:fill="F5F7FA"/>
          </w:tcPr>
          <w:p>
            <w:pPr>
              <w:spacing w:before="60" w:after="60"/>
            </w:pPr>
            <w:r/>
            <w:r>
              <w:rPr>
                <w:b w:val="0"/>
                <w:sz w:val="20"/>
              </w:rPr>
            </w:r>
          </w:p>
        </w:tc>
        <w:tc>
          <w:tcPr>
            <w:tcW w:type="dxa" w:w="3600"/>
            <w:shd w:val="clear" w:color="auto" w:fill="F5F7FA"/>
          </w:tcPr>
          <w:p>
            <w:pPr>
              <w:spacing w:before="60" w:after="60"/>
            </w:pPr>
            <w:r/>
            <w:r>
              <w:rPr>
                <w:b w:val="0"/>
                <w:sz w:val="20"/>
              </w:rPr>
              <w:t>4.2 Claims filed by those veterans</w:t>
            </w:r>
          </w:p>
        </w:tc>
        <w:tc>
          <w:tcPr>
            <w:tcW w:type="dxa" w:w="1584"/>
            <w:shd w:val="clear" w:color="auto" w:fill="F5F7FA"/>
          </w:tcPr>
          <w:p>
            <w:pPr>
              <w:spacing w:before="60" w:after="60"/>
            </w:pPr>
            <w:r/>
            <w:r>
              <w:rPr>
                <w:b w:val="0"/>
                <w:sz w:val="20"/>
              </w:rPr>
              <w:t>20 by month 12</w:t>
            </w:r>
          </w:p>
        </w:tc>
        <w:tc>
          <w:tcPr>
            <w:tcW w:type="dxa" w:w="2160"/>
            <w:shd w:val="clear" w:color="auto" w:fill="F5F7FA"/>
          </w:tcPr>
          <w:p>
            <w:pPr>
              <w:spacing w:before="60" w:after="60"/>
            </w:pPr>
            <w:r/>
            <w:r>
              <w:rPr>
                <w:b w:val="0"/>
                <w:sz w:val="20"/>
              </w:rPr>
              <w:t>Case notes, confirmed with the veteran</w:t>
            </w:r>
          </w:p>
        </w:tc>
      </w:tr>
      <w:tr>
        <w:tc>
          <w:tcPr>
            <w:tcW w:type="dxa" w:w="2016"/>
          </w:tcPr>
          <w:p>
            <w:pPr>
              <w:spacing w:before="60" w:after="60"/>
            </w:pPr>
            <w:r/>
            <w:r>
              <w:rPr>
                <w:b w:val="0"/>
                <w:sz w:val="20"/>
              </w:rPr>
            </w:r>
          </w:p>
        </w:tc>
        <w:tc>
          <w:tcPr>
            <w:tcW w:type="dxa" w:w="3600"/>
          </w:tcPr>
          <w:p>
            <w:pPr>
              <w:spacing w:before="60" w:after="60"/>
            </w:pPr>
            <w:r/>
            <w:r>
              <w:rPr>
                <w:b w:val="0"/>
                <w:sz w:val="20"/>
              </w:rPr>
              <w:t>4.3 Claims awarded</w:t>
            </w:r>
          </w:p>
        </w:tc>
        <w:tc>
          <w:tcPr>
            <w:tcW w:type="dxa" w:w="1584"/>
          </w:tcPr>
          <w:p>
            <w:pPr>
              <w:spacing w:before="60" w:after="60"/>
            </w:pPr>
            <w:r/>
            <w:r>
              <w:rPr>
                <w:b w:val="0"/>
                <w:sz w:val="20"/>
              </w:rPr>
              <w:t>Reported without a target</w:t>
            </w:r>
          </w:p>
        </w:tc>
        <w:tc>
          <w:tcPr>
            <w:tcW w:type="dxa" w:w="2160"/>
          </w:tcPr>
          <w:p>
            <w:pPr>
              <w:spacing w:before="60" w:after="60"/>
            </w:pPr>
            <w:r/>
            <w:r>
              <w:rPr>
                <w:b w:val="0"/>
                <w:sz w:val="20"/>
              </w:rPr>
              <w:t>Award letters shared by the veteran</w:t>
            </w:r>
          </w:p>
        </w:tc>
      </w:tr>
      <w:tr>
        <w:tc>
          <w:tcPr>
            <w:tcW w:type="dxa" w:w="2016"/>
            <w:shd w:val="clear" w:color="auto" w:fill="F5F7FA"/>
          </w:tcPr>
          <w:p>
            <w:pPr>
              <w:spacing w:before="60" w:after="60"/>
            </w:pPr>
            <w:r/>
            <w:r>
              <w:rPr>
                <w:b w:val="0"/>
                <w:sz w:val="20"/>
              </w:rPr>
              <w:t>5. Improve measured well-being</w:t>
            </w:r>
          </w:p>
        </w:tc>
        <w:tc>
          <w:tcPr>
            <w:tcW w:type="dxa" w:w="3600"/>
            <w:shd w:val="clear" w:color="auto" w:fill="F5F7FA"/>
          </w:tcPr>
          <w:p>
            <w:pPr>
              <w:spacing w:before="60" w:after="60"/>
            </w:pPr>
            <w:r/>
            <w:r>
              <w:rPr>
                <w:b w:val="0"/>
                <w:sz w:val="20"/>
              </w:rPr>
              <w:t>5.1 Veterans completing both screens who show a reduction of 5 or more points on the PHQ-9 at 90 days</w:t>
            </w:r>
          </w:p>
        </w:tc>
        <w:tc>
          <w:tcPr>
            <w:tcW w:type="dxa" w:w="1584"/>
            <w:shd w:val="clear" w:color="auto" w:fill="F5F7FA"/>
          </w:tcPr>
          <w:p>
            <w:pPr>
              <w:spacing w:before="60" w:after="60"/>
            </w:pPr>
            <w:r/>
            <w:r>
              <w:rPr>
                <w:b w:val="0"/>
                <w:sz w:val="20"/>
              </w:rPr>
              <w:t>60 percent of completers</w:t>
            </w:r>
          </w:p>
        </w:tc>
        <w:tc>
          <w:tcPr>
            <w:tcW w:type="dxa" w:w="2160"/>
            <w:shd w:val="clear" w:color="auto" w:fill="F5F7FA"/>
          </w:tcPr>
          <w:p>
            <w:pPr>
              <w:spacing w:before="60" w:after="60"/>
            </w:pPr>
            <w:r/>
            <w:r>
              <w:rPr>
                <w:b w:val="0"/>
                <w:sz w:val="20"/>
              </w:rPr>
              <w:t>PHQ-9 at intake and 90 days</w:t>
            </w:r>
          </w:p>
        </w:tc>
      </w:tr>
    </w:tbl>
    <w:p>
      <w:pPr>
        <w:spacing w:after="40"/>
      </w:pPr>
    </w:p>
    <w:p>
      <w:r>
        <w:rPr>
          <w:b w:val="0"/>
          <w:i w:val="0"/>
        </w:rPr>
        <w:t>Objective 4.3 carries no target on purpose. Whether a claim is awarded, and when, is decided by an agency we do not control and on a timeline that routinely exceeds a grant year. Promising an award rate would be promising something we cannot deliver, and a reviewer who knows the sector will read it as inexperience.</w:t>
      </w:r>
    </w:p>
    <w:p>
      <w:pPr>
        <w:pStyle w:val="Heading1"/>
      </w:pPr>
      <w:r>
        <w:t>7. Evaluation Plan</w:t>
      </w:r>
    </w:p>
    <w:p>
      <w:pPr>
        <w:pStyle w:val="Caption"/>
      </w:pPr>
      <w:r>
        <w:t>400 to 700 words. Name the instrument, the collection point, and the person responsible for each measure. A measure without a collection method is an aspiration.</w:t>
      </w:r>
    </w:p>
    <w:p>
      <w:pPr>
        <w:pStyle w:val="Heading2"/>
      </w:pPr>
      <w:r>
        <w:t>7.1 Measures, methods and reporting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304"/>
            <w:shd w:val="clear" w:color="auto" w:fill="E8EDF3"/>
          </w:tcPr>
          <w:p>
            <w:pPr>
              <w:spacing w:before="60" w:after="60"/>
            </w:pPr>
            <w:r/>
            <w:r>
              <w:rPr>
                <w:b/>
                <w:color w:val="1F3B5C"/>
                <w:sz w:val="20"/>
              </w:rPr>
              <w:t>Measure</w:t>
            </w:r>
          </w:p>
        </w:tc>
        <w:tc>
          <w:tcPr>
            <w:tcW w:type="dxa" w:w="3168"/>
            <w:shd w:val="clear" w:color="auto" w:fill="E8EDF3"/>
          </w:tcPr>
          <w:p>
            <w:pPr>
              <w:spacing w:before="60" w:after="60"/>
            </w:pPr>
            <w:r/>
            <w:r>
              <w:rPr>
                <w:b/>
                <w:color w:val="1F3B5C"/>
                <w:sz w:val="20"/>
              </w:rPr>
              <w:t>How it is collected</w:t>
            </w:r>
          </w:p>
        </w:tc>
        <w:tc>
          <w:tcPr>
            <w:tcW w:type="dxa" w:w="2304"/>
            <w:shd w:val="clear" w:color="auto" w:fill="E8EDF3"/>
          </w:tcPr>
          <w:p>
            <w:pPr>
              <w:spacing w:before="60" w:after="60"/>
            </w:pPr>
            <w:r/>
            <w:r>
              <w:rPr>
                <w:b/>
                <w:color w:val="1F3B5C"/>
                <w:sz w:val="20"/>
              </w:rPr>
              <w:t>Who collects it</w:t>
            </w:r>
          </w:p>
        </w:tc>
        <w:tc>
          <w:tcPr>
            <w:tcW w:type="dxa" w:w="1584"/>
            <w:shd w:val="clear" w:color="auto" w:fill="E8EDF3"/>
          </w:tcPr>
          <w:p>
            <w:pPr>
              <w:spacing w:before="60" w:after="60"/>
            </w:pPr>
            <w:r/>
            <w:r>
              <w:rPr>
                <w:b/>
                <w:color w:val="1F3B5C"/>
                <w:sz w:val="20"/>
              </w:rPr>
              <w:t>Reported</w:t>
            </w:r>
          </w:p>
        </w:tc>
      </w:tr>
      <w:tr>
        <w:tc>
          <w:tcPr>
            <w:tcW w:type="dxa" w:w="2304"/>
          </w:tcPr>
          <w:p>
            <w:pPr>
              <w:spacing w:before="60" w:after="60"/>
            </w:pPr>
            <w:r/>
            <w:r>
              <w:rPr>
                <w:b w:val="0"/>
                <w:sz w:val="20"/>
              </w:rPr>
              <w:t>Veterans enrolled with verified status</w:t>
            </w:r>
          </w:p>
        </w:tc>
        <w:tc>
          <w:tcPr>
            <w:tcW w:type="dxa" w:w="3168"/>
          </w:tcPr>
          <w:p>
            <w:pPr>
              <w:spacing w:before="60" w:after="60"/>
            </w:pPr>
            <w:r/>
            <w:r>
              <w:rPr>
                <w:b w:val="0"/>
                <w:sz w:val="20"/>
              </w:rPr>
              <w:t>Intake file review against the verification log</w:t>
            </w:r>
          </w:p>
        </w:tc>
        <w:tc>
          <w:tcPr>
            <w:tcW w:type="dxa" w:w="2304"/>
          </w:tcPr>
          <w:p>
            <w:pPr>
              <w:spacing w:before="60" w:after="60"/>
            </w:pPr>
            <w:r/>
            <w:r>
              <w:rPr>
                <w:b w:val="0"/>
                <w:sz w:val="20"/>
              </w:rPr>
              <w:t>Program Director</w:t>
            </w:r>
          </w:p>
        </w:tc>
        <w:tc>
          <w:tcPr>
            <w:tcW w:type="dxa" w:w="1584"/>
          </w:tcPr>
          <w:p>
            <w:pPr>
              <w:spacing w:before="60" w:after="60"/>
            </w:pPr>
            <w:r/>
            <w:r>
              <w:rPr>
                <w:b w:val="0"/>
                <w:sz w:val="20"/>
              </w:rPr>
              <w:t>Quarterly</w:t>
            </w:r>
          </w:p>
        </w:tc>
      </w:tr>
      <w:tr>
        <w:tc>
          <w:tcPr>
            <w:tcW w:type="dxa" w:w="2304"/>
            <w:shd w:val="clear" w:color="auto" w:fill="F5F7FA"/>
          </w:tcPr>
          <w:p>
            <w:pPr>
              <w:spacing w:before="60" w:after="60"/>
            </w:pPr>
            <w:r/>
            <w:r>
              <w:rPr>
                <w:b w:val="0"/>
                <w:sz w:val="20"/>
              </w:rPr>
              <w:t>Needs screen completed within five business days of referral</w:t>
            </w:r>
          </w:p>
        </w:tc>
        <w:tc>
          <w:tcPr>
            <w:tcW w:type="dxa" w:w="3168"/>
            <w:shd w:val="clear" w:color="auto" w:fill="F5F7FA"/>
          </w:tcPr>
          <w:p>
            <w:pPr>
              <w:spacing w:before="60" w:after="60"/>
            </w:pPr>
            <w:r/>
            <w:r>
              <w:rPr>
                <w:b w:val="0"/>
                <w:sz w:val="20"/>
              </w:rPr>
              <w:t>Case management system timestamps</w:t>
            </w:r>
          </w:p>
        </w:tc>
        <w:tc>
          <w:tcPr>
            <w:tcW w:type="dxa" w:w="2304"/>
            <w:shd w:val="clear" w:color="auto" w:fill="F5F7FA"/>
          </w:tcPr>
          <w:p>
            <w:pPr>
              <w:spacing w:before="60" w:after="60"/>
            </w:pPr>
            <w:r/>
            <w:r>
              <w:rPr>
                <w:b w:val="0"/>
                <w:sz w:val="20"/>
              </w:rPr>
              <w:t>Peer specialist, audited by Program Director</w:t>
            </w:r>
          </w:p>
        </w:tc>
        <w:tc>
          <w:tcPr>
            <w:tcW w:type="dxa" w:w="1584"/>
            <w:shd w:val="clear" w:color="auto" w:fill="F5F7FA"/>
          </w:tcPr>
          <w:p>
            <w:pPr>
              <w:spacing w:before="60" w:after="60"/>
            </w:pPr>
            <w:r/>
            <w:r>
              <w:rPr>
                <w:b w:val="0"/>
                <w:sz w:val="20"/>
              </w:rPr>
              <w:t>Quarterly</w:t>
            </w:r>
          </w:p>
        </w:tc>
      </w:tr>
      <w:tr>
        <w:tc>
          <w:tcPr>
            <w:tcW w:type="dxa" w:w="2304"/>
          </w:tcPr>
          <w:p>
            <w:pPr>
              <w:spacing w:before="60" w:after="60"/>
            </w:pPr>
            <w:r/>
            <w:r>
              <w:rPr>
                <w:b w:val="0"/>
                <w:sz w:val="20"/>
              </w:rPr>
              <w:t>Completed warm handoffs</w:t>
            </w:r>
          </w:p>
        </w:tc>
        <w:tc>
          <w:tcPr>
            <w:tcW w:type="dxa" w:w="3168"/>
          </w:tcPr>
          <w:p>
            <w:pPr>
              <w:spacing w:before="60" w:after="60"/>
            </w:pPr>
            <w:r/>
            <w:r>
              <w:rPr>
                <w:b w:val="0"/>
                <w:sz w:val="20"/>
              </w:rPr>
              <w:t>Referral tracking log, confirmed with the receiving organization</w:t>
            </w:r>
          </w:p>
        </w:tc>
        <w:tc>
          <w:tcPr>
            <w:tcW w:type="dxa" w:w="2304"/>
          </w:tcPr>
          <w:p>
            <w:pPr>
              <w:spacing w:before="60" w:after="60"/>
            </w:pPr>
            <w:r/>
            <w:r>
              <w:rPr>
                <w:b w:val="0"/>
                <w:sz w:val="20"/>
              </w:rPr>
              <w:t>Peer specialist</w:t>
            </w:r>
          </w:p>
        </w:tc>
        <w:tc>
          <w:tcPr>
            <w:tcW w:type="dxa" w:w="1584"/>
          </w:tcPr>
          <w:p>
            <w:pPr>
              <w:spacing w:before="60" w:after="60"/>
            </w:pPr>
            <w:r/>
            <w:r>
              <w:rPr>
                <w:b w:val="0"/>
                <w:sz w:val="20"/>
              </w:rPr>
              <w:t>Quarterly</w:t>
            </w:r>
          </w:p>
        </w:tc>
      </w:tr>
      <w:tr>
        <w:tc>
          <w:tcPr>
            <w:tcW w:type="dxa" w:w="2304"/>
            <w:shd w:val="clear" w:color="auto" w:fill="F5F7FA"/>
          </w:tcPr>
          <w:p>
            <w:pPr>
              <w:spacing w:before="60" w:after="60"/>
            </w:pPr>
            <w:r/>
            <w:r>
              <w:rPr>
                <w:b w:val="0"/>
                <w:sz w:val="20"/>
              </w:rPr>
              <w:t>Housing retention at 6 and 12 months</w:t>
            </w:r>
          </w:p>
        </w:tc>
        <w:tc>
          <w:tcPr>
            <w:tcW w:type="dxa" w:w="3168"/>
            <w:shd w:val="clear" w:color="auto" w:fill="F5F7FA"/>
          </w:tcPr>
          <w:p>
            <w:pPr>
              <w:spacing w:before="60" w:after="60"/>
            </w:pPr>
            <w:r/>
            <w:r>
              <w:rPr>
                <w:b w:val="0"/>
                <w:sz w:val="20"/>
              </w:rPr>
              <w:t>Case management records plus follow-up contact</w:t>
            </w:r>
          </w:p>
        </w:tc>
        <w:tc>
          <w:tcPr>
            <w:tcW w:type="dxa" w:w="2304"/>
            <w:shd w:val="clear" w:color="auto" w:fill="F5F7FA"/>
          </w:tcPr>
          <w:p>
            <w:pPr>
              <w:spacing w:before="60" w:after="60"/>
            </w:pPr>
            <w:r/>
            <w:r>
              <w:rPr>
                <w:b w:val="0"/>
                <w:sz w:val="20"/>
              </w:rPr>
              <w:t>Peer specialist</w:t>
            </w:r>
          </w:p>
        </w:tc>
        <w:tc>
          <w:tcPr>
            <w:tcW w:type="dxa" w:w="1584"/>
            <w:shd w:val="clear" w:color="auto" w:fill="F5F7FA"/>
          </w:tcPr>
          <w:p>
            <w:pPr>
              <w:spacing w:before="60" w:after="60"/>
            </w:pPr>
            <w:r/>
            <w:r>
              <w:rPr>
                <w:b w:val="0"/>
                <w:sz w:val="20"/>
              </w:rPr>
              <w:t>Semiannual</w:t>
            </w:r>
          </w:p>
        </w:tc>
      </w:tr>
      <w:tr>
        <w:tc>
          <w:tcPr>
            <w:tcW w:type="dxa" w:w="2304"/>
          </w:tcPr>
          <w:p>
            <w:pPr>
              <w:spacing w:before="60" w:after="60"/>
            </w:pPr>
            <w:r/>
            <w:r>
              <w:rPr>
                <w:b w:val="0"/>
                <w:sz w:val="20"/>
              </w:rPr>
              <w:t>Employment placement and wage at placement</w:t>
            </w:r>
          </w:p>
        </w:tc>
        <w:tc>
          <w:tcPr>
            <w:tcW w:type="dxa" w:w="3168"/>
          </w:tcPr>
          <w:p>
            <w:pPr>
              <w:spacing w:before="60" w:after="60"/>
            </w:pPr>
            <w:r/>
            <w:r>
              <w:rPr>
                <w:b w:val="0"/>
                <w:sz w:val="20"/>
              </w:rPr>
              <w:t>Employer confirmation or payroll verification</w:t>
            </w:r>
          </w:p>
        </w:tc>
        <w:tc>
          <w:tcPr>
            <w:tcW w:type="dxa" w:w="2304"/>
          </w:tcPr>
          <w:p>
            <w:pPr>
              <w:spacing w:before="60" w:after="60"/>
            </w:pPr>
            <w:r/>
            <w:r>
              <w:rPr>
                <w:b w:val="0"/>
                <w:sz w:val="20"/>
              </w:rPr>
              <w:t>Employment navigator</w:t>
            </w:r>
          </w:p>
        </w:tc>
        <w:tc>
          <w:tcPr>
            <w:tcW w:type="dxa" w:w="1584"/>
          </w:tcPr>
          <w:p>
            <w:pPr>
              <w:spacing w:before="60" w:after="60"/>
            </w:pPr>
            <w:r/>
            <w:r>
              <w:rPr>
                <w:b w:val="0"/>
                <w:sz w:val="20"/>
              </w:rPr>
              <w:t>Quarterly</w:t>
            </w:r>
          </w:p>
        </w:tc>
      </w:tr>
      <w:tr>
        <w:tc>
          <w:tcPr>
            <w:tcW w:type="dxa" w:w="2304"/>
            <w:shd w:val="clear" w:color="auto" w:fill="F5F7FA"/>
          </w:tcPr>
          <w:p>
            <w:pPr>
              <w:spacing w:before="60" w:after="60"/>
            </w:pPr>
            <w:r/>
            <w:r>
              <w:rPr>
                <w:b w:val="0"/>
                <w:sz w:val="20"/>
              </w:rPr>
              <w:t>Employment retention at 180 days</w:t>
            </w:r>
          </w:p>
        </w:tc>
        <w:tc>
          <w:tcPr>
            <w:tcW w:type="dxa" w:w="3168"/>
            <w:shd w:val="clear" w:color="auto" w:fill="F5F7FA"/>
          </w:tcPr>
          <w:p>
            <w:pPr>
              <w:spacing w:before="60" w:after="60"/>
            </w:pPr>
            <w:r/>
            <w:r>
              <w:rPr>
                <w:b w:val="0"/>
                <w:sz w:val="20"/>
              </w:rPr>
              <w:t>Follow-up contact with veteran and employer</w:t>
            </w:r>
          </w:p>
        </w:tc>
        <w:tc>
          <w:tcPr>
            <w:tcW w:type="dxa" w:w="2304"/>
            <w:shd w:val="clear" w:color="auto" w:fill="F5F7FA"/>
          </w:tcPr>
          <w:p>
            <w:pPr>
              <w:spacing w:before="60" w:after="60"/>
            </w:pPr>
            <w:r/>
            <w:r>
              <w:rPr>
                <w:b w:val="0"/>
                <w:sz w:val="20"/>
              </w:rPr>
              <w:t>Employment navigator</w:t>
            </w:r>
          </w:p>
        </w:tc>
        <w:tc>
          <w:tcPr>
            <w:tcW w:type="dxa" w:w="1584"/>
            <w:shd w:val="clear" w:color="auto" w:fill="F5F7FA"/>
          </w:tcPr>
          <w:p>
            <w:pPr>
              <w:spacing w:before="60" w:after="60"/>
            </w:pPr>
            <w:r/>
            <w:r>
              <w:rPr>
                <w:b w:val="0"/>
                <w:sz w:val="20"/>
              </w:rPr>
              <w:t>Semiannual</w:t>
            </w:r>
          </w:p>
        </w:tc>
      </w:tr>
      <w:tr>
        <w:tc>
          <w:tcPr>
            <w:tcW w:type="dxa" w:w="2304"/>
          </w:tcPr>
          <w:p>
            <w:pPr>
              <w:spacing w:before="60" w:after="60"/>
            </w:pPr>
            <w:r/>
            <w:r>
              <w:rPr>
                <w:b w:val="0"/>
                <w:sz w:val="20"/>
              </w:rPr>
              <w:t>Benefits claims filed and awarded</w:t>
            </w:r>
          </w:p>
        </w:tc>
        <w:tc>
          <w:tcPr>
            <w:tcW w:type="dxa" w:w="3168"/>
          </w:tcPr>
          <w:p>
            <w:pPr>
              <w:spacing w:before="60" w:after="60"/>
            </w:pPr>
            <w:r/>
            <w:r>
              <w:rPr>
                <w:b w:val="0"/>
                <w:sz w:val="20"/>
              </w:rPr>
              <w:t>Case notes and award letters shared by the veteran</w:t>
            </w:r>
          </w:p>
        </w:tc>
        <w:tc>
          <w:tcPr>
            <w:tcW w:type="dxa" w:w="2304"/>
          </w:tcPr>
          <w:p>
            <w:pPr>
              <w:spacing w:before="60" w:after="60"/>
            </w:pPr>
            <w:r/>
            <w:r>
              <w:rPr>
                <w:b w:val="0"/>
                <w:sz w:val="20"/>
              </w:rPr>
              <w:t>Peer specialist</w:t>
            </w:r>
          </w:p>
        </w:tc>
        <w:tc>
          <w:tcPr>
            <w:tcW w:type="dxa" w:w="1584"/>
          </w:tcPr>
          <w:p>
            <w:pPr>
              <w:spacing w:before="60" w:after="60"/>
            </w:pPr>
            <w:r/>
            <w:r>
              <w:rPr>
                <w:b w:val="0"/>
                <w:sz w:val="20"/>
              </w:rPr>
              <w:t>Quarterly</w:t>
            </w:r>
          </w:p>
        </w:tc>
      </w:tr>
      <w:tr>
        <w:tc>
          <w:tcPr>
            <w:tcW w:type="dxa" w:w="2304"/>
            <w:shd w:val="clear" w:color="auto" w:fill="F5F7FA"/>
          </w:tcPr>
          <w:p>
            <w:pPr>
              <w:spacing w:before="60" w:after="60"/>
            </w:pPr>
            <w:r/>
            <w:r>
              <w:rPr>
                <w:b w:val="0"/>
                <w:sz w:val="20"/>
              </w:rPr>
              <w:t>Change in PHQ-9 score at 90 days</w:t>
            </w:r>
          </w:p>
        </w:tc>
        <w:tc>
          <w:tcPr>
            <w:tcW w:type="dxa" w:w="3168"/>
            <w:shd w:val="clear" w:color="auto" w:fill="F5F7FA"/>
          </w:tcPr>
          <w:p>
            <w:pPr>
              <w:spacing w:before="60" w:after="60"/>
            </w:pPr>
            <w:r/>
            <w:r>
              <w:rPr>
                <w:b w:val="0"/>
                <w:sz w:val="20"/>
              </w:rPr>
              <w:t>Standardized screen at intake and 90 days</w:t>
            </w:r>
          </w:p>
        </w:tc>
        <w:tc>
          <w:tcPr>
            <w:tcW w:type="dxa" w:w="2304"/>
            <w:shd w:val="clear" w:color="auto" w:fill="F5F7FA"/>
          </w:tcPr>
          <w:p>
            <w:pPr>
              <w:spacing w:before="60" w:after="60"/>
            </w:pPr>
            <w:r/>
            <w:r>
              <w:rPr>
                <w:b w:val="0"/>
                <w:sz w:val="20"/>
              </w:rPr>
              <w:t>Peer specialist, scored under clinical supervision</w:t>
            </w:r>
          </w:p>
        </w:tc>
        <w:tc>
          <w:tcPr>
            <w:tcW w:type="dxa" w:w="1584"/>
            <w:shd w:val="clear" w:color="auto" w:fill="F5F7FA"/>
          </w:tcPr>
          <w:p>
            <w:pPr>
              <w:spacing w:before="60" w:after="60"/>
            </w:pPr>
            <w:r/>
            <w:r>
              <w:rPr>
                <w:b w:val="0"/>
                <w:sz w:val="20"/>
              </w:rPr>
              <w:t>Semiannual</w:t>
            </w:r>
          </w:p>
        </w:tc>
      </w:tr>
      <w:tr>
        <w:tc>
          <w:tcPr>
            <w:tcW w:type="dxa" w:w="2304"/>
          </w:tcPr>
          <w:p>
            <w:pPr>
              <w:spacing w:before="60" w:after="60"/>
            </w:pPr>
            <w:r/>
            <w:r>
              <w:rPr>
                <w:b w:val="0"/>
                <w:sz w:val="20"/>
              </w:rPr>
              <w:t>Flexible assistance issued and outcome</w:t>
            </w:r>
          </w:p>
        </w:tc>
        <w:tc>
          <w:tcPr>
            <w:tcW w:type="dxa" w:w="3168"/>
          </w:tcPr>
          <w:p>
            <w:pPr>
              <w:spacing w:before="60" w:after="60"/>
            </w:pPr>
            <w:r/>
            <w:r>
              <w:rPr>
                <w:b w:val="0"/>
                <w:sz w:val="20"/>
              </w:rPr>
              <w:t>Assistance fund ledger against the written policy</w:t>
            </w:r>
          </w:p>
        </w:tc>
        <w:tc>
          <w:tcPr>
            <w:tcW w:type="dxa" w:w="2304"/>
          </w:tcPr>
          <w:p>
            <w:pPr>
              <w:spacing w:before="60" w:after="60"/>
            </w:pPr>
            <w:r/>
            <w:r>
              <w:rPr>
                <w:b w:val="0"/>
                <w:sz w:val="20"/>
              </w:rPr>
              <w:t>Program Director</w:t>
            </w:r>
          </w:p>
        </w:tc>
        <w:tc>
          <w:tcPr>
            <w:tcW w:type="dxa" w:w="1584"/>
          </w:tcPr>
          <w:p>
            <w:pPr>
              <w:spacing w:before="60" w:after="60"/>
            </w:pPr>
            <w:r/>
            <w:r>
              <w:rPr>
                <w:b w:val="0"/>
                <w:sz w:val="20"/>
              </w:rPr>
              <w:t>Quarterly</w:t>
            </w:r>
          </w:p>
        </w:tc>
      </w:tr>
    </w:tbl>
    <w:p>
      <w:pPr>
        <w:spacing w:after="40"/>
      </w:pPr>
    </w:p>
    <w:p>
      <w:pPr>
        <w:pStyle w:val="Heading2"/>
      </w:pPr>
      <w:r>
        <w:t>7.2 Data quality</w:t>
      </w:r>
    </w:p>
    <w:p>
      <w:r>
        <w:rPr>
          <w:b w:val="0"/>
          <w:i w:val="0"/>
        </w:rPr>
        <w:t>All program data lives in one case management system with role-based access. The Program Director runs a monthly completeness check on the previous month's records and a quarterly audit of ten percent of open files against source documents. Discrepancies are corrected with a dated note rather than overwritten, so the audit trail survives.</w:t>
      </w:r>
    </w:p>
    <w:p>
      <w:r>
        <w:rPr>
          <w:b w:val="0"/>
          <w:i w:val="0"/>
        </w:rPr>
        <w:t>Veterans consent in writing at intake to the collection and reporting of their data, and to the specific releases of information that make follow-up with employers and providers possible. Data reported to funders is aggregate. No individual veteran is identifiable in any report, and case files are retained for seven years under our written records policy.</w:t>
      </w:r>
    </w:p>
    <w:p>
      <w:pPr>
        <w:pStyle w:val="Heading2"/>
      </w:pPr>
      <w:r>
        <w:t>7.3 External evaluation</w:t>
      </w:r>
    </w:p>
    <w:p>
      <w:r>
        <w:rPr>
          <w:b w:val="0"/>
          <w:i w:val="0"/>
        </w:rPr>
        <w:t>The budget funds 40 hours of external evaluator time, split between a start-up review of instruments and data collection design in months 1 and 2, a mid-year review in month 6, and an end-of-year analysis and written report in month 12. The evaluator is independent of program delivery and reports to the Executive Director and the board program committee, not to the Program Director whose work is being examined.</w:t>
      </w:r>
    </w:p>
    <w:p>
      <w:pPr>
        <w:pStyle w:val="Heading2"/>
      </w:pPr>
      <w:r>
        <w:t>7.4 What we do when a target is missed</w:t>
      </w:r>
    </w:p>
    <w:p>
      <w:r>
        <w:rPr>
          <w:b w:val="0"/>
          <w:i w:val="0"/>
        </w:rPr>
        <w:t>Quarterly review compares actuals against targets. A measure more than 20 percent below target at a quarterly review triggers a written corrective plan naming the cause, the change, and the date we expect the measure to recover. The plan goes to the board program committee, and we would report it to [Funder name] in the same quarterly report rather than at the end of the year.</w:t>
      </w:r>
    </w:p>
    <w:p>
      <w:pPr>
        <w:pStyle w:val="Heading2"/>
      </w:pPr>
      <w:r>
        <w:t>7.5 Known limitations</w:t>
      </w:r>
    </w:p>
    <w:p>
      <w:pPr>
        <w:pStyle w:val="ListBullet"/>
      </w:pPr>
      <w:r>
        <w:t>The PHQ-9 is self-reported, and scores move for reasons the program does not control.</w:t>
      </w:r>
    </w:p>
    <w:p>
      <w:pPr>
        <w:pStyle w:val="ListBullet"/>
      </w:pPr>
      <w:r>
        <w:t>Follow-up contact rates fall over time. We expect to lose contact with roughly 15 percent of veterans by the 12-month check and will report the denominator, not just the percentage.</w:t>
      </w:r>
    </w:p>
    <w:p>
      <w:pPr>
        <w:pStyle w:val="ListBullet"/>
      </w:pPr>
      <w:r>
        <w:t>The 180-day employment retention check for veterans placed after month 6 falls outside the grant period. Those checks are completed and reported in a supplemental letter at month 18, funded from unrestricted operating support. We would rather flag that now than report a retention figure built on half the placements.</w:t>
      </w:r>
    </w:p>
    <w:p>
      <w:pPr>
        <w:pStyle w:val="ListBullet"/>
      </w:pPr>
      <w:r>
        <w:t>Sixty veterans is too small a sample for statistical significance testing. We report counts and rates with the denominators visible, and we do not claim causation.</w:t>
      </w:r>
    </w:p>
    <w:p>
      <w:r>
        <w:br w:type="page"/>
      </w:r>
    </w:p>
    <w:p>
      <w:pPr>
        <w:pStyle w:val="Heading1"/>
      </w:pPr>
      <w:r>
        <w:t>8. Project Budget</w:t>
      </w:r>
    </w:p>
    <w:p>
      <w:pPr>
        <w:pStyle w:val="Caption"/>
      </w:pPr>
      <w:r>
        <w:t>Twelve-month program budget. A veterans program budget is mostly staffing, and the first thing a reviewer checks is whether the staffing supports the caseload the proposal promised. Appendix B shows that reconciliation.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024"/>
            <w:shd w:val="clear" w:color="auto" w:fill="E8EDF3"/>
          </w:tcPr>
          <w:p>
            <w:pPr>
              <w:spacing w:before="60" w:after="60"/>
            </w:pPr>
            <w:r/>
            <w:r>
              <w:rPr>
                <w:b/>
                <w:color w:val="1F3B5C"/>
                <w:sz w:val="20"/>
              </w:rPr>
              <w:t>Line item</w:t>
            </w:r>
          </w:p>
        </w:tc>
        <w:tc>
          <w:tcPr>
            <w:tcW w:type="dxa" w:w="4608"/>
            <w:shd w:val="clear" w:color="auto" w:fill="E8EDF3"/>
          </w:tcPr>
          <w:p>
            <w:pPr>
              <w:spacing w:before="60" w:after="60"/>
            </w:pPr>
            <w:r/>
            <w:r>
              <w:rPr>
                <w:b/>
                <w:color w:val="1F3B5C"/>
                <w:sz w:val="20"/>
              </w:rPr>
              <w:t>Basis</w:t>
            </w:r>
          </w:p>
        </w:tc>
        <w:tc>
          <w:tcPr>
            <w:tcW w:type="dxa" w:w="1728"/>
            <w:shd w:val="clear" w:color="auto" w:fill="E8EDF3"/>
          </w:tcPr>
          <w:p>
            <w:pPr>
              <w:spacing w:before="60" w:after="60"/>
            </w:pPr>
            <w:r/>
            <w:r>
              <w:rPr>
                <w:b/>
                <w:color w:val="1F3B5C"/>
                <w:sz w:val="20"/>
              </w:rPr>
              <w:t>Amount</w:t>
            </w:r>
          </w:p>
        </w:tc>
      </w:tr>
      <w:tr>
        <w:tc>
          <w:tcPr>
            <w:tcW w:type="dxa" w:w="3024"/>
          </w:tcPr>
          <w:p>
            <w:pPr>
              <w:spacing w:before="60" w:after="60"/>
            </w:pPr>
            <w:r/>
            <w:r>
              <w:rPr>
                <w:b w:val="0"/>
                <w:sz w:val="20"/>
              </w:rPr>
              <w:t>Peer support specialist, 1.0 FTE</w:t>
            </w:r>
          </w:p>
        </w:tc>
        <w:tc>
          <w:tcPr>
            <w:tcW w:type="dxa" w:w="4608"/>
          </w:tcPr>
          <w:p>
            <w:pPr>
              <w:spacing w:before="60" w:after="60"/>
            </w:pPr>
            <w:r/>
            <w:r>
              <w:rPr>
                <w:b w:val="0"/>
                <w:sz w:val="20"/>
              </w:rPr>
              <w:t>Annual salary at $21.15 per hour, 2,080 hours</w:t>
            </w:r>
          </w:p>
        </w:tc>
        <w:tc>
          <w:tcPr>
            <w:tcW w:type="dxa" w:w="1728"/>
          </w:tcPr>
          <w:p>
            <w:pPr>
              <w:spacing w:before="60" w:after="60"/>
            </w:pPr>
            <w:r/>
            <w:r>
              <w:rPr>
                <w:b w:val="0"/>
                <w:sz w:val="20"/>
              </w:rPr>
              <w:t>$44,000</w:t>
            </w:r>
          </w:p>
        </w:tc>
      </w:tr>
      <w:tr>
        <w:tc>
          <w:tcPr>
            <w:tcW w:type="dxa" w:w="3024"/>
            <w:shd w:val="clear" w:color="auto" w:fill="F5F7FA"/>
          </w:tcPr>
          <w:p>
            <w:pPr>
              <w:spacing w:before="60" w:after="60"/>
            </w:pPr>
            <w:r/>
            <w:r>
              <w:rPr>
                <w:b w:val="0"/>
                <w:sz w:val="20"/>
              </w:rPr>
              <w:t>Fringe benefits</w:t>
            </w:r>
          </w:p>
        </w:tc>
        <w:tc>
          <w:tcPr>
            <w:tcW w:type="dxa" w:w="4608"/>
            <w:shd w:val="clear" w:color="auto" w:fill="F5F7FA"/>
          </w:tcPr>
          <w:p>
            <w:pPr>
              <w:spacing w:before="60" w:after="60"/>
            </w:pPr>
            <w:r/>
            <w:r>
              <w:rPr>
                <w:b w:val="0"/>
                <w:sz w:val="20"/>
              </w:rPr>
              <w:t>22 percent of peer specialist salary</w:t>
            </w:r>
          </w:p>
        </w:tc>
        <w:tc>
          <w:tcPr>
            <w:tcW w:type="dxa" w:w="1728"/>
            <w:shd w:val="clear" w:color="auto" w:fill="F5F7FA"/>
          </w:tcPr>
          <w:p>
            <w:pPr>
              <w:spacing w:before="60" w:after="60"/>
            </w:pPr>
            <w:r/>
            <w:r>
              <w:rPr>
                <w:b w:val="0"/>
                <w:sz w:val="20"/>
              </w:rPr>
              <w:t>$9,680</w:t>
            </w:r>
          </w:p>
        </w:tc>
      </w:tr>
      <w:tr>
        <w:tc>
          <w:tcPr>
            <w:tcW w:type="dxa" w:w="3024"/>
          </w:tcPr>
          <w:p>
            <w:pPr>
              <w:spacing w:before="60" w:after="60"/>
            </w:pPr>
            <w:r/>
            <w:r>
              <w:rPr>
                <w:b w:val="0"/>
                <w:sz w:val="20"/>
              </w:rPr>
              <w:t>Employment navigator, 0.25 FTE including fringe</w:t>
            </w:r>
          </w:p>
        </w:tc>
        <w:tc>
          <w:tcPr>
            <w:tcW w:type="dxa" w:w="4608"/>
          </w:tcPr>
          <w:p>
            <w:pPr>
              <w:spacing w:before="60" w:after="60"/>
            </w:pPr>
            <w:r/>
            <w:r>
              <w:rPr>
                <w:b w:val="0"/>
                <w:sz w:val="20"/>
              </w:rPr>
              <w:t>25 percent of a $56,000 fully loaded position</w:t>
            </w:r>
          </w:p>
        </w:tc>
        <w:tc>
          <w:tcPr>
            <w:tcW w:type="dxa" w:w="1728"/>
          </w:tcPr>
          <w:p>
            <w:pPr>
              <w:spacing w:before="60" w:after="60"/>
            </w:pPr>
            <w:r/>
            <w:r>
              <w:rPr>
                <w:b w:val="0"/>
                <w:sz w:val="20"/>
              </w:rPr>
              <w:t>$14,000</w:t>
            </w:r>
          </w:p>
        </w:tc>
      </w:tr>
      <w:tr>
        <w:tc>
          <w:tcPr>
            <w:tcW w:type="dxa" w:w="3024"/>
            <w:shd w:val="clear" w:color="auto" w:fill="F5F7FA"/>
          </w:tcPr>
          <w:p>
            <w:pPr>
              <w:spacing w:before="60" w:after="60"/>
            </w:pPr>
            <w:r/>
            <w:r>
              <w:rPr>
                <w:b w:val="0"/>
                <w:sz w:val="20"/>
              </w:rPr>
              <w:t>Peer certification, training, and clinical supervision</w:t>
            </w:r>
          </w:p>
        </w:tc>
        <w:tc>
          <w:tcPr>
            <w:tcW w:type="dxa" w:w="4608"/>
            <w:shd w:val="clear" w:color="auto" w:fill="F5F7FA"/>
          </w:tcPr>
          <w:p>
            <w:pPr>
              <w:spacing w:before="60" w:after="60"/>
            </w:pPr>
            <w:r/>
            <w:r>
              <w:rPr>
                <w:b w:val="0"/>
                <w:sz w:val="20"/>
              </w:rPr>
              <w:t>Clinical supervision $2,700; peer certification training and exam $900; continuing education $470; gatekeeper training for 3 staff $250</w:t>
            </w:r>
          </w:p>
        </w:tc>
        <w:tc>
          <w:tcPr>
            <w:tcW w:type="dxa" w:w="1728"/>
            <w:shd w:val="clear" w:color="auto" w:fill="F5F7FA"/>
          </w:tcPr>
          <w:p>
            <w:pPr>
              <w:spacing w:before="60" w:after="60"/>
            </w:pPr>
            <w:r/>
            <w:r>
              <w:rPr>
                <w:b w:val="0"/>
                <w:sz w:val="20"/>
              </w:rPr>
              <w:t>$4,320</w:t>
            </w:r>
          </w:p>
        </w:tc>
      </w:tr>
      <w:tr>
        <w:tc>
          <w:tcPr>
            <w:tcW w:type="dxa" w:w="3024"/>
          </w:tcPr>
          <w:p>
            <w:pPr>
              <w:spacing w:before="60" w:after="60"/>
            </w:pPr>
            <w:r/>
            <w:r>
              <w:rPr>
                <w:b w:val="0"/>
                <w:sz w:val="20"/>
              </w:rPr>
              <w:t>Flexible assistance fund</w:t>
            </w:r>
          </w:p>
        </w:tc>
        <w:tc>
          <w:tcPr>
            <w:tcW w:type="dxa" w:w="4608"/>
          </w:tcPr>
          <w:p>
            <w:pPr>
              <w:spacing w:before="60" w:after="60"/>
            </w:pPr>
            <w:r/>
            <w:r>
              <w:rPr>
                <w:b w:val="0"/>
                <w:sz w:val="20"/>
              </w:rPr>
              <w:t>Rent arrears, work gear, licensing and certification fees; $250 cap per veteran, expected average $170, reaching 17 or 18 veterans</w:t>
            </w:r>
          </w:p>
        </w:tc>
        <w:tc>
          <w:tcPr>
            <w:tcW w:type="dxa" w:w="1728"/>
          </w:tcPr>
          <w:p>
            <w:pPr>
              <w:spacing w:before="60" w:after="60"/>
            </w:pPr>
            <w:r/>
            <w:r>
              <w:rPr>
                <w:b w:val="0"/>
                <w:sz w:val="20"/>
              </w:rPr>
              <w:t>$3,000</w:t>
            </w:r>
          </w:p>
        </w:tc>
      </w:tr>
      <w:tr>
        <w:tc>
          <w:tcPr>
            <w:tcW w:type="dxa" w:w="3024"/>
            <w:shd w:val="clear" w:color="auto" w:fill="F5F7FA"/>
          </w:tcPr>
          <w:p>
            <w:pPr>
              <w:spacing w:before="60" w:after="60"/>
            </w:pPr>
            <w:r/>
            <w:r>
              <w:rPr>
                <w:b w:val="0"/>
                <w:sz w:val="20"/>
              </w:rPr>
              <w:t>Transportation to VA and employer appointments</w:t>
            </w:r>
          </w:p>
        </w:tc>
        <w:tc>
          <w:tcPr>
            <w:tcW w:type="dxa" w:w="4608"/>
            <w:shd w:val="clear" w:color="auto" w:fill="F5F7FA"/>
          </w:tcPr>
          <w:p>
            <w:pPr>
              <w:spacing w:before="60" w:after="60"/>
            </w:pPr>
            <w:r/>
            <w:r>
              <w:rPr>
                <w:b w:val="0"/>
                <w:sz w:val="20"/>
              </w:rPr>
              <w:t>About 150 trips at an average $10, reimbursed under our board-approved travel policy</w:t>
            </w:r>
          </w:p>
        </w:tc>
        <w:tc>
          <w:tcPr>
            <w:tcW w:type="dxa" w:w="1728"/>
            <w:shd w:val="clear" w:color="auto" w:fill="F5F7FA"/>
          </w:tcPr>
          <w:p>
            <w:pPr>
              <w:spacing w:before="60" w:after="60"/>
            </w:pPr>
            <w:r/>
            <w:r>
              <w:rPr>
                <w:b w:val="0"/>
                <w:sz w:val="20"/>
              </w:rPr>
              <w:t>$1,500</w:t>
            </w:r>
          </w:p>
        </w:tc>
      </w:tr>
      <w:tr>
        <w:tc>
          <w:tcPr>
            <w:tcW w:type="dxa" w:w="3024"/>
          </w:tcPr>
          <w:p>
            <w:pPr>
              <w:spacing w:before="60" w:after="60"/>
            </w:pPr>
            <w:r/>
            <w:r>
              <w:rPr>
                <w:b w:val="0"/>
                <w:sz w:val="20"/>
              </w:rPr>
              <w:t>Screening tools and case management data license</w:t>
            </w:r>
          </w:p>
        </w:tc>
        <w:tc>
          <w:tcPr>
            <w:tcW w:type="dxa" w:w="4608"/>
          </w:tcPr>
          <w:p>
            <w:pPr>
              <w:spacing w:before="60" w:after="60"/>
            </w:pPr>
            <w:r/>
            <w:r>
              <w:rPr>
                <w:b w:val="0"/>
                <w:sz w:val="20"/>
              </w:rPr>
              <w:t>One additional seat license for 12 months</w:t>
            </w:r>
          </w:p>
        </w:tc>
        <w:tc>
          <w:tcPr>
            <w:tcW w:type="dxa" w:w="1728"/>
          </w:tcPr>
          <w:p>
            <w:pPr>
              <w:spacing w:before="60" w:after="60"/>
            </w:pPr>
            <w:r/>
            <w:r>
              <w:rPr>
                <w:b w:val="0"/>
                <w:sz w:val="20"/>
              </w:rPr>
              <w:t>$500</w:t>
            </w:r>
          </w:p>
        </w:tc>
      </w:tr>
      <w:tr>
        <w:tc>
          <w:tcPr>
            <w:tcW w:type="dxa" w:w="3024"/>
            <w:shd w:val="clear" w:color="auto" w:fill="F5F7FA"/>
          </w:tcPr>
          <w:p>
            <w:pPr>
              <w:spacing w:before="60" w:after="60"/>
            </w:pPr>
            <w:r/>
            <w:r>
              <w:rPr>
                <w:b w:val="0"/>
                <w:sz w:val="20"/>
              </w:rPr>
              <w:t>External evaluation</w:t>
            </w:r>
          </w:p>
        </w:tc>
        <w:tc>
          <w:tcPr>
            <w:tcW w:type="dxa" w:w="4608"/>
            <w:shd w:val="clear" w:color="auto" w:fill="F5F7FA"/>
          </w:tcPr>
          <w:p>
            <w:pPr>
              <w:spacing w:before="60" w:after="60"/>
            </w:pPr>
            <w:r/>
            <w:r>
              <w:rPr>
                <w:b w:val="0"/>
                <w:sz w:val="20"/>
              </w:rPr>
              <w:t>40 hours at $75 per hour</w:t>
            </w:r>
          </w:p>
        </w:tc>
        <w:tc>
          <w:tcPr>
            <w:tcW w:type="dxa" w:w="1728"/>
            <w:shd w:val="clear" w:color="auto" w:fill="F5F7FA"/>
          </w:tcPr>
          <w:p>
            <w:pPr>
              <w:spacing w:before="60" w:after="60"/>
            </w:pPr>
            <w:r/>
            <w:r>
              <w:rPr>
                <w:b w:val="0"/>
                <w:sz w:val="20"/>
              </w:rPr>
              <w:t>$3,000</w:t>
            </w:r>
          </w:p>
        </w:tc>
      </w:tr>
      <w:tr>
        <w:tc>
          <w:tcPr>
            <w:tcW w:type="dxa" w:w="3024"/>
            <w:shd w:val="clear" w:color="auto" w:fill="E8EDF3"/>
          </w:tcPr>
          <w:p>
            <w:pPr>
              <w:spacing w:before="60" w:after="60"/>
            </w:pPr>
            <w:r/>
            <w:r>
              <w:rPr>
                <w:b/>
                <w:color w:val="1F3B5C"/>
                <w:sz w:val="20"/>
              </w:rPr>
              <w:t>Total direct costs</w:t>
            </w:r>
          </w:p>
        </w:tc>
        <w:tc>
          <w:tcPr>
            <w:tcW w:type="dxa" w:w="4608"/>
            <w:shd w:val="clear" w:color="auto" w:fill="E8EDF3"/>
          </w:tcPr>
          <w:p>
            <w:pPr>
              <w:spacing w:before="60" w:after="60"/>
            </w:pPr>
            <w:r/>
            <w:r>
              <w:rPr>
                <w:b/>
                <w:color w:val="1F3B5C"/>
                <w:sz w:val="20"/>
              </w:rPr>
            </w:r>
          </w:p>
        </w:tc>
        <w:tc>
          <w:tcPr>
            <w:tcW w:type="dxa" w:w="1728"/>
            <w:shd w:val="clear" w:color="auto" w:fill="E8EDF3"/>
          </w:tcPr>
          <w:p>
            <w:pPr>
              <w:spacing w:before="60" w:after="60"/>
            </w:pPr>
            <w:r/>
            <w:r>
              <w:rPr>
                <w:b/>
                <w:color w:val="1F3B5C"/>
                <w:sz w:val="20"/>
              </w:rPr>
              <w:t>$80,000</w:t>
            </w:r>
          </w:p>
        </w:tc>
      </w:tr>
      <w:tr>
        <w:tc>
          <w:tcPr>
            <w:tcW w:type="dxa" w:w="3024"/>
            <w:shd w:val="clear" w:color="auto" w:fill="F5F7FA"/>
          </w:tcPr>
          <w:p>
            <w:pPr>
              <w:spacing w:before="60" w:after="60"/>
            </w:pPr>
            <w:r/>
            <w:r>
              <w:rPr>
                <w:b w:val="0"/>
                <w:sz w:val="20"/>
              </w:rPr>
              <w:t>Indirect costs</w:t>
            </w:r>
          </w:p>
        </w:tc>
        <w:tc>
          <w:tcPr>
            <w:tcW w:type="dxa" w:w="4608"/>
            <w:shd w:val="clear" w:color="auto" w:fill="F5F7FA"/>
          </w:tcPr>
          <w:p>
            <w:pPr>
              <w:spacing w:before="60" w:after="60"/>
            </w:pPr>
            <w:r/>
            <w:r>
              <w:rPr>
                <w:b w:val="0"/>
                <w:sz w:val="20"/>
              </w:rPr>
              <w:t>10 percent, the rate this example funder allows</w:t>
            </w:r>
          </w:p>
        </w:tc>
        <w:tc>
          <w:tcPr>
            <w:tcW w:type="dxa" w:w="1728"/>
            <w:shd w:val="clear" w:color="auto" w:fill="F5F7FA"/>
          </w:tcPr>
          <w:p>
            <w:pPr>
              <w:spacing w:before="60" w:after="60"/>
            </w:pPr>
            <w:r/>
            <w:r>
              <w:rPr>
                <w:b w:val="0"/>
                <w:sz w:val="20"/>
              </w:rPr>
              <w:t>$8,000</w:t>
            </w:r>
          </w:p>
        </w:tc>
      </w:tr>
      <w:tr>
        <w:tc>
          <w:tcPr>
            <w:tcW w:type="dxa" w:w="3024"/>
            <w:shd w:val="clear" w:color="auto" w:fill="E8EDF3"/>
          </w:tcPr>
          <w:p>
            <w:pPr>
              <w:spacing w:before="60" w:after="60"/>
            </w:pPr>
            <w:r/>
            <w:r>
              <w:rPr>
                <w:b/>
                <w:color w:val="1F3B5C"/>
                <w:sz w:val="20"/>
              </w:rPr>
              <w:t>Total request</w:t>
            </w:r>
          </w:p>
        </w:tc>
        <w:tc>
          <w:tcPr>
            <w:tcW w:type="dxa" w:w="4608"/>
            <w:shd w:val="clear" w:color="auto" w:fill="E8EDF3"/>
          </w:tcPr>
          <w:p>
            <w:pPr>
              <w:spacing w:before="60" w:after="60"/>
            </w:pPr>
            <w:r/>
            <w:r>
              <w:rPr>
                <w:b/>
                <w:color w:val="1F3B5C"/>
                <w:sz w:val="20"/>
              </w:rPr>
            </w:r>
          </w:p>
        </w:tc>
        <w:tc>
          <w:tcPr>
            <w:tcW w:type="dxa" w:w="1728"/>
            <w:shd w:val="clear" w:color="auto" w:fill="E8EDF3"/>
          </w:tcPr>
          <w:p>
            <w:pPr>
              <w:spacing w:before="60" w:after="60"/>
            </w:pPr>
            <w:r/>
            <w:r>
              <w:rPr>
                <w:b/>
                <w:color w:val="1F3B5C"/>
                <w:sz w:val="20"/>
              </w:rPr>
              <w:t>$88,000</w:t>
            </w:r>
          </w:p>
        </w:tc>
      </w:tr>
    </w:tbl>
    <w:p>
      <w:pPr>
        <w:spacing w:after="40"/>
      </w:pPr>
    </w:p>
    <w:p>
      <w:pPr>
        <w:pStyle w:val="Heading2"/>
      </w:pPr>
      <w:r>
        <w:t>8.1 Documented in-kind support</w:t>
      </w:r>
    </w:p>
    <w:p>
      <w:r>
        <w:rPr>
          <w:b w:val="0"/>
          <w:i w:val="0"/>
        </w:rPr>
        <w:t>In-kind support is listed to show the program costs more to run than we are asking for. It is documented, not estimated: volunteer hours come from our sign-in log and are valued at the rate our board adopted for financial statement purposes.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456"/>
            <w:shd w:val="clear" w:color="auto" w:fill="E8EDF3"/>
          </w:tcPr>
          <w:p>
            <w:pPr>
              <w:spacing w:before="60" w:after="60"/>
            </w:pPr>
            <w:r/>
            <w:r>
              <w:rPr>
                <w:b/>
                <w:color w:val="1F3B5C"/>
                <w:sz w:val="20"/>
              </w:rPr>
              <w:t>In-kind item</w:t>
            </w:r>
          </w:p>
        </w:tc>
        <w:tc>
          <w:tcPr>
            <w:tcW w:type="dxa" w:w="4176"/>
            <w:shd w:val="clear" w:color="auto" w:fill="E8EDF3"/>
          </w:tcPr>
          <w:p>
            <w:pPr>
              <w:spacing w:before="60" w:after="60"/>
            </w:pPr>
            <w:r/>
            <w:r>
              <w:rPr>
                <w:b/>
                <w:color w:val="1F3B5C"/>
                <w:sz w:val="20"/>
              </w:rPr>
              <w:t>Basis</w:t>
            </w:r>
          </w:p>
        </w:tc>
        <w:tc>
          <w:tcPr>
            <w:tcW w:type="dxa" w:w="1728"/>
            <w:shd w:val="clear" w:color="auto" w:fill="E8EDF3"/>
          </w:tcPr>
          <w:p>
            <w:pPr>
              <w:spacing w:before="60" w:after="60"/>
            </w:pPr>
            <w:r/>
            <w:r>
              <w:rPr>
                <w:b/>
                <w:color w:val="1F3B5C"/>
                <w:sz w:val="20"/>
              </w:rPr>
              <w:t>Value</w:t>
            </w:r>
          </w:p>
        </w:tc>
      </w:tr>
      <w:tr>
        <w:tc>
          <w:tcPr>
            <w:tcW w:type="dxa" w:w="3456"/>
          </w:tcPr>
          <w:p>
            <w:pPr>
              <w:spacing w:before="60" w:after="60"/>
            </w:pPr>
            <w:r/>
            <w:r>
              <w:rPr>
                <w:b w:val="0"/>
                <w:sz w:val="20"/>
              </w:rPr>
              <w:t>Volunteer driver hours</w:t>
            </w:r>
          </w:p>
        </w:tc>
        <w:tc>
          <w:tcPr>
            <w:tcW w:type="dxa" w:w="4176"/>
          </w:tcPr>
          <w:p>
            <w:pPr>
              <w:spacing w:before="60" w:after="60"/>
            </w:pPr>
            <w:r/>
            <w:r>
              <w:rPr>
                <w:b w:val="0"/>
                <w:sz w:val="20"/>
              </w:rPr>
              <w:t>620 hours at the board-adopted volunteer rate</w:t>
            </w:r>
          </w:p>
        </w:tc>
        <w:tc>
          <w:tcPr>
            <w:tcW w:type="dxa" w:w="1728"/>
          </w:tcPr>
          <w:p>
            <w:pPr>
              <w:spacing w:before="60" w:after="60"/>
            </w:pPr>
            <w:r/>
            <w:r>
              <w:rPr>
                <w:b w:val="0"/>
                <w:sz w:val="20"/>
              </w:rPr>
              <w:t>$18,600</w:t>
            </w:r>
          </w:p>
        </w:tc>
      </w:tr>
      <w:tr>
        <w:tc>
          <w:tcPr>
            <w:tcW w:type="dxa" w:w="3456"/>
            <w:shd w:val="clear" w:color="auto" w:fill="F5F7FA"/>
          </w:tcPr>
          <w:p>
            <w:pPr>
              <w:spacing w:before="60" w:after="60"/>
            </w:pPr>
            <w:r/>
            <w:r>
              <w:rPr>
                <w:b w:val="0"/>
                <w:sz w:val="20"/>
              </w:rPr>
              <w:t>Office space and utilities for program staff</w:t>
            </w:r>
          </w:p>
        </w:tc>
        <w:tc>
          <w:tcPr>
            <w:tcW w:type="dxa" w:w="4176"/>
            <w:shd w:val="clear" w:color="auto" w:fill="F5F7FA"/>
          </w:tcPr>
          <w:p>
            <w:pPr>
              <w:spacing w:before="60" w:after="60"/>
            </w:pPr>
            <w:r/>
            <w:r>
              <w:rPr>
                <w:b w:val="0"/>
                <w:sz w:val="20"/>
              </w:rPr>
              <w:t>180 square feet at local commercial rate, 12 months</w:t>
            </w:r>
          </w:p>
        </w:tc>
        <w:tc>
          <w:tcPr>
            <w:tcW w:type="dxa" w:w="1728"/>
            <w:shd w:val="clear" w:color="auto" w:fill="F5F7FA"/>
          </w:tcPr>
          <w:p>
            <w:pPr>
              <w:spacing w:before="60" w:after="60"/>
            </w:pPr>
            <w:r/>
            <w:r>
              <w:rPr>
                <w:b w:val="0"/>
                <w:sz w:val="20"/>
              </w:rPr>
              <w:t>$4,320</w:t>
            </w:r>
          </w:p>
        </w:tc>
      </w:tr>
      <w:tr>
        <w:tc>
          <w:tcPr>
            <w:tcW w:type="dxa" w:w="3456"/>
          </w:tcPr>
          <w:p>
            <w:pPr>
              <w:spacing w:before="60" w:after="60"/>
            </w:pPr>
            <w:r/>
            <w:r>
              <w:rPr>
                <w:b w:val="0"/>
                <w:sz w:val="20"/>
              </w:rPr>
              <w:t>Program Director oversight, 0.05 FTE</w:t>
            </w:r>
          </w:p>
        </w:tc>
        <w:tc>
          <w:tcPr>
            <w:tcW w:type="dxa" w:w="4176"/>
          </w:tcPr>
          <w:p>
            <w:pPr>
              <w:spacing w:before="60" w:after="60"/>
            </w:pPr>
            <w:r/>
            <w:r>
              <w:rPr>
                <w:b w:val="0"/>
                <w:sz w:val="20"/>
              </w:rPr>
              <w:t>Paid from unrestricted funds</w:t>
            </w:r>
          </w:p>
        </w:tc>
        <w:tc>
          <w:tcPr>
            <w:tcW w:type="dxa" w:w="1728"/>
          </w:tcPr>
          <w:p>
            <w:pPr>
              <w:spacing w:before="60" w:after="60"/>
            </w:pPr>
            <w:r/>
            <w:r>
              <w:rPr>
                <w:b w:val="0"/>
                <w:sz w:val="20"/>
              </w:rPr>
              <w:t>$3,900</w:t>
            </w:r>
          </w:p>
        </w:tc>
      </w:tr>
      <w:tr>
        <w:tc>
          <w:tcPr>
            <w:tcW w:type="dxa" w:w="3456"/>
            <w:shd w:val="clear" w:color="auto" w:fill="F5F7FA"/>
          </w:tcPr>
          <w:p>
            <w:pPr>
              <w:spacing w:before="60" w:after="60"/>
            </w:pPr>
            <w:r/>
            <w:r>
              <w:rPr>
                <w:b w:val="0"/>
                <w:sz w:val="20"/>
              </w:rPr>
              <w:t>Meeting space at the county veterans service office</w:t>
            </w:r>
          </w:p>
        </w:tc>
        <w:tc>
          <w:tcPr>
            <w:tcW w:type="dxa" w:w="4176"/>
            <w:shd w:val="clear" w:color="auto" w:fill="F5F7FA"/>
          </w:tcPr>
          <w:p>
            <w:pPr>
              <w:spacing w:before="60" w:after="60"/>
            </w:pPr>
            <w:r/>
            <w:r>
              <w:rPr>
                <w:b w:val="0"/>
                <w:sz w:val="20"/>
              </w:rPr>
              <w:t>Provided at no cost under our agreement</w:t>
            </w:r>
          </w:p>
        </w:tc>
        <w:tc>
          <w:tcPr>
            <w:tcW w:type="dxa" w:w="1728"/>
            <w:shd w:val="clear" w:color="auto" w:fill="F5F7FA"/>
          </w:tcPr>
          <w:p>
            <w:pPr>
              <w:spacing w:before="60" w:after="60"/>
            </w:pPr>
            <w:r/>
            <w:r>
              <w:rPr>
                <w:b w:val="0"/>
                <w:sz w:val="20"/>
              </w:rPr>
              <w:t>$1,200</w:t>
            </w:r>
          </w:p>
        </w:tc>
      </w:tr>
      <w:tr>
        <w:tc>
          <w:tcPr>
            <w:tcW w:type="dxa" w:w="3456"/>
            <w:shd w:val="clear" w:color="auto" w:fill="E8EDF3"/>
          </w:tcPr>
          <w:p>
            <w:pPr>
              <w:spacing w:before="60" w:after="60"/>
            </w:pPr>
            <w:r/>
            <w:r>
              <w:rPr>
                <w:b/>
                <w:color w:val="1F3B5C"/>
                <w:sz w:val="20"/>
              </w:rPr>
              <w:t>Total in-kind</w:t>
            </w:r>
          </w:p>
        </w:tc>
        <w:tc>
          <w:tcPr>
            <w:tcW w:type="dxa" w:w="4176"/>
            <w:shd w:val="clear" w:color="auto" w:fill="E8EDF3"/>
          </w:tcPr>
          <w:p>
            <w:pPr>
              <w:spacing w:before="60" w:after="60"/>
            </w:pPr>
            <w:r/>
            <w:r>
              <w:rPr>
                <w:b/>
                <w:color w:val="1F3B5C"/>
                <w:sz w:val="20"/>
              </w:rPr>
            </w:r>
          </w:p>
        </w:tc>
        <w:tc>
          <w:tcPr>
            <w:tcW w:type="dxa" w:w="1728"/>
            <w:shd w:val="clear" w:color="auto" w:fill="E8EDF3"/>
          </w:tcPr>
          <w:p>
            <w:pPr>
              <w:spacing w:before="60" w:after="60"/>
            </w:pPr>
            <w:r/>
            <w:r>
              <w:rPr>
                <w:b/>
                <w:color w:val="1F3B5C"/>
                <w:sz w:val="20"/>
              </w:rPr>
              <w:t>$28,020</w:t>
            </w:r>
          </w:p>
        </w:tc>
      </w:tr>
    </w:tbl>
    <w:p>
      <w:pPr>
        <w:spacing w:after="40"/>
      </w:pPr>
    </w:p>
    <w:p>
      <w:pPr>
        <w:pStyle w:val="Caption"/>
      </w:pPr>
      <w:r>
        <w:t>Total program value: $116,020. Requested from this funder: $88,000, or 76 percent. Replace every figure with your own and make sure the arithmetic holds, because a budget that does not add up is the fastest disqualification in the pile.</w:t>
      </w:r>
    </w:p>
    <w:p>
      <w:pPr>
        <w:pStyle w:val="Heading1"/>
      </w:pPr>
      <w:r>
        <w:t>9. Budget Narrative</w:t>
      </w:r>
    </w:p>
    <w:p>
      <w:pPr>
        <w:pStyle w:val="Caption"/>
      </w:pPr>
      <w:r>
        <w:t>One to two pages. Explain each line, especially the three that draw questions in veterans proposals: the flexible assistance fund, transportation, and supervision.</w:t>
      </w:r>
    </w:p>
    <w:p>
      <w:pPr>
        <w:pStyle w:val="Heading3"/>
      </w:pPr>
      <w:r>
        <w:t>Peer support specialist, 1.0 FTE, $44,000, and fringe at 22 percent, $9,680</w:t>
      </w:r>
    </w:p>
    <w:p>
      <w:r>
        <w:rPr>
          <w:b w:val="0"/>
          <w:i w:val="0"/>
        </w:rPr>
        <w:t>This is the program. The position is full time for twelve months at $21.15 per hour, a rate set against comparable human services roles in our labor market. Fringe at 22 percent covers the employer share of payroll taxes, health insurance, and workers compensation, and matches the rate in our audited financial statements. Appendix B shows the hours behind the caseload of 60 veterans.</w:t>
      </w:r>
    </w:p>
    <w:p>
      <w:pPr>
        <w:pStyle w:val="Caption"/>
      </w:pPr>
      <w:r>
        <w:t>Set your own salary line against a defensible reference. The Bureau of Labor Statistics Occupational Employment and Wage Statistics publishes wages by occupation and metropolitan or nonmetropolitan area; pick the occupation code your role actually matches and say which one you used.</w:t>
      </w:r>
    </w:p>
    <w:p>
      <w:pPr>
        <w:pStyle w:val="Heading3"/>
      </w:pPr>
      <w:r>
        <w:t>Employment navigator, 0.25 FTE including fringe, $14,000</w:t>
      </w:r>
    </w:p>
    <w:p>
      <w:r>
        <w:rPr>
          <w:b w:val="0"/>
          <w:i w:val="0"/>
        </w:rPr>
        <w:t>One quarter of a $56,000 fully loaded position. The navigator carries the employment track for 24 veterans, maintains the employer relationships, and completes the 30, 90 and 180 day follow-ups. We fund a quarter position rather than a half because the caseload math in Appendix B supports 24 veterans at 15 hours each, and we would rather fund the hours we can prove we need.</w:t>
      </w:r>
    </w:p>
    <w:p>
      <w:pPr>
        <w:pStyle w:val="Heading3"/>
      </w:pPr>
      <w:r>
        <w:t>Peer certification, training, and clinical supervision, $4,320</w:t>
      </w:r>
    </w:p>
    <w:p>
      <w:r>
        <w:rPr>
          <w:b w:val="0"/>
          <w:i w:val="0"/>
        </w:rPr>
        <w:t>This line is what makes the peer model supervised rather than improvised. It covers 18 hours of clinical supervision from a licensed behavioral health clinician across the year at $150 per hour ($2,700), the state peer specialist certification training and examination fee ($900), continuing education required to maintain the certification ($470), and gatekeeper suicide prevention training for three staff ($250). Reviewers who have funded peer programs before look for this line and read its absence as a risk.</w:t>
      </w:r>
    </w:p>
    <w:p>
      <w:pPr>
        <w:pStyle w:val="Heading3"/>
      </w:pPr>
      <w:r>
        <w:t>Flexible assistance fund, $3,000</w:t>
      </w:r>
    </w:p>
    <w:p>
      <w:r>
        <w:rPr>
          <w:b w:val="0"/>
          <w:i w:val="0"/>
        </w:rPr>
        <w:t>Direct assistance to veterans for rent arrears, work gear, and licensing or certification fees. This line draws scrutiny, so it is governed rather than open: a written spending policy adopted by our board caps assistance at $250 per veteran in a twelve month period, requires a second approval from the Program Director, pays vendors and landlords directly rather than the veteran, and documents every payment against the service plan goal it advances. At an expected average award of $170 the line reaches 17 or 18 veterans, roughly one in three of those enrolled. The policy is attached.</w:t>
      </w:r>
    </w:p>
    <w:p>
      <w:pPr>
        <w:pStyle w:val="Heading3"/>
      </w:pPr>
      <w:r>
        <w:t>Transportation, $1,500</w:t>
      </w:r>
    </w:p>
    <w:p>
      <w:r>
        <w:rPr>
          <w:b w:val="0"/>
          <w:i w:val="0"/>
        </w:rPr>
        <w:t>This gets its own line because distance to VA facilities is the barrier the program exists to solve, and burying it inside 'other' hides the point. It funds approximately 150 trips at an average of $10, covering volunteer driver mileage reimbursement, fuel cards, and paid rides where no volunteer is available. Our current program declined 84 ride requests last year for lack of a driver, which is the number this line is sized against.</w:t>
      </w:r>
    </w:p>
    <w:p>
      <w:pPr>
        <w:pStyle w:val="Heading3"/>
      </w:pPr>
      <w:r>
        <w:t>Screening tools and case management data license, $500</w:t>
      </w:r>
    </w:p>
    <w:p>
      <w:r>
        <w:rPr>
          <w:b w:val="0"/>
          <w:i w:val="0"/>
        </w:rPr>
        <w:t>One additional user seat on the case management system we already operate, for twelve months. The PHQ-9 and the PCL-5 are free instruments and carry no license cost, so this line is software only.</w:t>
      </w:r>
    </w:p>
    <w:p>
      <w:pPr>
        <w:pStyle w:val="Heading3"/>
      </w:pPr>
      <w:r>
        <w:t>External evaluation, $3,000</w:t>
      </w:r>
    </w:p>
    <w:p>
      <w:r>
        <w:rPr>
          <w:b w:val="0"/>
          <w:i w:val="0"/>
        </w:rPr>
        <w:t>Forty hours of independent evaluator time at $75 per hour, covering instrument review at start-up, a mid-year check, and the end-of-year analysis and report. We fund it externally because an evaluation written by the person running the program is not an evaluation.</w:t>
      </w:r>
    </w:p>
    <w:p>
      <w:pPr>
        <w:pStyle w:val="Heading3"/>
      </w:pPr>
      <w:r>
        <w:t>Indirect costs, $8,000</w:t>
      </w:r>
    </w:p>
    <w:p>
      <w:r>
        <w:rPr>
          <w:b w:val="0"/>
          <w:i w:val="0"/>
        </w:rPr>
        <w:t>Charged at 10 percent of direct costs, which is the rate we understand this funder allows. Confirm the rate before you set it, because caps vary and private foundations frequently stop below any federal figure. On a federal award, a recipient without a negotiated rate may elect a de minimis rate of up to 15 percent of modified total direct costs under 2 CFR 200.414(f), a ceiling raised from 10 percent for awards issued on or after October 1, 2024. Modified total direct costs exclude equipment, capital expenditures, rental costs, participant support costs, and the portion of each subaward above $50,000, so a flexible assistance fund paying rent arrears and work gear for veterans may sit outside the base. Check the base as well as the rate.</w:t>
      </w:r>
    </w:p>
    <w:p>
      <w:r>
        <w:br w:type="page"/>
      </w:r>
    </w:p>
    <w:p>
      <w:pPr>
        <w:pStyle w:val="Heading1"/>
      </w:pPr>
      <w:r>
        <w:t>10. Organizational Capacity and Governance</w:t>
      </w:r>
    </w:p>
    <w:p>
      <w:r>
        <w:rPr>
          <w:b w:val="0"/>
          <w:i w:val="0"/>
        </w:rPr>
        <w:t>The program is administered inside systems that already carry a $312,000 budget. Payroll and accounting run on a double-entry accounting package with monthly reconciliation by a contracted bookkeeper and monthly financial statements to the board treasurer. Grant funds are tracked in a restricted fund class, so this award can be reported on separately without reconstruction at the end of the year.</w:t>
      </w:r>
    </w:p>
    <w:p>
      <w:r>
        <w:rPr>
          <w:b w:val="0"/>
          <w:i w:val="0"/>
        </w:rPr>
        <w:t>Governance controls relevant to this request: a board-approved flexible assistance policy with a per-veteran cap and dual approval; a conflict of interest policy signed annually by board and staff; a whistleblower policy; a written records retention and confidentiality policy covering veteran case files; background checks on all staff and volunteers with client contact; and annual independent audits since 2019 with no findings.</w:t>
      </w:r>
    </w:p>
    <w:p>
      <w:r>
        <w:rPr>
          <w:b w:val="0"/>
          <w:i w:val="0"/>
        </w:rPr>
        <w:t>Risk we will name rather than let a reviewer find: this program depends on hiring one person. If the peer specialist position sits vacant, the program stalls. Our mitigation is a posting drafted before the award, two candidates already identified through our volunteer corps, and a written commitment that the Program Director carries a reduced caseload of up to 12 veterans during any vacancy longer than four weeks.</w:t>
      </w:r>
    </w:p>
    <w:p>
      <w:pPr>
        <w:pStyle w:val="Heading1"/>
      </w:pPr>
      <w:r>
        <w:t>11. Sustainability</w:t>
      </w:r>
    </w:p>
    <w:p>
      <w:pPr>
        <w:pStyle w:val="Caption"/>
      </w:pPr>
      <w:r>
        <w:t>200 to 400 words. The real question underneath it is what happens to the veterans you enrolled when the grant ends. Answer that first, then the funding mix.</w:t>
      </w:r>
    </w:p>
    <w:p>
      <w:r>
        <w:rPr>
          <w:b w:val="0"/>
          <w:i w:val="0"/>
        </w:rPr>
        <w:t>Veterans enrolled through month 6 reach a planned closure inside the grant period; those enrolled in months 7 to 10 transfer at month 12 with a warm handoff and a named contact. At closure each veteran receives a written summary of open referrals and a named contact at the county veterans service office, and any veteran still active at month 12 transfers with a warm handoff, not a letter.</w:t>
      </w:r>
    </w:p>
    <w:p>
      <w:r>
        <w:rPr>
          <w:b w:val="0"/>
          <w:i w:val="0"/>
        </w:rPr>
        <w:t>For year two we are building a mix rather than a renewal: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736"/>
            <w:shd w:val="clear" w:color="auto" w:fill="E8EDF3"/>
          </w:tcPr>
          <w:p>
            <w:pPr>
              <w:spacing w:before="60" w:after="60"/>
            </w:pPr>
            <w:r/>
            <w:r>
              <w:rPr>
                <w:b/>
                <w:color w:val="1F3B5C"/>
                <w:sz w:val="20"/>
              </w:rPr>
              <w:t>Source</w:t>
            </w:r>
          </w:p>
        </w:tc>
        <w:tc>
          <w:tcPr>
            <w:tcW w:type="dxa" w:w="2304"/>
            <w:shd w:val="clear" w:color="auto" w:fill="E8EDF3"/>
          </w:tcPr>
          <w:p>
            <w:pPr>
              <w:spacing w:before="60" w:after="60"/>
            </w:pPr>
            <w:r/>
            <w:r>
              <w:rPr>
                <w:b/>
                <w:color w:val="1F3B5C"/>
                <w:sz w:val="20"/>
              </w:rPr>
              <w:t>Share of year two program cost</w:t>
            </w:r>
          </w:p>
        </w:tc>
        <w:tc>
          <w:tcPr>
            <w:tcW w:type="dxa" w:w="4320"/>
            <w:shd w:val="clear" w:color="auto" w:fill="E8EDF3"/>
          </w:tcPr>
          <w:p>
            <w:pPr>
              <w:spacing w:before="60" w:after="60"/>
            </w:pPr>
            <w:r/>
            <w:r>
              <w:rPr>
                <w:b/>
                <w:color w:val="1F3B5C"/>
                <w:sz w:val="20"/>
              </w:rPr>
              <w:t>Status</w:t>
            </w:r>
          </w:p>
        </w:tc>
      </w:tr>
      <w:tr>
        <w:tc>
          <w:tcPr>
            <w:tcW w:type="dxa" w:w="2736"/>
          </w:tcPr>
          <w:p>
            <w:pPr>
              <w:spacing w:before="60" w:after="60"/>
            </w:pPr>
            <w:r/>
            <w:r>
              <w:rPr>
                <w:b w:val="0"/>
                <w:sz w:val="20"/>
              </w:rPr>
              <w:t>Renewal from this funder or a second foundation</w:t>
            </w:r>
          </w:p>
        </w:tc>
        <w:tc>
          <w:tcPr>
            <w:tcW w:type="dxa" w:w="2304"/>
          </w:tcPr>
          <w:p>
            <w:pPr>
              <w:spacing w:before="60" w:after="60"/>
            </w:pPr>
            <w:r/>
            <w:r>
              <w:rPr>
                <w:b w:val="0"/>
                <w:sz w:val="20"/>
              </w:rPr>
              <w:t>45 percent, about $39,600</w:t>
            </w:r>
          </w:p>
        </w:tc>
        <w:tc>
          <w:tcPr>
            <w:tcW w:type="dxa" w:w="4320"/>
          </w:tcPr>
          <w:p>
            <w:pPr>
              <w:spacing w:before="60" w:after="60"/>
            </w:pPr>
            <w:r/>
            <w:r>
              <w:rPr>
                <w:b w:val="0"/>
                <w:sz w:val="20"/>
              </w:rPr>
              <w:t>This request would be the first year; two additional foundations identified for year two</w:t>
            </w:r>
          </w:p>
        </w:tc>
      </w:tr>
      <w:tr>
        <w:tc>
          <w:tcPr>
            <w:tcW w:type="dxa" w:w="2736"/>
            <w:shd w:val="clear" w:color="auto" w:fill="F5F7FA"/>
          </w:tcPr>
          <w:p>
            <w:pPr>
              <w:spacing w:before="60" w:after="60"/>
            </w:pPr>
            <w:r/>
            <w:r>
              <w:rPr>
                <w:b w:val="0"/>
                <w:sz w:val="20"/>
              </w:rPr>
              <w:t>County veterans allocation</w:t>
            </w:r>
          </w:p>
        </w:tc>
        <w:tc>
          <w:tcPr>
            <w:tcW w:type="dxa" w:w="2304"/>
            <w:shd w:val="clear" w:color="auto" w:fill="F5F7FA"/>
          </w:tcPr>
          <w:p>
            <w:pPr>
              <w:spacing w:before="60" w:after="60"/>
            </w:pPr>
            <w:r/>
            <w:r>
              <w:rPr>
                <w:b w:val="0"/>
                <w:sz w:val="20"/>
              </w:rPr>
              <w:t>20 percent, about $17,600</w:t>
            </w:r>
          </w:p>
        </w:tc>
        <w:tc>
          <w:tcPr>
            <w:tcW w:type="dxa" w:w="4320"/>
            <w:shd w:val="clear" w:color="auto" w:fill="F5F7FA"/>
          </w:tcPr>
          <w:p>
            <w:pPr>
              <w:spacing w:before="60" w:after="60"/>
            </w:pPr>
            <w:r/>
            <w:r>
              <w:rPr>
                <w:b w:val="0"/>
                <w:sz w:val="20"/>
              </w:rPr>
              <w:t>Our allocation has grown in each of the last three budget cycles; program data supports a request for an increase</w:t>
            </w:r>
          </w:p>
        </w:tc>
      </w:tr>
      <w:tr>
        <w:tc>
          <w:tcPr>
            <w:tcW w:type="dxa" w:w="2736"/>
          </w:tcPr>
          <w:p>
            <w:pPr>
              <w:spacing w:before="60" w:after="60"/>
            </w:pPr>
            <w:r/>
            <w:r>
              <w:rPr>
                <w:b w:val="0"/>
                <w:sz w:val="20"/>
              </w:rPr>
              <w:t>Individual donors and annual appeal</w:t>
            </w:r>
          </w:p>
        </w:tc>
        <w:tc>
          <w:tcPr>
            <w:tcW w:type="dxa" w:w="2304"/>
          </w:tcPr>
          <w:p>
            <w:pPr>
              <w:spacing w:before="60" w:after="60"/>
            </w:pPr>
            <w:r/>
            <w:r>
              <w:rPr>
                <w:b w:val="0"/>
                <w:sz w:val="20"/>
              </w:rPr>
              <w:t>20 percent, about $17,600</w:t>
            </w:r>
          </w:p>
        </w:tc>
        <w:tc>
          <w:tcPr>
            <w:tcW w:type="dxa" w:w="4320"/>
          </w:tcPr>
          <w:p>
            <w:pPr>
              <w:spacing w:before="60" w:after="60"/>
            </w:pPr>
            <w:r/>
            <w:r>
              <w:rPr>
                <w:b w:val="0"/>
                <w:sz w:val="20"/>
              </w:rPr>
              <w:t>Existing donor base of 231 households; the annual appeal has grown for four consecutive years</w:t>
            </w:r>
          </w:p>
        </w:tc>
      </w:tr>
      <w:tr>
        <w:tc>
          <w:tcPr>
            <w:tcW w:type="dxa" w:w="2736"/>
            <w:shd w:val="clear" w:color="auto" w:fill="F5F7FA"/>
          </w:tcPr>
          <w:p>
            <w:pPr>
              <w:spacing w:before="60" w:after="60"/>
            </w:pPr>
            <w:r/>
            <w:r>
              <w:rPr>
                <w:b w:val="0"/>
                <w:sz w:val="20"/>
              </w:rPr>
              <w:t>Employer partner sponsorships</w:t>
            </w:r>
          </w:p>
        </w:tc>
        <w:tc>
          <w:tcPr>
            <w:tcW w:type="dxa" w:w="2304"/>
            <w:shd w:val="clear" w:color="auto" w:fill="F5F7FA"/>
          </w:tcPr>
          <w:p>
            <w:pPr>
              <w:spacing w:before="60" w:after="60"/>
            </w:pPr>
            <w:r/>
            <w:r>
              <w:rPr>
                <w:b w:val="0"/>
                <w:sz w:val="20"/>
              </w:rPr>
              <w:t>15 percent, about $13,200</w:t>
            </w:r>
          </w:p>
        </w:tc>
        <w:tc>
          <w:tcPr>
            <w:tcW w:type="dxa" w:w="4320"/>
            <w:shd w:val="clear" w:color="auto" w:fill="F5F7FA"/>
          </w:tcPr>
          <w:p>
            <w:pPr>
              <w:spacing w:before="60" w:after="60"/>
            </w:pPr>
            <w:r/>
            <w:r>
              <w:rPr>
                <w:b w:val="0"/>
                <w:sz w:val="20"/>
              </w:rPr>
              <w:t>Two employers currently sponsor; the employment track gives them a direct reason to increase</w:t>
            </w:r>
          </w:p>
        </w:tc>
      </w:tr>
    </w:tbl>
    <w:p>
      <w:pPr>
        <w:spacing w:after="40"/>
      </w:pPr>
    </w:p>
    <w:p>
      <w:r>
        <w:rPr>
          <w:b w:val="0"/>
          <w:i w:val="0"/>
        </w:rPr>
        <w:t>The measures in Section 7 are chosen partly with this in mind. Employment placements and retention are the outcomes an employer sponsor and a county commission both understand, and a program that can show 18 placements and 13 retentions at 180 days is arguing from evidence rather than from need. If we cannot show those numbers, we should not be asking anyone to carry the program forward.</w:t>
      </w:r>
    </w:p>
    <w:p>
      <w:pPr>
        <w:pStyle w:val="Heading1"/>
      </w:pPr>
      <w:r>
        <w:t>12. Attachments</w:t>
      </w:r>
    </w:p>
    <w:p>
      <w:pPr>
        <w:pStyle w:val="Caption"/>
      </w:pPr>
      <w:r>
        <w:t>Two of these carry unusual weight in a veterans proposal: the referral agreement with a VA facility or vet center, and the letter of support from the county veterans service officer. Together they settle the coordination question before the reviewer has to ask it.</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576"/>
            <w:shd w:val="clear" w:color="auto" w:fill="E8EDF3"/>
          </w:tcPr>
          <w:p>
            <w:pPr>
              <w:spacing w:before="60" w:after="60"/>
            </w:pPr>
            <w:r/>
            <w:r>
              <w:rPr>
                <w:b/>
                <w:color w:val="1F3B5C"/>
                <w:sz w:val="20"/>
              </w:rPr>
              <w:t>#</w:t>
            </w:r>
          </w:p>
        </w:tc>
        <w:tc>
          <w:tcPr>
            <w:tcW w:type="dxa" w:w="4176"/>
            <w:shd w:val="clear" w:color="auto" w:fill="E8EDF3"/>
          </w:tcPr>
          <w:p>
            <w:pPr>
              <w:spacing w:before="60" w:after="60"/>
            </w:pPr>
            <w:r/>
            <w:r>
              <w:rPr>
                <w:b/>
                <w:color w:val="1F3B5C"/>
                <w:sz w:val="20"/>
              </w:rPr>
              <w:t>Attachment</w:t>
            </w:r>
          </w:p>
        </w:tc>
        <w:tc>
          <w:tcPr>
            <w:tcW w:type="dxa" w:w="4608"/>
            <w:shd w:val="clear" w:color="auto" w:fill="E8EDF3"/>
          </w:tcPr>
          <w:p>
            <w:pPr>
              <w:spacing w:before="60" w:after="60"/>
            </w:pPr>
            <w:r/>
            <w:r>
              <w:rPr>
                <w:b/>
                <w:color w:val="1F3B5C"/>
                <w:sz w:val="20"/>
              </w:rPr>
              <w:t>Why the reviewer wants it</w:t>
            </w:r>
          </w:p>
        </w:tc>
      </w:tr>
      <w:tr>
        <w:tc>
          <w:tcPr>
            <w:tcW w:type="dxa" w:w="576"/>
          </w:tcPr>
          <w:p>
            <w:pPr>
              <w:spacing w:before="60" w:after="60"/>
            </w:pPr>
            <w:r/>
            <w:r>
              <w:rPr>
                <w:b w:val="0"/>
                <w:sz w:val="20"/>
              </w:rPr>
              <w:t>1</w:t>
            </w:r>
          </w:p>
        </w:tc>
        <w:tc>
          <w:tcPr>
            <w:tcW w:type="dxa" w:w="4176"/>
          </w:tcPr>
          <w:p>
            <w:pPr>
              <w:spacing w:before="60" w:after="60"/>
            </w:pPr>
            <w:r/>
            <w:r>
              <w:rPr>
                <w:b w:val="0"/>
                <w:sz w:val="20"/>
              </w:rPr>
              <w:t>IRS determination letter</w:t>
            </w:r>
          </w:p>
        </w:tc>
        <w:tc>
          <w:tcPr>
            <w:tcW w:type="dxa" w:w="4608"/>
          </w:tcPr>
          <w:p>
            <w:pPr>
              <w:spacing w:before="60" w:after="60"/>
            </w:pPr>
            <w:r/>
            <w:r>
              <w:rPr>
                <w:b w:val="0"/>
                <w:sz w:val="20"/>
              </w:rPr>
              <w:t>Confirms 501(c)(3) status</w:t>
            </w:r>
          </w:p>
        </w:tc>
      </w:tr>
      <w:tr>
        <w:tc>
          <w:tcPr>
            <w:tcW w:type="dxa" w:w="576"/>
            <w:shd w:val="clear" w:color="auto" w:fill="F5F7FA"/>
          </w:tcPr>
          <w:p>
            <w:pPr>
              <w:spacing w:before="60" w:after="60"/>
            </w:pPr>
            <w:r/>
            <w:r>
              <w:rPr>
                <w:b w:val="0"/>
                <w:sz w:val="20"/>
              </w:rPr>
              <w:t>2</w:t>
            </w:r>
          </w:p>
        </w:tc>
        <w:tc>
          <w:tcPr>
            <w:tcW w:type="dxa" w:w="4176"/>
            <w:shd w:val="clear" w:color="auto" w:fill="F5F7FA"/>
          </w:tcPr>
          <w:p>
            <w:pPr>
              <w:spacing w:before="60" w:after="60"/>
            </w:pPr>
            <w:r/>
            <w:r>
              <w:rPr>
                <w:b w:val="0"/>
                <w:sz w:val="20"/>
              </w:rPr>
              <w:t>Board of directors list with affiliations</w:t>
            </w:r>
          </w:p>
        </w:tc>
        <w:tc>
          <w:tcPr>
            <w:tcW w:type="dxa" w:w="4608"/>
            <w:shd w:val="clear" w:color="auto" w:fill="F5F7FA"/>
          </w:tcPr>
          <w:p>
            <w:pPr>
              <w:spacing w:before="60" w:after="60"/>
            </w:pPr>
            <w:r/>
            <w:r>
              <w:rPr>
                <w:b w:val="0"/>
                <w:sz w:val="20"/>
              </w:rPr>
              <w:t>Governance and community connection</w:t>
            </w:r>
          </w:p>
        </w:tc>
      </w:tr>
      <w:tr>
        <w:tc>
          <w:tcPr>
            <w:tcW w:type="dxa" w:w="576"/>
          </w:tcPr>
          <w:p>
            <w:pPr>
              <w:spacing w:before="60" w:after="60"/>
            </w:pPr>
            <w:r/>
            <w:r>
              <w:rPr>
                <w:b w:val="0"/>
                <w:sz w:val="20"/>
              </w:rPr>
              <w:t>3</w:t>
            </w:r>
          </w:p>
        </w:tc>
        <w:tc>
          <w:tcPr>
            <w:tcW w:type="dxa" w:w="4176"/>
          </w:tcPr>
          <w:p>
            <w:pPr>
              <w:spacing w:before="60" w:after="60"/>
            </w:pPr>
            <w:r/>
            <w:r>
              <w:rPr>
                <w:b w:val="0"/>
                <w:sz w:val="20"/>
              </w:rPr>
              <w:t>Most recent audited financial statements</w:t>
            </w:r>
          </w:p>
        </w:tc>
        <w:tc>
          <w:tcPr>
            <w:tcW w:type="dxa" w:w="4608"/>
          </w:tcPr>
          <w:p>
            <w:pPr>
              <w:spacing w:before="60" w:after="60"/>
            </w:pPr>
            <w:r/>
            <w:r>
              <w:rPr>
                <w:b w:val="0"/>
                <w:sz w:val="20"/>
              </w:rPr>
              <w:t>Financial controls</w:t>
            </w:r>
          </w:p>
        </w:tc>
      </w:tr>
      <w:tr>
        <w:tc>
          <w:tcPr>
            <w:tcW w:type="dxa" w:w="576"/>
            <w:shd w:val="clear" w:color="auto" w:fill="F5F7FA"/>
          </w:tcPr>
          <w:p>
            <w:pPr>
              <w:spacing w:before="60" w:after="60"/>
            </w:pPr>
            <w:r/>
            <w:r>
              <w:rPr>
                <w:b w:val="0"/>
                <w:sz w:val="20"/>
              </w:rPr>
              <w:t>4</w:t>
            </w:r>
          </w:p>
        </w:tc>
        <w:tc>
          <w:tcPr>
            <w:tcW w:type="dxa" w:w="4176"/>
            <w:shd w:val="clear" w:color="auto" w:fill="F5F7FA"/>
          </w:tcPr>
          <w:p>
            <w:pPr>
              <w:spacing w:before="60" w:after="60"/>
            </w:pPr>
            <w:r/>
            <w:r>
              <w:rPr>
                <w:b w:val="0"/>
                <w:sz w:val="20"/>
              </w:rPr>
              <w:t>Most recent Form 990</w:t>
            </w:r>
          </w:p>
        </w:tc>
        <w:tc>
          <w:tcPr>
            <w:tcW w:type="dxa" w:w="4608"/>
            <w:shd w:val="clear" w:color="auto" w:fill="F5F7FA"/>
          </w:tcPr>
          <w:p>
            <w:pPr>
              <w:spacing w:before="60" w:after="60"/>
            </w:pPr>
            <w:r/>
            <w:r>
              <w:rPr>
                <w:b w:val="0"/>
                <w:sz w:val="20"/>
              </w:rPr>
              <w:t>Public accountability</w:t>
            </w:r>
          </w:p>
        </w:tc>
      </w:tr>
      <w:tr>
        <w:tc>
          <w:tcPr>
            <w:tcW w:type="dxa" w:w="576"/>
          </w:tcPr>
          <w:p>
            <w:pPr>
              <w:spacing w:before="60" w:after="60"/>
            </w:pPr>
            <w:r/>
            <w:r>
              <w:rPr>
                <w:b w:val="0"/>
                <w:sz w:val="20"/>
              </w:rPr>
              <w:t>5</w:t>
            </w:r>
          </w:p>
        </w:tc>
        <w:tc>
          <w:tcPr>
            <w:tcW w:type="dxa" w:w="4176"/>
          </w:tcPr>
          <w:p>
            <w:pPr>
              <w:spacing w:before="60" w:after="60"/>
            </w:pPr>
            <w:r/>
            <w:r>
              <w:rPr>
                <w:b w:val="0"/>
                <w:sz w:val="20"/>
              </w:rPr>
              <w:t>Current organizational budget and year-to-date actuals</w:t>
            </w:r>
          </w:p>
        </w:tc>
        <w:tc>
          <w:tcPr>
            <w:tcW w:type="dxa" w:w="4608"/>
          </w:tcPr>
          <w:p>
            <w:pPr>
              <w:spacing w:before="60" w:after="60"/>
            </w:pPr>
            <w:r/>
            <w:r>
              <w:rPr>
                <w:b w:val="0"/>
                <w:sz w:val="20"/>
              </w:rPr>
              <w:t>Whether the program budget is plausible inside the whole</w:t>
            </w:r>
          </w:p>
        </w:tc>
      </w:tr>
      <w:tr>
        <w:tc>
          <w:tcPr>
            <w:tcW w:type="dxa" w:w="576"/>
            <w:shd w:val="clear" w:color="auto" w:fill="F5F7FA"/>
          </w:tcPr>
          <w:p>
            <w:pPr>
              <w:spacing w:before="60" w:after="60"/>
            </w:pPr>
            <w:r/>
            <w:r>
              <w:rPr>
                <w:b w:val="0"/>
                <w:sz w:val="20"/>
              </w:rPr>
              <w:t>6</w:t>
            </w:r>
          </w:p>
        </w:tc>
        <w:tc>
          <w:tcPr>
            <w:tcW w:type="dxa" w:w="4176"/>
            <w:shd w:val="clear" w:color="auto" w:fill="F5F7FA"/>
          </w:tcPr>
          <w:p>
            <w:pPr>
              <w:spacing w:before="60" w:after="60"/>
            </w:pPr>
            <w:r/>
            <w:r>
              <w:rPr>
                <w:b w:val="0"/>
                <w:sz w:val="20"/>
              </w:rPr>
              <w:t>MOU with the VA medical center or vet center</w:t>
            </w:r>
          </w:p>
        </w:tc>
        <w:tc>
          <w:tcPr>
            <w:tcW w:type="dxa" w:w="4608"/>
            <w:shd w:val="clear" w:color="auto" w:fill="F5F7FA"/>
          </w:tcPr>
          <w:p>
            <w:pPr>
              <w:spacing w:before="60" w:after="60"/>
            </w:pPr>
            <w:r/>
            <w:r>
              <w:rPr>
                <w:b w:val="0"/>
                <w:sz w:val="20"/>
              </w:rPr>
              <w:t>Answers the duplication question</w:t>
            </w:r>
          </w:p>
        </w:tc>
      </w:tr>
      <w:tr>
        <w:tc>
          <w:tcPr>
            <w:tcW w:type="dxa" w:w="576"/>
          </w:tcPr>
          <w:p>
            <w:pPr>
              <w:spacing w:before="60" w:after="60"/>
            </w:pPr>
            <w:r/>
            <w:r>
              <w:rPr>
                <w:b w:val="0"/>
                <w:sz w:val="20"/>
              </w:rPr>
              <w:t>7</w:t>
            </w:r>
          </w:p>
        </w:tc>
        <w:tc>
          <w:tcPr>
            <w:tcW w:type="dxa" w:w="4176"/>
          </w:tcPr>
          <w:p>
            <w:pPr>
              <w:spacing w:before="60" w:after="60"/>
            </w:pPr>
            <w:r/>
            <w:r>
              <w:rPr>
                <w:b w:val="0"/>
                <w:sz w:val="20"/>
              </w:rPr>
              <w:t>Letter of support from the county veterans service officer</w:t>
            </w:r>
          </w:p>
        </w:tc>
        <w:tc>
          <w:tcPr>
            <w:tcW w:type="dxa" w:w="4608"/>
          </w:tcPr>
          <w:p>
            <w:pPr>
              <w:spacing w:before="60" w:after="60"/>
            </w:pPr>
            <w:r/>
            <w:r>
              <w:rPr>
                <w:b w:val="0"/>
                <w:sz w:val="20"/>
              </w:rPr>
              <w:t>Confirms coordination and the benefits referral path</w:t>
            </w:r>
          </w:p>
        </w:tc>
      </w:tr>
      <w:tr>
        <w:tc>
          <w:tcPr>
            <w:tcW w:type="dxa" w:w="576"/>
            <w:shd w:val="clear" w:color="auto" w:fill="F5F7FA"/>
          </w:tcPr>
          <w:p>
            <w:pPr>
              <w:spacing w:before="60" w:after="60"/>
            </w:pPr>
            <w:r/>
            <w:r>
              <w:rPr>
                <w:b w:val="0"/>
                <w:sz w:val="20"/>
              </w:rPr>
              <w:t>8</w:t>
            </w:r>
          </w:p>
        </w:tc>
        <w:tc>
          <w:tcPr>
            <w:tcW w:type="dxa" w:w="4176"/>
            <w:shd w:val="clear" w:color="auto" w:fill="F5F7FA"/>
          </w:tcPr>
          <w:p>
            <w:pPr>
              <w:spacing w:before="60" w:after="60"/>
            </w:pPr>
            <w:r/>
            <w:r>
              <w:rPr>
                <w:b w:val="0"/>
                <w:sz w:val="20"/>
              </w:rPr>
              <w:t>Peer support specialist position description</w:t>
            </w:r>
          </w:p>
        </w:tc>
        <w:tc>
          <w:tcPr>
            <w:tcW w:type="dxa" w:w="4608"/>
            <w:shd w:val="clear" w:color="auto" w:fill="F5F7FA"/>
          </w:tcPr>
          <w:p>
            <w:pPr>
              <w:spacing w:before="60" w:after="60"/>
            </w:pPr>
            <w:r/>
            <w:r>
              <w:rPr>
                <w:b w:val="0"/>
                <w:sz w:val="20"/>
              </w:rPr>
              <w:t>Proves the supervision and certification claims</w:t>
            </w:r>
          </w:p>
        </w:tc>
      </w:tr>
      <w:tr>
        <w:tc>
          <w:tcPr>
            <w:tcW w:type="dxa" w:w="576"/>
          </w:tcPr>
          <w:p>
            <w:pPr>
              <w:spacing w:before="60" w:after="60"/>
            </w:pPr>
            <w:r/>
            <w:r>
              <w:rPr>
                <w:b w:val="0"/>
                <w:sz w:val="20"/>
              </w:rPr>
              <w:t>9</w:t>
            </w:r>
          </w:p>
        </w:tc>
        <w:tc>
          <w:tcPr>
            <w:tcW w:type="dxa" w:w="4176"/>
          </w:tcPr>
          <w:p>
            <w:pPr>
              <w:spacing w:before="60" w:after="60"/>
            </w:pPr>
            <w:r/>
            <w:r>
              <w:rPr>
                <w:b w:val="0"/>
                <w:sz w:val="20"/>
              </w:rPr>
              <w:t>Written crisis response and suicide prevention protocol</w:t>
            </w:r>
          </w:p>
        </w:tc>
        <w:tc>
          <w:tcPr>
            <w:tcW w:type="dxa" w:w="4608"/>
          </w:tcPr>
          <w:p>
            <w:pPr>
              <w:spacing w:before="60" w:after="60"/>
            </w:pPr>
            <w:r/>
            <w:r>
              <w:rPr>
                <w:b w:val="0"/>
                <w:sz w:val="20"/>
              </w:rPr>
              <w:t>Proves Section 5.6 exists on paper</w:t>
            </w:r>
          </w:p>
        </w:tc>
      </w:tr>
      <w:tr>
        <w:tc>
          <w:tcPr>
            <w:tcW w:type="dxa" w:w="576"/>
            <w:shd w:val="clear" w:color="auto" w:fill="F5F7FA"/>
          </w:tcPr>
          <w:p>
            <w:pPr>
              <w:spacing w:before="60" w:after="60"/>
            </w:pPr>
            <w:r/>
            <w:r>
              <w:rPr>
                <w:b w:val="0"/>
                <w:sz w:val="20"/>
              </w:rPr>
              <w:t>10</w:t>
            </w:r>
          </w:p>
        </w:tc>
        <w:tc>
          <w:tcPr>
            <w:tcW w:type="dxa" w:w="4176"/>
            <w:shd w:val="clear" w:color="auto" w:fill="F5F7FA"/>
          </w:tcPr>
          <w:p>
            <w:pPr>
              <w:spacing w:before="60" w:after="60"/>
            </w:pPr>
            <w:r/>
            <w:r>
              <w:rPr>
                <w:b w:val="0"/>
                <w:sz w:val="20"/>
              </w:rPr>
              <w:t>Flexible assistance fund spending policy</w:t>
            </w:r>
          </w:p>
        </w:tc>
        <w:tc>
          <w:tcPr>
            <w:tcW w:type="dxa" w:w="4608"/>
            <w:shd w:val="clear" w:color="auto" w:fill="F5F7FA"/>
          </w:tcPr>
          <w:p>
            <w:pPr>
              <w:spacing w:before="60" w:after="60"/>
            </w:pPr>
            <w:r/>
            <w:r>
              <w:rPr>
                <w:b w:val="0"/>
                <w:sz w:val="20"/>
              </w:rPr>
              <w:t>Turns a soft budget line into a governed one</w:t>
            </w:r>
          </w:p>
        </w:tc>
      </w:tr>
      <w:tr>
        <w:tc>
          <w:tcPr>
            <w:tcW w:type="dxa" w:w="576"/>
          </w:tcPr>
          <w:p>
            <w:pPr>
              <w:spacing w:before="60" w:after="60"/>
            </w:pPr>
            <w:r/>
            <w:r>
              <w:rPr>
                <w:b w:val="0"/>
                <w:sz w:val="20"/>
              </w:rPr>
              <w:t>11</w:t>
            </w:r>
          </w:p>
        </w:tc>
        <w:tc>
          <w:tcPr>
            <w:tcW w:type="dxa" w:w="4176"/>
          </w:tcPr>
          <w:p>
            <w:pPr>
              <w:spacing w:before="60" w:after="60"/>
            </w:pPr>
            <w:r/>
            <w:r>
              <w:rPr>
                <w:b w:val="0"/>
                <w:sz w:val="20"/>
              </w:rPr>
              <w:t>Evaluation instruments and consent form</w:t>
            </w:r>
          </w:p>
        </w:tc>
        <w:tc>
          <w:tcPr>
            <w:tcW w:type="dxa" w:w="4608"/>
          </w:tcPr>
          <w:p>
            <w:pPr>
              <w:spacing w:before="60" w:after="60"/>
            </w:pPr>
            <w:r/>
            <w:r>
              <w:rPr>
                <w:b w:val="0"/>
                <w:sz w:val="20"/>
              </w:rPr>
              <w:t>Shows the data plan is real</w:t>
            </w:r>
          </w:p>
        </w:tc>
      </w:tr>
      <w:tr>
        <w:tc>
          <w:tcPr>
            <w:tcW w:type="dxa" w:w="576"/>
            <w:shd w:val="clear" w:color="auto" w:fill="F5F7FA"/>
          </w:tcPr>
          <w:p>
            <w:pPr>
              <w:spacing w:before="60" w:after="60"/>
            </w:pPr>
            <w:r/>
            <w:r>
              <w:rPr>
                <w:b w:val="0"/>
                <w:sz w:val="20"/>
              </w:rPr>
              <w:t>12</w:t>
            </w:r>
          </w:p>
        </w:tc>
        <w:tc>
          <w:tcPr>
            <w:tcW w:type="dxa" w:w="4176"/>
            <w:shd w:val="clear" w:color="auto" w:fill="F5F7FA"/>
          </w:tcPr>
          <w:p>
            <w:pPr>
              <w:spacing w:before="60" w:after="60"/>
            </w:pPr>
            <w:r/>
            <w:r>
              <w:rPr>
                <w:b w:val="0"/>
                <w:sz w:val="20"/>
              </w:rPr>
              <w:t>List of current funders and amounts</w:t>
            </w:r>
          </w:p>
        </w:tc>
        <w:tc>
          <w:tcPr>
            <w:tcW w:type="dxa" w:w="4608"/>
            <w:shd w:val="clear" w:color="auto" w:fill="F5F7FA"/>
          </w:tcPr>
          <w:p>
            <w:pPr>
              <w:spacing w:before="60" w:after="60"/>
            </w:pPr>
            <w:r/>
            <w:r>
              <w:rPr>
                <w:b w:val="0"/>
                <w:sz w:val="20"/>
              </w:rPr>
              <w:t>Context for the ask</w:t>
            </w:r>
          </w:p>
        </w:tc>
      </w:tr>
    </w:tbl>
    <w:p>
      <w:pPr>
        <w:spacing w:after="40"/>
      </w:pPr>
    </w:p>
    <w:p>
      <w:r>
        <w:br w:type="page"/>
      </w:r>
    </w:p>
    <w:p>
      <w:pPr>
        <w:pStyle w:val="Heading1"/>
      </w:pPr>
      <w:r>
        <w:t>Appendix A: Coordination and Referral Map</w:t>
      </w:r>
    </w:p>
    <w:p>
      <w:pPr>
        <w:pStyle w:val="Caption"/>
      </w:pPr>
      <w:r>
        <w:t>Attach this table or fold it into Section 5.5. It answers 'are you duplicating an existing program?' faster than a paragraph can. Replace the partner types with the actual organizations in your service area and name them.</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800"/>
            <w:shd w:val="clear" w:color="auto" w:fill="E8EDF3"/>
          </w:tcPr>
          <w:p>
            <w:pPr>
              <w:spacing w:before="60" w:after="60"/>
            </w:pPr>
            <w:r/>
            <w:r>
              <w:rPr>
                <w:b/>
                <w:color w:val="1F3B5C"/>
                <w:sz w:val="17"/>
              </w:rPr>
              <w:t>Partner</w:t>
            </w:r>
          </w:p>
        </w:tc>
        <w:tc>
          <w:tcPr>
            <w:tcW w:type="dxa" w:w="2304"/>
            <w:shd w:val="clear" w:color="auto" w:fill="E8EDF3"/>
          </w:tcPr>
          <w:p>
            <w:pPr>
              <w:spacing w:before="60" w:after="60"/>
            </w:pPr>
            <w:r/>
            <w:r>
              <w:rPr>
                <w:b/>
                <w:color w:val="1F3B5C"/>
                <w:sz w:val="17"/>
              </w:rPr>
              <w:t>What they provide</w:t>
            </w:r>
          </w:p>
        </w:tc>
        <w:tc>
          <w:tcPr>
            <w:tcW w:type="dxa" w:w="2304"/>
            <w:shd w:val="clear" w:color="auto" w:fill="E8EDF3"/>
          </w:tcPr>
          <w:p>
            <w:pPr>
              <w:spacing w:before="60" w:after="60"/>
            </w:pPr>
            <w:r/>
            <w:r>
              <w:rPr>
                <w:b/>
                <w:color w:val="1F3B5C"/>
                <w:sz w:val="17"/>
              </w:rPr>
              <w:t>What we send them</w:t>
            </w:r>
          </w:p>
        </w:tc>
        <w:tc>
          <w:tcPr>
            <w:tcW w:type="dxa" w:w="2160"/>
            <w:shd w:val="clear" w:color="auto" w:fill="E8EDF3"/>
          </w:tcPr>
          <w:p>
            <w:pPr>
              <w:spacing w:before="60" w:after="60"/>
            </w:pPr>
            <w:r/>
            <w:r>
              <w:rPr>
                <w:b/>
                <w:color w:val="1F3B5C"/>
                <w:sz w:val="17"/>
              </w:rPr>
              <w:t>What they send us</w:t>
            </w:r>
          </w:p>
        </w:tc>
        <w:tc>
          <w:tcPr>
            <w:tcW w:type="dxa" w:w="1224"/>
            <w:shd w:val="clear" w:color="auto" w:fill="E8EDF3"/>
          </w:tcPr>
          <w:p>
            <w:pPr>
              <w:spacing w:before="60" w:after="60"/>
            </w:pPr>
            <w:r/>
            <w:r>
              <w:rPr>
                <w:b/>
                <w:color w:val="1F3B5C"/>
                <w:sz w:val="17"/>
              </w:rPr>
              <w:t>Agreement</w:t>
            </w:r>
          </w:p>
        </w:tc>
      </w:tr>
      <w:tr>
        <w:tc>
          <w:tcPr>
            <w:tcW w:type="dxa" w:w="1800"/>
          </w:tcPr>
          <w:p>
            <w:pPr>
              <w:spacing w:before="60" w:after="60"/>
            </w:pPr>
            <w:r/>
            <w:r>
              <w:rPr>
                <w:b w:val="0"/>
                <w:sz w:val="17"/>
              </w:rPr>
              <w:t>VA medical center serving our region</w:t>
            </w:r>
          </w:p>
        </w:tc>
        <w:tc>
          <w:tcPr>
            <w:tcW w:type="dxa" w:w="2304"/>
          </w:tcPr>
          <w:p>
            <w:pPr>
              <w:spacing w:before="60" w:after="60"/>
            </w:pPr>
            <w:r/>
            <w:r>
              <w:rPr>
                <w:b w:val="0"/>
                <w:sz w:val="17"/>
              </w:rPr>
              <w:t>Health care, mental health care, some benefits support</w:t>
            </w:r>
          </w:p>
        </w:tc>
        <w:tc>
          <w:tcPr>
            <w:tcW w:type="dxa" w:w="2304"/>
          </w:tcPr>
          <w:p>
            <w:pPr>
              <w:spacing w:before="60" w:after="60"/>
            </w:pPr>
            <w:r/>
            <w:r>
              <w:rPr>
                <w:b w:val="0"/>
                <w:sz w:val="17"/>
              </w:rPr>
              <w:t>Eligible veterans needing care, with confirmation of the first appointment</w:t>
            </w:r>
          </w:p>
        </w:tc>
        <w:tc>
          <w:tcPr>
            <w:tcW w:type="dxa" w:w="2160"/>
          </w:tcPr>
          <w:p>
            <w:pPr>
              <w:spacing w:before="60" w:after="60"/>
            </w:pPr>
            <w:r/>
            <w:r>
              <w:rPr>
                <w:b w:val="0"/>
                <w:sz w:val="17"/>
              </w:rPr>
              <w:t>Veterans needing transport, or outside their eligibility</w:t>
            </w:r>
          </w:p>
        </w:tc>
        <w:tc>
          <w:tcPr>
            <w:tcW w:type="dxa" w:w="1224"/>
          </w:tcPr>
          <w:p>
            <w:pPr>
              <w:spacing w:before="60" w:after="60"/>
            </w:pPr>
            <w:r/>
            <w:r>
              <w:rPr>
                <w:b w:val="0"/>
                <w:sz w:val="17"/>
              </w:rPr>
              <w:t>MOU, attached</w:t>
            </w:r>
          </w:p>
        </w:tc>
      </w:tr>
      <w:tr>
        <w:tc>
          <w:tcPr>
            <w:tcW w:type="dxa" w:w="1800"/>
            <w:shd w:val="clear" w:color="auto" w:fill="F5F7FA"/>
          </w:tcPr>
          <w:p>
            <w:pPr>
              <w:spacing w:before="60" w:after="60"/>
            </w:pPr>
            <w:r/>
            <w:r>
              <w:rPr>
                <w:b w:val="0"/>
                <w:sz w:val="17"/>
              </w:rPr>
              <w:t>Vet center (regional)</w:t>
            </w:r>
          </w:p>
        </w:tc>
        <w:tc>
          <w:tcPr>
            <w:tcW w:type="dxa" w:w="2304"/>
            <w:shd w:val="clear" w:color="auto" w:fill="F5F7FA"/>
          </w:tcPr>
          <w:p>
            <w:pPr>
              <w:spacing w:before="60" w:after="60"/>
            </w:pPr>
            <w:r/>
            <w:r>
              <w:rPr>
                <w:b w:val="0"/>
                <w:sz w:val="17"/>
              </w:rPr>
              <w:t>Readjustment counseling, bereavement counseling</w:t>
            </w:r>
          </w:p>
        </w:tc>
        <w:tc>
          <w:tcPr>
            <w:tcW w:type="dxa" w:w="2304"/>
            <w:shd w:val="clear" w:color="auto" w:fill="F5F7FA"/>
          </w:tcPr>
          <w:p>
            <w:pPr>
              <w:spacing w:before="60" w:after="60"/>
            </w:pPr>
            <w:r/>
            <w:r>
              <w:rPr>
                <w:b w:val="0"/>
                <w:sz w:val="17"/>
              </w:rPr>
              <w:t>Combat veterans and survivors seeking counseling</w:t>
            </w:r>
          </w:p>
        </w:tc>
        <w:tc>
          <w:tcPr>
            <w:tcW w:type="dxa" w:w="2160"/>
            <w:shd w:val="clear" w:color="auto" w:fill="F5F7FA"/>
          </w:tcPr>
          <w:p>
            <w:pPr>
              <w:spacing w:before="60" w:after="60"/>
            </w:pPr>
            <w:r/>
            <w:r>
              <w:rPr>
                <w:b w:val="0"/>
                <w:sz w:val="17"/>
              </w:rPr>
              <w:t>Veterans needing housing, employment or material support</w:t>
            </w:r>
          </w:p>
        </w:tc>
        <w:tc>
          <w:tcPr>
            <w:tcW w:type="dxa" w:w="1224"/>
            <w:shd w:val="clear" w:color="auto" w:fill="F5F7FA"/>
          </w:tcPr>
          <w:p>
            <w:pPr>
              <w:spacing w:before="60" w:after="60"/>
            </w:pPr>
            <w:r/>
            <w:r>
              <w:rPr>
                <w:b w:val="0"/>
                <w:sz w:val="17"/>
              </w:rPr>
              <w:t>Written referral agreement</w:t>
            </w:r>
          </w:p>
        </w:tc>
      </w:tr>
      <w:tr>
        <w:tc>
          <w:tcPr>
            <w:tcW w:type="dxa" w:w="1800"/>
          </w:tcPr>
          <w:p>
            <w:pPr>
              <w:spacing w:before="60" w:after="60"/>
            </w:pPr>
            <w:r/>
            <w:r>
              <w:rPr>
                <w:b w:val="0"/>
                <w:sz w:val="17"/>
              </w:rPr>
              <w:t>County veterans service officer</w:t>
            </w:r>
          </w:p>
        </w:tc>
        <w:tc>
          <w:tcPr>
            <w:tcW w:type="dxa" w:w="2304"/>
          </w:tcPr>
          <w:p>
            <w:pPr>
              <w:spacing w:before="60" w:after="60"/>
            </w:pPr>
            <w:r/>
            <w:r>
              <w:rPr>
                <w:b w:val="0"/>
                <w:sz w:val="17"/>
              </w:rPr>
              <w:t>Accredited benefits representation, records requests</w:t>
            </w:r>
          </w:p>
        </w:tc>
        <w:tc>
          <w:tcPr>
            <w:tcW w:type="dxa" w:w="2304"/>
          </w:tcPr>
          <w:p>
            <w:pPr>
              <w:spacing w:before="60" w:after="60"/>
            </w:pPr>
            <w:r/>
            <w:r>
              <w:rPr>
                <w:b w:val="0"/>
                <w:sz w:val="17"/>
              </w:rPr>
              <w:t>Every veteran with a possible entitlement</w:t>
            </w:r>
          </w:p>
        </w:tc>
        <w:tc>
          <w:tcPr>
            <w:tcW w:type="dxa" w:w="2160"/>
          </w:tcPr>
          <w:p>
            <w:pPr>
              <w:spacing w:before="60" w:after="60"/>
            </w:pPr>
            <w:r/>
            <w:r>
              <w:rPr>
                <w:b w:val="0"/>
                <w:sz w:val="17"/>
              </w:rPr>
              <w:t>Veterans needing navigation, transport or assistance</w:t>
            </w:r>
          </w:p>
        </w:tc>
        <w:tc>
          <w:tcPr>
            <w:tcW w:type="dxa" w:w="1224"/>
          </w:tcPr>
          <w:p>
            <w:pPr>
              <w:spacing w:before="60" w:after="60"/>
            </w:pPr>
            <w:r/>
            <w:r>
              <w:rPr>
                <w:b w:val="0"/>
                <w:sz w:val="17"/>
              </w:rPr>
              <w:t>Letter of support, shared office hours</w:t>
            </w:r>
          </w:p>
        </w:tc>
      </w:tr>
      <w:tr>
        <w:tc>
          <w:tcPr>
            <w:tcW w:type="dxa" w:w="1800"/>
            <w:shd w:val="clear" w:color="auto" w:fill="F5F7FA"/>
          </w:tcPr>
          <w:p>
            <w:pPr>
              <w:spacing w:before="60" w:after="60"/>
            </w:pPr>
            <w:r/>
            <w:r>
              <w:rPr>
                <w:b w:val="0"/>
                <w:sz w:val="17"/>
              </w:rPr>
              <w:t>State department of veterans affairs</w:t>
            </w:r>
          </w:p>
        </w:tc>
        <w:tc>
          <w:tcPr>
            <w:tcW w:type="dxa" w:w="2304"/>
            <w:shd w:val="clear" w:color="auto" w:fill="F5F7FA"/>
          </w:tcPr>
          <w:p>
            <w:pPr>
              <w:spacing w:before="60" w:after="60"/>
            </w:pPr>
            <w:r/>
            <w:r>
              <w:rPr>
                <w:b w:val="0"/>
                <w:sz w:val="17"/>
              </w:rPr>
              <w:t>State benefits, state veterans programs</w:t>
            </w:r>
          </w:p>
        </w:tc>
        <w:tc>
          <w:tcPr>
            <w:tcW w:type="dxa" w:w="2304"/>
            <w:shd w:val="clear" w:color="auto" w:fill="F5F7FA"/>
          </w:tcPr>
          <w:p>
            <w:pPr>
              <w:spacing w:before="60" w:after="60"/>
            </w:pPr>
            <w:r/>
            <w:r>
              <w:rPr>
                <w:b w:val="0"/>
                <w:sz w:val="17"/>
              </w:rPr>
              <w:t>Veterans eligible for state benefits</w:t>
            </w:r>
          </w:p>
        </w:tc>
        <w:tc>
          <w:tcPr>
            <w:tcW w:type="dxa" w:w="2160"/>
            <w:shd w:val="clear" w:color="auto" w:fill="F5F7FA"/>
          </w:tcPr>
          <w:p>
            <w:pPr>
              <w:spacing w:before="60" w:after="60"/>
            </w:pPr>
            <w:r/>
            <w:r>
              <w:rPr>
                <w:b w:val="0"/>
                <w:sz w:val="17"/>
              </w:rPr>
              <w:t>Referrals from the state hotline</w:t>
            </w:r>
          </w:p>
        </w:tc>
        <w:tc>
          <w:tcPr>
            <w:tcW w:type="dxa" w:w="1224"/>
            <w:shd w:val="clear" w:color="auto" w:fill="F5F7FA"/>
          </w:tcPr>
          <w:p>
            <w:pPr>
              <w:spacing w:before="60" w:after="60"/>
            </w:pPr>
            <w:r/>
            <w:r>
              <w:rPr>
                <w:b w:val="0"/>
                <w:sz w:val="17"/>
              </w:rPr>
              <w:t>Program listing</w:t>
            </w:r>
          </w:p>
        </w:tc>
      </w:tr>
      <w:tr>
        <w:tc>
          <w:tcPr>
            <w:tcW w:type="dxa" w:w="1800"/>
          </w:tcPr>
          <w:p>
            <w:pPr>
              <w:spacing w:before="60" w:after="60"/>
            </w:pPr>
            <w:r/>
            <w:r>
              <w:rPr>
                <w:b w:val="0"/>
                <w:sz w:val="17"/>
              </w:rPr>
              <w:t>Community mental health center</w:t>
            </w:r>
          </w:p>
        </w:tc>
        <w:tc>
          <w:tcPr>
            <w:tcW w:type="dxa" w:w="2304"/>
          </w:tcPr>
          <w:p>
            <w:pPr>
              <w:spacing w:before="60" w:after="60"/>
            </w:pPr>
            <w:r/>
            <w:r>
              <w:rPr>
                <w:b w:val="0"/>
                <w:sz w:val="17"/>
              </w:rPr>
              <w:t>Counseling and psychiatric care for the uninsured and VA-ineligible</w:t>
            </w:r>
          </w:p>
        </w:tc>
        <w:tc>
          <w:tcPr>
            <w:tcW w:type="dxa" w:w="2304"/>
          </w:tcPr>
          <w:p>
            <w:pPr>
              <w:spacing w:before="60" w:after="60"/>
            </w:pPr>
            <w:r/>
            <w:r>
              <w:rPr>
                <w:b w:val="0"/>
                <w:sz w:val="17"/>
              </w:rPr>
              <w:t>Veterans without VA eligibility needing behavioral health care</w:t>
            </w:r>
          </w:p>
        </w:tc>
        <w:tc>
          <w:tcPr>
            <w:tcW w:type="dxa" w:w="2160"/>
          </w:tcPr>
          <w:p>
            <w:pPr>
              <w:spacing w:before="60" w:after="60"/>
            </w:pPr>
            <w:r/>
            <w:r>
              <w:rPr>
                <w:b w:val="0"/>
                <w:sz w:val="17"/>
              </w:rPr>
              <w:t>Veterans identified as having service history</w:t>
            </w:r>
          </w:p>
        </w:tc>
        <w:tc>
          <w:tcPr>
            <w:tcW w:type="dxa" w:w="1224"/>
          </w:tcPr>
          <w:p>
            <w:pPr>
              <w:spacing w:before="60" w:after="60"/>
            </w:pPr>
            <w:r/>
            <w:r>
              <w:rPr>
                <w:b w:val="0"/>
                <w:sz w:val="17"/>
              </w:rPr>
              <w:t>Written referral agreement</w:t>
            </w:r>
          </w:p>
        </w:tc>
      </w:tr>
      <w:tr>
        <w:tc>
          <w:tcPr>
            <w:tcW w:type="dxa" w:w="1800"/>
            <w:shd w:val="clear" w:color="auto" w:fill="F5F7FA"/>
          </w:tcPr>
          <w:p>
            <w:pPr>
              <w:spacing w:before="60" w:after="60"/>
            </w:pPr>
            <w:r/>
            <w:r>
              <w:rPr>
                <w:b w:val="0"/>
                <w:sz w:val="17"/>
              </w:rPr>
              <w:t>Workforce development board and American Job Center</w:t>
            </w:r>
          </w:p>
        </w:tc>
        <w:tc>
          <w:tcPr>
            <w:tcW w:type="dxa" w:w="2304"/>
            <w:shd w:val="clear" w:color="auto" w:fill="F5F7FA"/>
          </w:tcPr>
          <w:p>
            <w:pPr>
              <w:spacing w:before="60" w:after="60"/>
            </w:pPr>
            <w:r/>
            <w:r>
              <w:rPr>
                <w:b w:val="0"/>
                <w:sz w:val="17"/>
              </w:rPr>
              <w:t>Training funds, credential programs, job placement</w:t>
            </w:r>
          </w:p>
        </w:tc>
        <w:tc>
          <w:tcPr>
            <w:tcW w:type="dxa" w:w="2304"/>
            <w:shd w:val="clear" w:color="auto" w:fill="F5F7FA"/>
          </w:tcPr>
          <w:p>
            <w:pPr>
              <w:spacing w:before="60" w:after="60"/>
            </w:pPr>
            <w:r/>
            <w:r>
              <w:rPr>
                <w:b w:val="0"/>
                <w:sz w:val="17"/>
              </w:rPr>
              <w:t>Veterans needing training funds beyond our reach</w:t>
            </w:r>
          </w:p>
        </w:tc>
        <w:tc>
          <w:tcPr>
            <w:tcW w:type="dxa" w:w="2160"/>
            <w:shd w:val="clear" w:color="auto" w:fill="F5F7FA"/>
          </w:tcPr>
          <w:p>
            <w:pPr>
              <w:spacing w:before="60" w:after="60"/>
            </w:pPr>
            <w:r/>
            <w:r>
              <w:rPr>
                <w:b w:val="0"/>
                <w:sz w:val="17"/>
              </w:rPr>
              <w:t>Veterans needing wraparound support to stay in training</w:t>
            </w:r>
          </w:p>
        </w:tc>
        <w:tc>
          <w:tcPr>
            <w:tcW w:type="dxa" w:w="1224"/>
            <w:shd w:val="clear" w:color="auto" w:fill="F5F7FA"/>
          </w:tcPr>
          <w:p>
            <w:pPr>
              <w:spacing w:before="60" w:after="60"/>
            </w:pPr>
            <w:r/>
            <w:r>
              <w:rPr>
                <w:b w:val="0"/>
                <w:sz w:val="17"/>
              </w:rPr>
              <w:t>Written referral agreement</w:t>
            </w:r>
          </w:p>
        </w:tc>
      </w:tr>
      <w:tr>
        <w:tc>
          <w:tcPr>
            <w:tcW w:type="dxa" w:w="1800"/>
          </w:tcPr>
          <w:p>
            <w:pPr>
              <w:spacing w:before="60" w:after="60"/>
            </w:pPr>
            <w:r/>
            <w:r>
              <w:rPr>
                <w:b w:val="0"/>
                <w:sz w:val="17"/>
              </w:rPr>
              <w:t>Continuum of care lead agency</w:t>
            </w:r>
          </w:p>
        </w:tc>
        <w:tc>
          <w:tcPr>
            <w:tcW w:type="dxa" w:w="2304"/>
          </w:tcPr>
          <w:p>
            <w:pPr>
              <w:spacing w:before="60" w:after="60"/>
            </w:pPr>
            <w:r/>
            <w:r>
              <w:rPr>
                <w:b w:val="0"/>
                <w:sz w:val="17"/>
              </w:rPr>
              <w:t>Coordinated entry, rapid rehousing, permanent supportive housing</w:t>
            </w:r>
          </w:p>
        </w:tc>
        <w:tc>
          <w:tcPr>
            <w:tcW w:type="dxa" w:w="2304"/>
          </w:tcPr>
          <w:p>
            <w:pPr>
              <w:spacing w:before="60" w:after="60"/>
            </w:pPr>
            <w:r/>
            <w:r>
              <w:rPr>
                <w:b w:val="0"/>
                <w:sz w:val="17"/>
              </w:rPr>
              <w:t>Veterans who are homeless or at imminent risk</w:t>
            </w:r>
          </w:p>
        </w:tc>
        <w:tc>
          <w:tcPr>
            <w:tcW w:type="dxa" w:w="2160"/>
          </w:tcPr>
          <w:p>
            <w:pPr>
              <w:spacing w:before="60" w:after="60"/>
            </w:pPr>
            <w:r/>
            <w:r>
              <w:rPr>
                <w:b w:val="0"/>
                <w:sz w:val="17"/>
              </w:rPr>
              <w:t>Veterans identified in coordinated entry</w:t>
            </w:r>
          </w:p>
        </w:tc>
        <w:tc>
          <w:tcPr>
            <w:tcW w:type="dxa" w:w="1224"/>
          </w:tcPr>
          <w:p>
            <w:pPr>
              <w:spacing w:before="60" w:after="60"/>
            </w:pPr>
            <w:r/>
            <w:r>
              <w:rPr>
                <w:b w:val="0"/>
                <w:sz w:val="17"/>
              </w:rPr>
              <w:t>Coordinated entry participation</w:t>
            </w:r>
          </w:p>
        </w:tc>
      </w:tr>
      <w:tr>
        <w:tc>
          <w:tcPr>
            <w:tcW w:type="dxa" w:w="1800"/>
            <w:shd w:val="clear" w:color="auto" w:fill="F5F7FA"/>
          </w:tcPr>
          <w:p>
            <w:pPr>
              <w:spacing w:before="60" w:after="60"/>
            </w:pPr>
            <w:r/>
            <w:r>
              <w:rPr>
                <w:b w:val="0"/>
                <w:sz w:val="17"/>
              </w:rPr>
              <w:t>Local veterans service organization posts</w:t>
            </w:r>
          </w:p>
        </w:tc>
        <w:tc>
          <w:tcPr>
            <w:tcW w:type="dxa" w:w="2304"/>
            <w:shd w:val="clear" w:color="auto" w:fill="F5F7FA"/>
          </w:tcPr>
          <w:p>
            <w:pPr>
              <w:spacing w:before="60" w:after="60"/>
            </w:pPr>
            <w:r/>
            <w:r>
              <w:rPr>
                <w:b w:val="0"/>
                <w:sz w:val="17"/>
              </w:rPr>
              <w:t>Peer community, emergency grants from national programs</w:t>
            </w:r>
          </w:p>
        </w:tc>
        <w:tc>
          <w:tcPr>
            <w:tcW w:type="dxa" w:w="2304"/>
            <w:shd w:val="clear" w:color="auto" w:fill="F5F7FA"/>
          </w:tcPr>
          <w:p>
            <w:pPr>
              <w:spacing w:before="60" w:after="60"/>
            </w:pPr>
            <w:r/>
            <w:r>
              <w:rPr>
                <w:b w:val="0"/>
                <w:sz w:val="17"/>
              </w:rPr>
              <w:t>Veterans seeking connection or post-specific assistance</w:t>
            </w:r>
          </w:p>
        </w:tc>
        <w:tc>
          <w:tcPr>
            <w:tcW w:type="dxa" w:w="2160"/>
            <w:shd w:val="clear" w:color="auto" w:fill="F5F7FA"/>
          </w:tcPr>
          <w:p>
            <w:pPr>
              <w:spacing w:before="60" w:after="60"/>
            </w:pPr>
            <w:r/>
            <w:r>
              <w:rPr>
                <w:b w:val="0"/>
                <w:sz w:val="17"/>
              </w:rPr>
              <w:t>Veterans needing case-level help</w:t>
            </w:r>
          </w:p>
        </w:tc>
        <w:tc>
          <w:tcPr>
            <w:tcW w:type="dxa" w:w="1224"/>
            <w:shd w:val="clear" w:color="auto" w:fill="F5F7FA"/>
          </w:tcPr>
          <w:p>
            <w:pPr>
              <w:spacing w:before="60" w:after="60"/>
            </w:pPr>
            <w:r/>
            <w:r>
              <w:rPr>
                <w:b w:val="0"/>
                <w:sz w:val="17"/>
              </w:rPr>
              <w:t>Standing relationship</w:t>
            </w:r>
          </w:p>
        </w:tc>
      </w:tr>
      <w:tr>
        <w:tc>
          <w:tcPr>
            <w:tcW w:type="dxa" w:w="1800"/>
          </w:tcPr>
          <w:p>
            <w:pPr>
              <w:spacing w:before="60" w:after="60"/>
            </w:pPr>
            <w:r/>
            <w:r>
              <w:rPr>
                <w:b w:val="0"/>
                <w:sz w:val="17"/>
              </w:rPr>
              <w:t>Community college</w:t>
            </w:r>
          </w:p>
        </w:tc>
        <w:tc>
          <w:tcPr>
            <w:tcW w:type="dxa" w:w="2304"/>
          </w:tcPr>
          <w:p>
            <w:pPr>
              <w:spacing w:before="60" w:after="60"/>
            </w:pPr>
            <w:r/>
            <w:r>
              <w:rPr>
                <w:b w:val="0"/>
                <w:sz w:val="17"/>
              </w:rPr>
              <w:t>Credential and certificate programs, veteran services office</w:t>
            </w:r>
          </w:p>
        </w:tc>
        <w:tc>
          <w:tcPr>
            <w:tcW w:type="dxa" w:w="2304"/>
          </w:tcPr>
          <w:p>
            <w:pPr>
              <w:spacing w:before="60" w:after="60"/>
            </w:pPr>
            <w:r/>
            <w:r>
              <w:rPr>
                <w:b w:val="0"/>
                <w:sz w:val="17"/>
              </w:rPr>
              <w:t>Veterans pursuing a credential</w:t>
            </w:r>
          </w:p>
        </w:tc>
        <w:tc>
          <w:tcPr>
            <w:tcW w:type="dxa" w:w="2160"/>
          </w:tcPr>
          <w:p>
            <w:pPr>
              <w:spacing w:before="60" w:after="60"/>
            </w:pPr>
            <w:r/>
            <w:r>
              <w:rPr>
                <w:b w:val="0"/>
                <w:sz w:val="17"/>
              </w:rPr>
              <w:t>Student veterans needing off-campus support</w:t>
            </w:r>
          </w:p>
        </w:tc>
        <w:tc>
          <w:tcPr>
            <w:tcW w:type="dxa" w:w="1224"/>
          </w:tcPr>
          <w:p>
            <w:pPr>
              <w:spacing w:before="60" w:after="60"/>
            </w:pPr>
            <w:r/>
            <w:r>
              <w:rPr>
                <w:b w:val="0"/>
                <w:sz w:val="17"/>
              </w:rPr>
              <w:t>Written referral agreement</w:t>
            </w:r>
          </w:p>
        </w:tc>
      </w:tr>
    </w:tbl>
    <w:p>
      <w:pPr>
        <w:spacing w:after="40"/>
      </w:pPr>
    </w:p>
    <w:p>
      <w:r>
        <w:rPr>
          <w:b w:val="0"/>
          <w:i w:val="0"/>
        </w:rPr>
        <w:t>The point of the table is not the list. It is the third and fourth columns: a reviewer can see that referrals run both directions, which is the difference between coordination and a claim of coordination.</w:t>
      </w:r>
    </w:p>
    <w:p>
      <w:pPr>
        <w:pStyle w:val="Heading1"/>
      </w:pPr>
      <w:r>
        <w:t>Appendix B: Caseload Math Worksheet</w:t>
      </w:r>
    </w:p>
    <w:p>
      <w:pPr>
        <w:pStyle w:val="Caption"/>
      </w:pPr>
      <w:r>
        <w:t>'One peer specialist will serve 60 veterans' is a claim reviewers check. Show the arithmetic in the proposal and the objection never gets raised. Re-run these tables with your own staffing before you submit.</w:t>
      </w:r>
    </w:p>
    <w:p>
      <w:pPr>
        <w:pStyle w:val="Heading2"/>
      </w:pPr>
      <w:r>
        <w:t>B.1 Peer support specialist, 1.0 FTE</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6912"/>
            <w:shd w:val="clear" w:color="auto" w:fill="E8EDF3"/>
          </w:tcPr>
          <w:p>
            <w:pPr>
              <w:spacing w:before="60" w:after="60"/>
            </w:pPr>
            <w:r/>
            <w:r>
              <w:rPr>
                <w:b/>
                <w:color w:val="1F3B5C"/>
                <w:sz w:val="20"/>
              </w:rPr>
              <w:t>Line</w:t>
            </w:r>
          </w:p>
        </w:tc>
        <w:tc>
          <w:tcPr>
            <w:tcW w:type="dxa" w:w="1440"/>
            <w:shd w:val="clear" w:color="auto" w:fill="E8EDF3"/>
          </w:tcPr>
          <w:p>
            <w:pPr>
              <w:spacing w:before="60" w:after="60"/>
            </w:pPr>
            <w:r/>
            <w:r>
              <w:rPr>
                <w:b/>
                <w:color w:val="1F3B5C"/>
                <w:sz w:val="20"/>
              </w:rPr>
              <w:t>Hours</w:t>
            </w:r>
          </w:p>
        </w:tc>
      </w:tr>
      <w:tr>
        <w:tc>
          <w:tcPr>
            <w:tcW w:type="dxa" w:w="6912"/>
          </w:tcPr>
          <w:p>
            <w:pPr>
              <w:spacing w:before="60" w:after="60"/>
            </w:pPr>
            <w:r/>
            <w:r>
              <w:rPr>
                <w:b w:val="0"/>
                <w:sz w:val="20"/>
              </w:rPr>
              <w:t>Scheduled hours, 1.0 FTE for 12 months</w:t>
            </w:r>
          </w:p>
        </w:tc>
        <w:tc>
          <w:tcPr>
            <w:tcW w:type="dxa" w:w="1440"/>
          </w:tcPr>
          <w:p>
            <w:pPr>
              <w:spacing w:before="60" w:after="60"/>
            </w:pPr>
            <w:r/>
            <w:r>
              <w:rPr>
                <w:b w:val="0"/>
                <w:sz w:val="20"/>
              </w:rPr>
              <w:t>2,080</w:t>
            </w:r>
          </w:p>
        </w:tc>
      </w:tr>
      <w:tr>
        <w:tc>
          <w:tcPr>
            <w:tcW w:type="dxa" w:w="6912"/>
            <w:shd w:val="clear" w:color="auto" w:fill="F5F7FA"/>
          </w:tcPr>
          <w:p>
            <w:pPr>
              <w:spacing w:before="60" w:after="60"/>
            </w:pPr>
            <w:r/>
            <w:r>
              <w:rPr>
                <w:b w:val="0"/>
                <w:sz w:val="20"/>
              </w:rPr>
              <w:t>Less paid leave and holidays</w:t>
            </w:r>
          </w:p>
        </w:tc>
        <w:tc>
          <w:tcPr>
            <w:tcW w:type="dxa" w:w="1440"/>
            <w:shd w:val="clear" w:color="auto" w:fill="F5F7FA"/>
          </w:tcPr>
          <w:p>
            <w:pPr>
              <w:spacing w:before="60" w:after="60"/>
            </w:pPr>
            <w:r/>
            <w:r>
              <w:rPr>
                <w:b w:val="0"/>
                <w:sz w:val="20"/>
              </w:rPr>
              <w:t>-160</w:t>
            </w:r>
          </w:p>
        </w:tc>
      </w:tr>
      <w:tr>
        <w:tc>
          <w:tcPr>
            <w:tcW w:type="dxa" w:w="6912"/>
          </w:tcPr>
          <w:p>
            <w:pPr>
              <w:spacing w:before="60" w:after="60"/>
            </w:pPr>
            <w:r/>
            <w:r>
              <w:rPr>
                <w:b w:val="0"/>
                <w:sz w:val="20"/>
              </w:rPr>
              <w:t>Less training, certification, and supervision time</w:t>
            </w:r>
          </w:p>
        </w:tc>
        <w:tc>
          <w:tcPr>
            <w:tcW w:type="dxa" w:w="1440"/>
          </w:tcPr>
          <w:p>
            <w:pPr>
              <w:spacing w:before="60" w:after="60"/>
            </w:pPr>
            <w:r/>
            <w:r>
              <w:rPr>
                <w:b w:val="0"/>
                <w:sz w:val="20"/>
              </w:rPr>
              <w:t>-80</w:t>
            </w:r>
          </w:p>
        </w:tc>
      </w:tr>
      <w:tr>
        <w:tc>
          <w:tcPr>
            <w:tcW w:type="dxa" w:w="6912"/>
            <w:shd w:val="clear" w:color="auto" w:fill="F5F7FA"/>
          </w:tcPr>
          <w:p>
            <w:pPr>
              <w:spacing w:before="60" w:after="60"/>
            </w:pPr>
            <w:r/>
            <w:r>
              <w:rPr>
                <w:b w:val="0"/>
                <w:sz w:val="20"/>
              </w:rPr>
              <w:t>Available working hours</w:t>
            </w:r>
          </w:p>
        </w:tc>
        <w:tc>
          <w:tcPr>
            <w:tcW w:type="dxa" w:w="1440"/>
            <w:shd w:val="clear" w:color="auto" w:fill="F5F7FA"/>
          </w:tcPr>
          <w:p>
            <w:pPr>
              <w:spacing w:before="60" w:after="60"/>
            </w:pPr>
            <w:r/>
            <w:r>
              <w:rPr>
                <w:b w:val="0"/>
                <w:sz w:val="20"/>
              </w:rPr>
              <w:t>1,840</w:t>
            </w:r>
          </w:p>
        </w:tc>
      </w:tr>
      <w:tr>
        <w:tc>
          <w:tcPr>
            <w:tcW w:type="dxa" w:w="6912"/>
          </w:tcPr>
          <w:p>
            <w:pPr>
              <w:spacing w:before="60" w:after="60"/>
            </w:pPr>
            <w:r/>
            <w:r>
              <w:rPr>
                <w:b w:val="0"/>
                <w:sz w:val="20"/>
              </w:rPr>
              <w:t>Less outreach, documentation overhead, and administration at 20 percent</w:t>
            </w:r>
          </w:p>
        </w:tc>
        <w:tc>
          <w:tcPr>
            <w:tcW w:type="dxa" w:w="1440"/>
          </w:tcPr>
          <w:p>
            <w:pPr>
              <w:spacing w:before="60" w:after="60"/>
            </w:pPr>
            <w:r/>
            <w:r>
              <w:rPr>
                <w:b w:val="0"/>
                <w:sz w:val="20"/>
              </w:rPr>
              <w:t>-368</w:t>
            </w:r>
          </w:p>
        </w:tc>
      </w:tr>
      <w:tr>
        <w:tc>
          <w:tcPr>
            <w:tcW w:type="dxa" w:w="6912"/>
            <w:shd w:val="clear" w:color="auto" w:fill="E8EDF3"/>
          </w:tcPr>
          <w:p>
            <w:pPr>
              <w:spacing w:before="60" w:after="60"/>
            </w:pPr>
            <w:r/>
            <w:r>
              <w:rPr>
                <w:b/>
                <w:color w:val="1F3B5C"/>
                <w:sz w:val="20"/>
              </w:rPr>
              <w:t>Direct service hours available</w:t>
            </w:r>
          </w:p>
        </w:tc>
        <w:tc>
          <w:tcPr>
            <w:tcW w:type="dxa" w:w="1440"/>
            <w:shd w:val="clear" w:color="auto" w:fill="E8EDF3"/>
          </w:tcPr>
          <w:p>
            <w:pPr>
              <w:spacing w:before="60" w:after="60"/>
            </w:pPr>
            <w:r/>
            <w:r>
              <w:rPr>
                <w:b/>
                <w:color w:val="1F3B5C"/>
                <w:sz w:val="20"/>
              </w:rPr>
              <w:t>1,472</w:t>
            </w:r>
          </w:p>
        </w:tc>
      </w:tr>
    </w:tbl>
    <w:p>
      <w:pPr>
        <w:spacing w:after="40"/>
      </w:pPr>
    </w:p>
    <w:p>
      <w:pPr>
        <w:pStyle w:val="Heading2"/>
      </w:pPr>
      <w:r>
        <w:t>B.2 Time required per veteran</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6912"/>
            <w:shd w:val="clear" w:color="auto" w:fill="E8EDF3"/>
          </w:tcPr>
          <w:p>
            <w:pPr>
              <w:spacing w:before="60" w:after="60"/>
            </w:pPr>
            <w:r/>
            <w:r>
              <w:rPr>
                <w:b/>
                <w:color w:val="1F3B5C"/>
                <w:sz w:val="20"/>
              </w:rPr>
              <w:t>Activity</w:t>
            </w:r>
          </w:p>
        </w:tc>
        <w:tc>
          <w:tcPr>
            <w:tcW w:type="dxa" w:w="1440"/>
            <w:shd w:val="clear" w:color="auto" w:fill="E8EDF3"/>
          </w:tcPr>
          <w:p>
            <w:pPr>
              <w:spacing w:before="60" w:after="60"/>
            </w:pPr>
            <w:r/>
            <w:r>
              <w:rPr>
                <w:b/>
                <w:color w:val="1F3B5C"/>
                <w:sz w:val="20"/>
              </w:rPr>
              <w:t>Hours per veteran</w:t>
            </w:r>
          </w:p>
        </w:tc>
      </w:tr>
      <w:tr>
        <w:tc>
          <w:tcPr>
            <w:tcW w:type="dxa" w:w="6912"/>
          </w:tcPr>
          <w:p>
            <w:pPr>
              <w:spacing w:before="60" w:after="60"/>
            </w:pPr>
            <w:r/>
            <w:r>
              <w:rPr>
                <w:b w:val="0"/>
                <w:sz w:val="20"/>
              </w:rPr>
              <w:t>Intake, verification, needs screen, and written service plan</w:t>
            </w:r>
          </w:p>
        </w:tc>
        <w:tc>
          <w:tcPr>
            <w:tcW w:type="dxa" w:w="1440"/>
          </w:tcPr>
          <w:p>
            <w:pPr>
              <w:spacing w:before="60" w:after="60"/>
            </w:pPr>
            <w:r/>
            <w:r>
              <w:rPr>
                <w:b w:val="0"/>
                <w:sz w:val="20"/>
              </w:rPr>
              <w:t>3.00</w:t>
            </w:r>
          </w:p>
        </w:tc>
      </w:tr>
      <w:tr>
        <w:tc>
          <w:tcPr>
            <w:tcW w:type="dxa" w:w="6912"/>
            <w:shd w:val="clear" w:color="auto" w:fill="F5F7FA"/>
          </w:tcPr>
          <w:p>
            <w:pPr>
              <w:spacing w:before="60" w:after="60"/>
            </w:pPr>
            <w:r/>
            <w:r>
              <w:rPr>
                <w:b w:val="0"/>
                <w:sz w:val="20"/>
              </w:rPr>
              <w:t>17 navigation contacts (weekly for 8 weeks, then every other week) at 45 minutes of contact plus 30 minutes of documentation and coordination</w:t>
            </w:r>
          </w:p>
        </w:tc>
        <w:tc>
          <w:tcPr>
            <w:tcW w:type="dxa" w:w="1440"/>
            <w:shd w:val="clear" w:color="auto" w:fill="F5F7FA"/>
          </w:tcPr>
          <w:p>
            <w:pPr>
              <w:spacing w:before="60" w:after="60"/>
            </w:pPr>
            <w:r>
              <w:t>21.25</w:t>
            </w:r>
            <w:r>
              <w:rPr>
                <w:b w:val="0"/>
                <w:sz w:val="20"/>
              </w:rPr>
            </w:r>
          </w:p>
        </w:tc>
      </w:tr>
      <w:tr>
        <w:tc>
          <w:tcPr>
            <w:tcW w:type="dxa" w:w="6912"/>
          </w:tcPr>
          <w:p>
            <w:pPr>
              <w:spacing w:before="60" w:after="60"/>
            </w:pPr>
            <w:r/>
            <w:r>
              <w:rPr>
                <w:b w:val="0"/>
                <w:sz w:val="20"/>
              </w:rPr>
              <w:t>Reserve for accompanied appointments and crisis response</w:t>
            </w:r>
          </w:p>
        </w:tc>
        <w:tc>
          <w:tcPr>
            <w:tcW w:type="dxa" w:w="1440"/>
          </w:tcPr>
          <w:p>
            <w:pPr>
              <w:spacing w:before="60" w:after="60"/>
            </w:pPr>
            <w:r/>
            <w:r>
              <w:rPr>
                <w:b w:val="0"/>
                <w:sz w:val="20"/>
              </w:rPr>
              <w:t>1.25</w:t>
            </w:r>
          </w:p>
        </w:tc>
      </w:tr>
      <w:tr>
        <w:tc>
          <w:tcPr>
            <w:tcW w:type="dxa" w:w="6912"/>
            <w:shd w:val="clear" w:color="auto" w:fill="F5F7FA"/>
          </w:tcPr>
          <w:p>
            <w:pPr>
              <w:spacing w:before="60" w:after="60"/>
            </w:pPr>
            <w:r/>
            <w:r>
              <w:rPr>
                <w:b w:val="0"/>
                <w:sz w:val="20"/>
              </w:rPr>
              <w:t>Case closure, final follow-up, and file completion</w:t>
            </w:r>
          </w:p>
        </w:tc>
        <w:tc>
          <w:tcPr>
            <w:tcW w:type="dxa" w:w="1440"/>
            <w:shd w:val="clear" w:color="auto" w:fill="F5F7FA"/>
          </w:tcPr>
          <w:p>
            <w:pPr>
              <w:spacing w:before="60" w:after="60"/>
            </w:pPr>
            <w:r/>
            <w:r>
              <w:rPr>
                <w:b w:val="0"/>
                <w:sz w:val="20"/>
              </w:rPr>
              <w:t>1.00</w:t>
            </w:r>
          </w:p>
        </w:tc>
      </w:tr>
      <w:tr>
        <w:tc>
          <w:tcPr>
            <w:tcW w:type="dxa" w:w="6912"/>
            <w:shd w:val="clear" w:color="auto" w:fill="E8EDF3"/>
          </w:tcPr>
          <w:p>
            <w:pPr>
              <w:spacing w:before="60" w:after="60"/>
            </w:pPr>
            <w:r/>
            <w:r>
              <w:rPr>
                <w:b/>
                <w:color w:val="1F3B5C"/>
                <w:sz w:val="20"/>
              </w:rPr>
              <w:t>Total per veteran, average six-month enrollment</w:t>
            </w:r>
          </w:p>
        </w:tc>
        <w:tc>
          <w:tcPr>
            <w:tcW w:type="dxa" w:w="1440"/>
            <w:shd w:val="clear" w:color="auto" w:fill="E8EDF3"/>
          </w:tcPr>
          <w:p>
            <w:pPr>
              <w:spacing w:before="60" w:after="60"/>
            </w:pPr>
            <w:r>
              <w:t>26.50</w:t>
            </w:r>
            <w:r>
              <w:rPr>
                <w:b/>
                <w:color w:val="1F3B5C"/>
                <w:sz w:val="20"/>
              </w:rPr>
            </w:r>
          </w:p>
        </w:tc>
      </w:tr>
    </w:tbl>
    <w:p>
      <w:pPr>
        <w:spacing w:after="40"/>
      </w:pPr>
    </w:p>
    <w:p>
      <w:pPr>
        <w:pStyle w:val="Heading2"/>
      </w:pPr>
      <w:r>
        <w:t>B.3 Reconciliation</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6912"/>
            <w:shd w:val="clear" w:color="auto" w:fill="E8EDF3"/>
          </w:tcPr>
          <w:p>
            <w:pPr>
              <w:spacing w:before="60" w:after="60"/>
            </w:pPr>
            <w:r/>
            <w:r>
              <w:rPr>
                <w:b/>
                <w:color w:val="1F3B5C"/>
                <w:sz w:val="20"/>
              </w:rPr>
              <w:t>Line</w:t>
            </w:r>
          </w:p>
        </w:tc>
        <w:tc>
          <w:tcPr>
            <w:tcW w:type="dxa" w:w="1440"/>
            <w:shd w:val="clear" w:color="auto" w:fill="E8EDF3"/>
          </w:tcPr>
          <w:p>
            <w:pPr>
              <w:spacing w:before="60" w:after="60"/>
            </w:pPr>
            <w:r/>
            <w:r>
              <w:rPr>
                <w:b/>
                <w:color w:val="1F3B5C"/>
                <w:sz w:val="20"/>
              </w:rPr>
              <w:t>Value</w:t>
            </w:r>
          </w:p>
        </w:tc>
      </w:tr>
      <w:tr>
        <w:tc>
          <w:tcPr>
            <w:tcW w:type="dxa" w:w="6912"/>
          </w:tcPr>
          <w:p>
            <w:pPr>
              <w:spacing w:before="60" w:after="60"/>
            </w:pPr>
            <w:r/>
            <w:r>
              <w:rPr>
                <w:b w:val="0"/>
                <w:sz w:val="20"/>
              </w:rPr>
              <w:t>Veterans to be enrolled</w:t>
            </w:r>
          </w:p>
        </w:tc>
        <w:tc>
          <w:tcPr>
            <w:tcW w:type="dxa" w:w="1440"/>
          </w:tcPr>
          <w:p>
            <w:pPr>
              <w:spacing w:before="60" w:after="60"/>
            </w:pPr>
            <w:r/>
            <w:r>
              <w:rPr>
                <w:b w:val="0"/>
                <w:sz w:val="20"/>
              </w:rPr>
              <w:t>60</w:t>
            </w:r>
          </w:p>
        </w:tc>
      </w:tr>
      <w:tr>
        <w:tc>
          <w:tcPr>
            <w:tcW w:type="dxa" w:w="6912"/>
            <w:shd w:val="clear" w:color="auto" w:fill="F5F7FA"/>
          </w:tcPr>
          <w:p>
            <w:pPr>
              <w:spacing w:before="60" w:after="60"/>
            </w:pPr>
            <w:r/>
            <w:r>
              <w:rPr>
                <w:b w:val="0"/>
                <w:sz w:val="20"/>
              </w:rPr>
              <w:t>Average hours per veteran</w:t>
            </w:r>
          </w:p>
        </w:tc>
        <w:tc>
          <w:tcPr>
            <w:tcW w:type="dxa" w:w="1440"/>
            <w:shd w:val="clear" w:color="auto" w:fill="F5F7FA"/>
          </w:tcPr>
          <w:p>
            <w:pPr>
              <w:spacing w:before="60" w:after="60"/>
            </w:pPr>
            <w:r>
              <w:t>26.50</w:t>
            </w:r>
            <w:r>
              <w:rPr>
                <w:b w:val="0"/>
                <w:sz w:val="20"/>
              </w:rPr>
            </w:r>
          </w:p>
        </w:tc>
      </w:tr>
      <w:tr>
        <w:tc>
          <w:tcPr>
            <w:tcW w:type="dxa" w:w="6912"/>
          </w:tcPr>
          <w:p>
            <w:pPr>
              <w:spacing w:before="60" w:after="60"/>
            </w:pPr>
            <w:r/>
            <w:r>
              <w:rPr>
                <w:b w:val="0"/>
                <w:sz w:val="20"/>
              </w:rPr>
              <w:t>Total direct hours required</w:t>
            </w:r>
          </w:p>
        </w:tc>
        <w:tc>
          <w:tcPr>
            <w:tcW w:type="dxa" w:w="1440"/>
          </w:tcPr>
          <w:p>
            <w:pPr>
              <w:spacing w:before="60" w:after="60"/>
            </w:pPr>
            <w:r>
              <w:t>1,590</w:t>
            </w:r>
            <w:r>
              <w:rPr>
                <w:b w:val="0"/>
                <w:sz w:val="20"/>
              </w:rPr>
            </w:r>
          </w:p>
        </w:tc>
      </w:tr>
      <w:tr>
        <w:tc>
          <w:tcPr>
            <w:tcW w:type="dxa" w:w="6912"/>
            <w:shd w:val="clear" w:color="auto" w:fill="F5F7FA"/>
          </w:tcPr>
          <w:p>
            <w:pPr>
              <w:spacing w:before="60" w:after="60"/>
            </w:pPr>
            <w:r/>
            <w:r>
              <w:rPr>
                <w:b w:val="0"/>
                <w:sz w:val="20"/>
              </w:rPr>
              <w:t>Direct service hours available (B.1)</w:t>
            </w:r>
          </w:p>
        </w:tc>
        <w:tc>
          <w:tcPr>
            <w:tcW w:type="dxa" w:w="1440"/>
            <w:shd w:val="clear" w:color="auto" w:fill="F5F7FA"/>
          </w:tcPr>
          <w:p>
            <w:pPr>
              <w:spacing w:before="60" w:after="60"/>
            </w:pPr>
            <w:r/>
            <w:r>
              <w:rPr>
                <w:b w:val="0"/>
                <w:sz w:val="20"/>
              </w:rPr>
              <w:t>1,472</w:t>
            </w:r>
          </w:p>
        </w:tc>
      </w:tr>
      <w:tr>
        <w:tc>
          <w:tcPr>
            <w:tcW w:type="dxa" w:w="6912"/>
            <w:shd w:val="clear" w:color="auto" w:fill="E8EDF3"/>
          </w:tcPr>
          <w:p>
            <w:pPr>
              <w:spacing w:before="60" w:after="60"/>
            </w:pPr>
            <w:r>
              <w:t>Shortfall</w:t>
            </w:r>
            <w:r>
              <w:rPr>
                <w:b/>
                <w:color w:val="1F3B5C"/>
                <w:sz w:val="20"/>
              </w:rPr>
            </w:r>
          </w:p>
        </w:tc>
        <w:tc>
          <w:tcPr>
            <w:tcW w:type="dxa" w:w="1440"/>
            <w:shd w:val="clear" w:color="auto" w:fill="E8EDF3"/>
          </w:tcPr>
          <w:p>
            <w:pPr>
              <w:spacing w:before="60" w:after="60"/>
            </w:pPr>
            <w:r>
              <w:t>118 hours</w:t>
            </w:r>
            <w:r>
              <w:rPr>
                <w:b/>
                <w:color w:val="1F3B5C"/>
                <w:sz w:val="20"/>
              </w:rPr>
            </w:r>
          </w:p>
        </w:tc>
      </w:tr>
      <w:tr>
        <w:tc>
          <w:tcPr>
            <w:tcW w:type="dxa" w:w="6912"/>
            <w:shd w:val="clear" w:color="auto" w:fill="F5F7FA"/>
          </w:tcPr>
          <w:p>
            <w:pPr>
              <w:spacing w:before="60" w:after="60"/>
            </w:pPr>
            <w:r/>
            <w:r>
              <w:rPr>
                <w:b w:val="0"/>
                <w:sz w:val="20"/>
              </w:rPr>
              <w:t>Average active caseload (60 veterans, average 6-month enrollment)</w:t>
            </w:r>
          </w:p>
        </w:tc>
        <w:tc>
          <w:tcPr>
            <w:tcW w:type="dxa" w:w="1440"/>
            <w:shd w:val="clear" w:color="auto" w:fill="F5F7FA"/>
          </w:tcPr>
          <w:p>
            <w:pPr>
              <w:spacing w:before="60" w:after="60"/>
            </w:pPr>
            <w:r/>
            <w:r>
              <w:rPr>
                <w:b w:val="0"/>
                <w:sz w:val="20"/>
              </w:rPr>
              <w:t>30</w:t>
            </w:r>
          </w:p>
        </w:tc>
      </w:tr>
      <w:tr>
        <w:tc>
          <w:tcPr>
            <w:tcW w:type="dxa" w:w="6912"/>
          </w:tcPr>
          <w:p>
            <w:pPr>
              <w:spacing w:before="60" w:after="60"/>
            </w:pPr>
            <w:r/>
            <w:r>
              <w:rPr>
                <w:b w:val="0"/>
                <w:sz w:val="20"/>
              </w:rPr>
              <w:t>Peak active caseload, months 5 through 9</w:t>
            </w:r>
          </w:p>
        </w:tc>
        <w:tc>
          <w:tcPr>
            <w:tcW w:type="dxa" w:w="1440"/>
          </w:tcPr>
          <w:p>
            <w:pPr>
              <w:spacing w:before="60" w:after="60"/>
            </w:pPr>
            <w:r/>
            <w:r>
              <w:rPr>
                <w:b w:val="0"/>
                <w:sz w:val="20"/>
              </w:rPr>
              <w:t>34</w:t>
            </w:r>
          </w:p>
        </w:tc>
      </w:tr>
    </w:tbl>
    <w:p>
      <w:pPr>
        <w:spacing w:after="40"/>
      </w:pPr>
    </w:p>
    <w:p>
      <w:pPr>
        <w:pStyle w:val="Heading2"/>
      </w:pPr>
      <w:r>
        <w:t>B.4 Employment navigator, 0.25 FTE</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6912"/>
            <w:shd w:val="clear" w:color="auto" w:fill="E8EDF3"/>
          </w:tcPr>
          <w:p>
            <w:pPr>
              <w:spacing w:before="60" w:after="60"/>
            </w:pPr>
            <w:r/>
            <w:r>
              <w:rPr>
                <w:b/>
                <w:color w:val="1F3B5C"/>
                <w:sz w:val="20"/>
              </w:rPr>
              <w:t>Line</w:t>
            </w:r>
          </w:p>
        </w:tc>
        <w:tc>
          <w:tcPr>
            <w:tcW w:type="dxa" w:w="1440"/>
            <w:shd w:val="clear" w:color="auto" w:fill="E8EDF3"/>
          </w:tcPr>
          <w:p>
            <w:pPr>
              <w:spacing w:before="60" w:after="60"/>
            </w:pPr>
            <w:r/>
            <w:r>
              <w:rPr>
                <w:b/>
                <w:color w:val="1F3B5C"/>
                <w:sz w:val="20"/>
              </w:rPr>
              <w:t>Value</w:t>
            </w:r>
          </w:p>
        </w:tc>
      </w:tr>
      <w:tr>
        <w:tc>
          <w:tcPr>
            <w:tcW w:type="dxa" w:w="6912"/>
          </w:tcPr>
          <w:p>
            <w:pPr>
              <w:spacing w:before="60" w:after="60"/>
            </w:pPr>
            <w:r/>
            <w:r>
              <w:rPr>
                <w:b w:val="0"/>
                <w:sz w:val="20"/>
              </w:rPr>
              <w:t>Scheduled hours, 0.25 FTE for 12 months</w:t>
            </w:r>
          </w:p>
        </w:tc>
        <w:tc>
          <w:tcPr>
            <w:tcW w:type="dxa" w:w="1440"/>
          </w:tcPr>
          <w:p>
            <w:pPr>
              <w:spacing w:before="60" w:after="60"/>
            </w:pPr>
            <w:r/>
            <w:r>
              <w:rPr>
                <w:b w:val="0"/>
                <w:sz w:val="20"/>
              </w:rPr>
              <w:t>520</w:t>
            </w:r>
          </w:p>
        </w:tc>
      </w:tr>
      <w:tr>
        <w:tc>
          <w:tcPr>
            <w:tcW w:type="dxa" w:w="6912"/>
            <w:shd w:val="clear" w:color="auto" w:fill="F5F7FA"/>
          </w:tcPr>
          <w:p>
            <w:pPr>
              <w:spacing w:before="60" w:after="60"/>
            </w:pPr>
            <w:r/>
            <w:r>
              <w:rPr>
                <w:b w:val="0"/>
                <w:sz w:val="20"/>
              </w:rPr>
              <w:t>Less leave and training</w:t>
            </w:r>
          </w:p>
        </w:tc>
        <w:tc>
          <w:tcPr>
            <w:tcW w:type="dxa" w:w="1440"/>
            <w:shd w:val="clear" w:color="auto" w:fill="F5F7FA"/>
          </w:tcPr>
          <w:p>
            <w:pPr>
              <w:spacing w:before="60" w:after="60"/>
            </w:pPr>
            <w:r/>
            <w:r>
              <w:rPr>
                <w:b w:val="0"/>
                <w:sz w:val="20"/>
              </w:rPr>
              <w:t>-40</w:t>
            </w:r>
          </w:p>
        </w:tc>
      </w:tr>
      <w:tr>
        <w:tc>
          <w:tcPr>
            <w:tcW w:type="dxa" w:w="6912"/>
          </w:tcPr>
          <w:p>
            <w:pPr>
              <w:spacing w:before="60" w:after="60"/>
            </w:pPr>
            <w:r/>
            <w:r>
              <w:rPr>
                <w:b w:val="0"/>
                <w:sz w:val="20"/>
              </w:rPr>
              <w:t>Less overhead at 20 percent</w:t>
            </w:r>
          </w:p>
        </w:tc>
        <w:tc>
          <w:tcPr>
            <w:tcW w:type="dxa" w:w="1440"/>
          </w:tcPr>
          <w:p>
            <w:pPr>
              <w:spacing w:before="60" w:after="60"/>
            </w:pPr>
            <w:r/>
            <w:r>
              <w:rPr>
                <w:b w:val="0"/>
                <w:sz w:val="20"/>
              </w:rPr>
              <w:t>-96</w:t>
            </w:r>
          </w:p>
        </w:tc>
      </w:tr>
      <w:tr>
        <w:tc>
          <w:tcPr>
            <w:tcW w:type="dxa" w:w="6912"/>
            <w:shd w:val="clear" w:color="auto" w:fill="F5F7FA"/>
          </w:tcPr>
          <w:p>
            <w:pPr>
              <w:spacing w:before="60" w:after="60"/>
            </w:pPr>
            <w:r/>
            <w:r>
              <w:rPr>
                <w:b w:val="0"/>
                <w:sz w:val="20"/>
              </w:rPr>
              <w:t>Direct service hours available</w:t>
            </w:r>
          </w:p>
        </w:tc>
        <w:tc>
          <w:tcPr>
            <w:tcW w:type="dxa" w:w="1440"/>
            <w:shd w:val="clear" w:color="auto" w:fill="F5F7FA"/>
          </w:tcPr>
          <w:p>
            <w:pPr>
              <w:spacing w:before="60" w:after="60"/>
            </w:pPr>
            <w:r/>
            <w:r>
              <w:rPr>
                <w:b w:val="0"/>
                <w:sz w:val="20"/>
              </w:rPr>
              <w:t>384</w:t>
            </w:r>
          </w:p>
        </w:tc>
      </w:tr>
      <w:tr>
        <w:tc>
          <w:tcPr>
            <w:tcW w:type="dxa" w:w="6912"/>
          </w:tcPr>
          <w:p>
            <w:pPr>
              <w:spacing w:before="60" w:after="60"/>
            </w:pPr>
            <w:r/>
            <w:r>
              <w:rPr>
                <w:b w:val="0"/>
                <w:sz w:val="20"/>
              </w:rPr>
              <w:t>Veterans in the employment track</w:t>
            </w:r>
          </w:p>
        </w:tc>
        <w:tc>
          <w:tcPr>
            <w:tcW w:type="dxa" w:w="1440"/>
          </w:tcPr>
          <w:p>
            <w:pPr>
              <w:spacing w:before="60" w:after="60"/>
            </w:pPr>
            <w:r/>
            <w:r>
              <w:rPr>
                <w:b w:val="0"/>
                <w:sz w:val="20"/>
              </w:rPr>
              <w:t>24</w:t>
            </w:r>
          </w:p>
        </w:tc>
      </w:tr>
      <w:tr>
        <w:tc>
          <w:tcPr>
            <w:tcW w:type="dxa" w:w="6912"/>
            <w:shd w:val="clear" w:color="auto" w:fill="F5F7FA"/>
          </w:tcPr>
          <w:p>
            <w:pPr>
              <w:spacing w:before="60" w:after="60"/>
            </w:pPr>
            <w:r/>
            <w:r>
              <w:rPr>
                <w:b w:val="0"/>
                <w:sz w:val="20"/>
              </w:rPr>
              <w:t>Hours per veteran (assessment 2.0; 10 sessions at 1.25; follow-up at 30, 90, 180 days 0.5)</w:t>
            </w:r>
          </w:p>
        </w:tc>
        <w:tc>
          <w:tcPr>
            <w:tcW w:type="dxa" w:w="1440"/>
            <w:shd w:val="clear" w:color="auto" w:fill="F5F7FA"/>
          </w:tcPr>
          <w:p>
            <w:pPr>
              <w:spacing w:before="60" w:after="60"/>
            </w:pPr>
            <w:r/>
            <w:r>
              <w:rPr>
                <w:b w:val="0"/>
                <w:sz w:val="20"/>
              </w:rPr>
              <w:t>15.00</w:t>
            </w:r>
          </w:p>
        </w:tc>
      </w:tr>
      <w:tr>
        <w:tc>
          <w:tcPr>
            <w:tcW w:type="dxa" w:w="6912"/>
          </w:tcPr>
          <w:p>
            <w:pPr>
              <w:spacing w:before="60" w:after="60"/>
            </w:pPr>
            <w:r/>
            <w:r>
              <w:rPr>
                <w:b w:val="0"/>
                <w:sz w:val="20"/>
              </w:rPr>
              <w:t>Total direct hours required</w:t>
            </w:r>
          </w:p>
        </w:tc>
        <w:tc>
          <w:tcPr>
            <w:tcW w:type="dxa" w:w="1440"/>
          </w:tcPr>
          <w:p>
            <w:pPr>
              <w:spacing w:before="60" w:after="60"/>
            </w:pPr>
            <w:r/>
            <w:r>
              <w:rPr>
                <w:b w:val="0"/>
                <w:sz w:val="20"/>
              </w:rPr>
              <w:t>360</w:t>
            </w:r>
          </w:p>
        </w:tc>
      </w:tr>
      <w:tr>
        <w:tc>
          <w:tcPr>
            <w:tcW w:type="dxa" w:w="6912"/>
            <w:shd w:val="clear" w:color="auto" w:fill="E8EDF3"/>
          </w:tcPr>
          <w:p>
            <w:pPr>
              <w:spacing w:before="60" w:after="60"/>
            </w:pPr>
            <w:r/>
            <w:r>
              <w:rPr>
                <w:b/>
                <w:color w:val="1F3B5C"/>
                <w:sz w:val="20"/>
              </w:rPr>
              <w:t>Margin</w:t>
            </w:r>
          </w:p>
        </w:tc>
        <w:tc>
          <w:tcPr>
            <w:tcW w:type="dxa" w:w="1440"/>
            <w:shd w:val="clear" w:color="auto" w:fill="E8EDF3"/>
          </w:tcPr>
          <w:p>
            <w:pPr>
              <w:spacing w:before="60" w:after="60"/>
            </w:pPr>
            <w:r/>
            <w:r>
              <w:rPr>
                <w:b/>
                <w:color w:val="1F3B5C"/>
                <w:sz w:val="20"/>
              </w:rPr>
              <w:t>24 hours</w:t>
            </w:r>
          </w:p>
        </w:tc>
      </w:tr>
    </w:tbl>
    <w:p>
      <w:pPr>
        <w:spacing w:after="40"/>
      </w:pPr>
    </w:p>
    <w:p>
      <w:r>
        <w:rPr>
          <w:b w:val="0"/>
          <w:i w:val="0"/>
        </w:rPr>
        <w:t>As drawn here the peer specialist worksheet does not balance. Sixty enrollments at 26.50 hours each require 1,590 direct service hours against the 1,472 a 1.0 FTE peer specialist delivers, a shortfall of 118 hours. A shortfall on the page is not something to round away. Close it before you submit, either by funding the additional 0.1 FTE the hours call for or by promising 55 enrollments rather than 60, and say in the narrative which of the two you chose. A worksheet that lands at exactly 100 percent utilization tells a reviewer the plan has no room for a sick day, and they will assume the caseload is optimistic. A small visible margin reads as a plan someone has actually run.</w:t>
      </w:r>
    </w:p>
    <w:p>
      <w:r>
        <w:br w:type="page"/>
      </w:r>
    </w:p>
    <w:p>
      <w:pPr>
        <w:pStyle w:val="Heading1"/>
      </w:pPr>
      <w:r>
        <w:t>Appendix C: Answers to the Five Objections</w:t>
      </w:r>
    </w:p>
    <w:p>
      <w:pPr>
        <w:pStyle w:val="Caption"/>
      </w:pPr>
      <w:r>
        <w:t>Veterans proposals get declined on five recurring objections. Answer each one inside the narrative, before the reviewer forms the question. The paragraphs below are the answers this example proposal gives and where each one sits.</w:t>
      </w:r>
    </w:p>
    <w:p>
      <w:pPr>
        <w:pStyle w:val="Heading3"/>
      </w:pPr>
      <w:r>
        <w:t>1. Why isn't the VA paying for this?</w:t>
      </w:r>
    </w:p>
    <w:p>
      <w:r>
        <w:rPr>
          <w:b w:val="0"/>
          <w:i w:val="0"/>
        </w:rPr>
        <w:t>Answered in Sections 3.1, 4.2 and 5.5. Name the specific eligibility, geographic or timing gap and show the share of your clients who fall into it. Here: 19 percent of intakes are barred by discharge characterization or Guard status, the median wait from referral to a first VA appointment is 96 days, and the nearest facility is 70 miles away with no transit route. Argue that these particular veterans are outside the VA's reach. Do not argue that the VA does the work badly, because the reviewer may fund the VA too, and because it is not the strongest version of the argument.</w:t>
      </w:r>
    </w:p>
    <w:p>
      <w:pPr>
        <w:pStyle w:val="Heading3"/>
      </w:pPr>
      <w:r>
        <w:t>2. Are you duplicating an existing local program?</w:t>
      </w:r>
    </w:p>
    <w:p>
      <w:r>
        <w:rPr>
          <w:b w:val="0"/>
          <w:i w:val="0"/>
        </w:rPr>
        <w:t>Answered in Appendix A. List the veteran-serving organizations in your service area and state the referral relationship with each, in both directions. The two-way columns are what settle it: an organization that only sends referrals is a program sitting on top of the system, while one that receives them is part of it.</w:t>
      </w:r>
    </w:p>
    <w:p>
      <w:pPr>
        <w:pStyle w:val="Heading3"/>
      </w:pPr>
      <w:r>
        <w:t>3. Is your peer staff supervised?</w:t>
      </w:r>
    </w:p>
    <w:p>
      <w:r>
        <w:rPr>
          <w:b w:val="0"/>
          <w:i w:val="0"/>
        </w:rPr>
        <w:t>Answered in Sections 5.6 and 5.7 and in the budget line for supervision. Give the hours, the supervisor's licence, the certification pathway and the timeline for completing it, and attach the position description. A peer program with no supervision line in the budget answers this question badly no matter what the narrative says.</w:t>
      </w:r>
    </w:p>
    <w:p>
      <w:pPr>
        <w:pStyle w:val="Heading3"/>
      </w:pPr>
      <w:r>
        <w:t>4. What is your capacity to serve this many veterans?</w:t>
      </w:r>
    </w:p>
    <w:p>
      <w:r>
        <w:rPr>
          <w:b w:val="0"/>
          <w:i w:val="0"/>
        </w:rPr>
        <w:t>Answered in Appendix B. Show caseload math. A 1.0 FTE peer specialist carrying 60 veterans over twelve months at the contact frequency you promised has to reconcile with the budget on the same page, and if it does not, the number a reviewer trusts is the smaller one.</w:t>
      </w:r>
    </w:p>
    <w:p>
      <w:pPr>
        <w:pStyle w:val="Heading3"/>
      </w:pPr>
      <w:r>
        <w:t>5. What happens after the grant?</w:t>
      </w:r>
    </w:p>
    <w:p>
      <w:r>
        <w:rPr>
          <w:b w:val="0"/>
          <w:i w:val="0"/>
        </w:rPr>
        <w:t>Answered in Section 11. Answer with a funding mix and with what happens to the veterans. Name the county allocation, the earned revenue, the recurring donors, or the second funder you are approaching, and say what share of the program each would carry. Then say how the veterans currently enrolled reach a planned closure rather than an abrupt one.</w:t>
      </w:r>
    </w:p>
    <w:p>
      <w:pPr>
        <w:pStyle w:val="Heading1"/>
      </w:pPr>
      <w:r>
        <w:t>Appendix D: Pre-Submission Checklist</w:t>
      </w:r>
    </w:p>
    <w:p>
      <w:pPr>
        <w:pStyle w:val="Caption"/>
      </w:pPr>
      <w:r>
        <w:t>The recurring failures in veterans proposals are structural: eligibility, the VA gap, coordination, supervision, crisis response, and arithmetic. Run this before the file leaves your office.</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736"/>
            <w:shd w:val="clear" w:color="auto" w:fill="E8EDF3"/>
          </w:tcPr>
          <w:p>
            <w:pPr>
              <w:spacing w:before="60" w:after="60"/>
            </w:pPr>
            <w:r/>
            <w:r>
              <w:rPr>
                <w:b/>
                <w:color w:val="1F3B5C"/>
                <w:sz w:val="20"/>
              </w:rPr>
              <w:t>Check</w:t>
            </w:r>
          </w:p>
        </w:tc>
        <w:tc>
          <w:tcPr>
            <w:tcW w:type="dxa" w:w="6624"/>
            <w:shd w:val="clear" w:color="auto" w:fill="E8EDF3"/>
          </w:tcPr>
          <w:p>
            <w:pPr>
              <w:spacing w:before="60" w:after="60"/>
            </w:pPr>
            <w:r/>
            <w:r>
              <w:rPr>
                <w:b/>
                <w:color w:val="1F3B5C"/>
                <w:sz w:val="20"/>
              </w:rPr>
              <w:t>What good looks like</w:t>
            </w:r>
          </w:p>
        </w:tc>
      </w:tr>
      <w:tr>
        <w:tc>
          <w:tcPr>
            <w:tcW w:type="dxa" w:w="2736"/>
          </w:tcPr>
          <w:p>
            <w:pPr>
              <w:spacing w:before="60" w:after="60"/>
            </w:pPr>
            <w:r/>
            <w:r>
              <w:rPr>
                <w:b w:val="0"/>
                <w:sz w:val="20"/>
              </w:rPr>
              <w:t>Eligibility definition</w:t>
            </w:r>
          </w:p>
        </w:tc>
        <w:tc>
          <w:tcPr>
            <w:tcW w:type="dxa" w:w="6624"/>
          </w:tcPr>
          <w:p>
            <w:pPr>
              <w:spacing w:before="60" w:after="60"/>
            </w:pPr>
            <w:r/>
            <w:r>
              <w:rPr>
                <w:b w:val="0"/>
                <w:sz w:val="20"/>
              </w:rPr>
              <w:t>Discharge status, Guard and Reserve, family members, and the verification path all written into the narrative</w:t>
            </w:r>
          </w:p>
        </w:tc>
      </w:tr>
      <w:tr>
        <w:tc>
          <w:tcPr>
            <w:tcW w:type="dxa" w:w="2736"/>
            <w:shd w:val="clear" w:color="auto" w:fill="F5F7FA"/>
          </w:tcPr>
          <w:p>
            <w:pPr>
              <w:spacing w:before="60" w:after="60"/>
            </w:pPr>
            <w:r/>
            <w:r>
              <w:rPr>
                <w:b w:val="0"/>
                <w:sz w:val="20"/>
              </w:rPr>
              <w:t>VA gap argument</w:t>
            </w:r>
          </w:p>
        </w:tc>
        <w:tc>
          <w:tcPr>
            <w:tcW w:type="dxa" w:w="6624"/>
            <w:shd w:val="clear" w:color="auto" w:fill="F5F7FA"/>
          </w:tcPr>
          <w:p>
            <w:pPr>
              <w:spacing w:before="60" w:after="60"/>
            </w:pPr>
            <w:r/>
            <w:r>
              <w:rPr>
                <w:b w:val="0"/>
                <w:sz w:val="20"/>
              </w:rPr>
              <w:t>A named gap, backed by local data or your own intake records, not a general statement about VA wait times</w:t>
            </w:r>
          </w:p>
        </w:tc>
      </w:tr>
      <w:tr>
        <w:tc>
          <w:tcPr>
            <w:tcW w:type="dxa" w:w="2736"/>
          </w:tcPr>
          <w:p>
            <w:pPr>
              <w:spacing w:before="60" w:after="60"/>
            </w:pPr>
            <w:r/>
            <w:r>
              <w:rPr>
                <w:b w:val="0"/>
                <w:sz w:val="20"/>
              </w:rPr>
              <w:t>Coordination evidence</w:t>
            </w:r>
          </w:p>
        </w:tc>
        <w:tc>
          <w:tcPr>
            <w:tcW w:type="dxa" w:w="6624"/>
          </w:tcPr>
          <w:p>
            <w:pPr>
              <w:spacing w:before="60" w:after="60"/>
            </w:pPr>
            <w:r/>
            <w:r>
              <w:rPr>
                <w:b w:val="0"/>
                <w:sz w:val="20"/>
              </w:rPr>
              <w:t>An MOU or letter of support from a VA facility, vet center, or county veterans service officer, attached</w:t>
            </w:r>
          </w:p>
        </w:tc>
      </w:tr>
      <w:tr>
        <w:tc>
          <w:tcPr>
            <w:tcW w:type="dxa" w:w="2736"/>
            <w:shd w:val="clear" w:color="auto" w:fill="F5F7FA"/>
          </w:tcPr>
          <w:p>
            <w:pPr>
              <w:spacing w:before="60" w:after="60"/>
            </w:pPr>
            <w:r/>
            <w:r>
              <w:rPr>
                <w:b w:val="0"/>
                <w:sz w:val="20"/>
              </w:rPr>
              <w:t>Peer supervision</w:t>
            </w:r>
          </w:p>
        </w:tc>
        <w:tc>
          <w:tcPr>
            <w:tcW w:type="dxa" w:w="6624"/>
            <w:shd w:val="clear" w:color="auto" w:fill="F5F7FA"/>
          </w:tcPr>
          <w:p>
            <w:pPr>
              <w:spacing w:before="60" w:after="60"/>
            </w:pPr>
            <w:r/>
            <w:r>
              <w:rPr>
                <w:b w:val="0"/>
                <w:sz w:val="20"/>
              </w:rPr>
              <w:t>Hours, supervisor licence, certification pathway, and the position description attached</w:t>
            </w:r>
          </w:p>
        </w:tc>
      </w:tr>
      <w:tr>
        <w:tc>
          <w:tcPr>
            <w:tcW w:type="dxa" w:w="2736"/>
          </w:tcPr>
          <w:p>
            <w:pPr>
              <w:spacing w:before="60" w:after="60"/>
            </w:pPr>
            <w:r/>
            <w:r>
              <w:rPr>
                <w:b w:val="0"/>
                <w:sz w:val="20"/>
              </w:rPr>
              <w:t>Crisis protocol</w:t>
            </w:r>
          </w:p>
        </w:tc>
        <w:tc>
          <w:tcPr>
            <w:tcW w:type="dxa" w:w="6624"/>
          </w:tcPr>
          <w:p>
            <w:pPr>
              <w:spacing w:before="60" w:after="60"/>
            </w:pPr>
            <w:r/>
            <w:r>
              <w:rPr>
                <w:b w:val="0"/>
                <w:sz w:val="20"/>
              </w:rPr>
              <w:t>After-hours coverage, screening practice, escalation path including the Veterans Crisis Line, attached in writing</w:t>
            </w:r>
          </w:p>
        </w:tc>
      </w:tr>
      <w:tr>
        <w:tc>
          <w:tcPr>
            <w:tcW w:type="dxa" w:w="2736"/>
            <w:shd w:val="clear" w:color="auto" w:fill="F5F7FA"/>
          </w:tcPr>
          <w:p>
            <w:pPr>
              <w:spacing w:before="60" w:after="60"/>
            </w:pPr>
            <w:r/>
            <w:r>
              <w:rPr>
                <w:b w:val="0"/>
                <w:sz w:val="20"/>
              </w:rPr>
              <w:t>Scope of benefits work</w:t>
            </w:r>
          </w:p>
        </w:tc>
        <w:tc>
          <w:tcPr>
            <w:tcW w:type="dxa" w:w="6624"/>
            <w:shd w:val="clear" w:color="auto" w:fill="F5F7FA"/>
          </w:tcPr>
          <w:p>
            <w:pPr>
              <w:spacing w:before="60" w:after="60"/>
            </w:pPr>
            <w:r/>
            <w:r>
              <w:rPr>
                <w:b w:val="0"/>
                <w:sz w:val="20"/>
              </w:rPr>
              <w:t>Claims work limited to referral unless your staff hold accreditation under 38 CFR 14.629</w:t>
            </w:r>
          </w:p>
        </w:tc>
      </w:tr>
      <w:tr>
        <w:tc>
          <w:tcPr>
            <w:tcW w:type="dxa" w:w="2736"/>
          </w:tcPr>
          <w:p>
            <w:pPr>
              <w:spacing w:before="60" w:after="60"/>
            </w:pPr>
            <w:r/>
            <w:r>
              <w:rPr>
                <w:b w:val="0"/>
                <w:sz w:val="20"/>
              </w:rPr>
              <w:t>Caseload math</w:t>
            </w:r>
          </w:p>
        </w:tc>
        <w:tc>
          <w:tcPr>
            <w:tcW w:type="dxa" w:w="6624"/>
          </w:tcPr>
          <w:p>
            <w:pPr>
              <w:spacing w:before="60" w:after="60"/>
            </w:pPr>
            <w:r/>
            <w:r>
              <w:rPr>
                <w:b w:val="0"/>
                <w:sz w:val="20"/>
              </w:rPr>
              <w:t>Staffing in the budget reconciles with the number of veterans promised, shown on the page</w:t>
            </w:r>
          </w:p>
        </w:tc>
      </w:tr>
      <w:tr>
        <w:tc>
          <w:tcPr>
            <w:tcW w:type="dxa" w:w="2736"/>
            <w:shd w:val="clear" w:color="auto" w:fill="F5F7FA"/>
          </w:tcPr>
          <w:p>
            <w:pPr>
              <w:spacing w:before="60" w:after="60"/>
            </w:pPr>
            <w:r/>
            <w:r>
              <w:rPr>
                <w:b w:val="0"/>
                <w:sz w:val="20"/>
              </w:rPr>
              <w:t>Budget arithmetic</w:t>
            </w:r>
          </w:p>
        </w:tc>
        <w:tc>
          <w:tcPr>
            <w:tcW w:type="dxa" w:w="6624"/>
            <w:shd w:val="clear" w:color="auto" w:fill="F5F7FA"/>
          </w:tcPr>
          <w:p>
            <w:pPr>
              <w:spacing w:before="60" w:after="60"/>
            </w:pPr>
            <w:r/>
            <w:r>
              <w:rPr>
                <w:b w:val="0"/>
                <w:sz w:val="20"/>
              </w:rPr>
              <w:t>Budget table and budget narrative report identical totals; direct plus indirect equals the request</w:t>
            </w:r>
          </w:p>
        </w:tc>
      </w:tr>
      <w:tr>
        <w:tc>
          <w:tcPr>
            <w:tcW w:type="dxa" w:w="2736"/>
          </w:tcPr>
          <w:p>
            <w:pPr>
              <w:spacing w:before="60" w:after="60"/>
            </w:pPr>
            <w:r/>
            <w:r>
              <w:rPr>
                <w:b w:val="0"/>
                <w:sz w:val="20"/>
              </w:rPr>
              <w:t>Indirect rate</w:t>
            </w:r>
          </w:p>
        </w:tc>
        <w:tc>
          <w:tcPr>
            <w:tcW w:type="dxa" w:w="6624"/>
          </w:tcPr>
          <w:p>
            <w:pPr>
              <w:spacing w:before="60" w:after="60"/>
            </w:pPr>
            <w:r/>
            <w:r>
              <w:rPr>
                <w:b w:val="0"/>
                <w:sz w:val="20"/>
              </w:rPr>
              <w:t>Confirmed against this funder's written cap, and against the correct base</w:t>
            </w:r>
          </w:p>
        </w:tc>
      </w:tr>
      <w:tr>
        <w:tc>
          <w:tcPr>
            <w:tcW w:type="dxa" w:w="2736"/>
            <w:shd w:val="clear" w:color="auto" w:fill="F5F7FA"/>
          </w:tcPr>
          <w:p>
            <w:pPr>
              <w:spacing w:before="60" w:after="60"/>
            </w:pPr>
            <w:r/>
            <w:r>
              <w:rPr>
                <w:b w:val="0"/>
                <w:sz w:val="20"/>
              </w:rPr>
              <w:t>Outcome measures</w:t>
            </w:r>
          </w:p>
        </w:tc>
        <w:tc>
          <w:tcPr>
            <w:tcW w:type="dxa" w:w="6624"/>
            <w:shd w:val="clear" w:color="auto" w:fill="F5F7FA"/>
          </w:tcPr>
          <w:p>
            <w:pPr>
              <w:spacing w:before="60" w:after="60"/>
            </w:pPr>
            <w:r/>
            <w:r>
              <w:rPr>
                <w:b w:val="0"/>
                <w:sz w:val="20"/>
              </w:rPr>
              <w:t>Every measure has a collection method and a reporting frequency next to it</w:t>
            </w:r>
          </w:p>
        </w:tc>
      </w:tr>
      <w:tr>
        <w:tc>
          <w:tcPr>
            <w:tcW w:type="dxa" w:w="2736"/>
          </w:tcPr>
          <w:p>
            <w:pPr>
              <w:spacing w:before="60" w:after="60"/>
            </w:pPr>
            <w:r/>
            <w:r>
              <w:rPr>
                <w:b w:val="0"/>
                <w:sz w:val="20"/>
              </w:rPr>
              <w:t>Sustainability</w:t>
            </w:r>
          </w:p>
        </w:tc>
        <w:tc>
          <w:tcPr>
            <w:tcW w:type="dxa" w:w="6624"/>
          </w:tcPr>
          <w:p>
            <w:pPr>
              <w:spacing w:before="60" w:after="60"/>
            </w:pPr>
            <w:r/>
            <w:r>
              <w:rPr>
                <w:b w:val="0"/>
                <w:sz w:val="20"/>
              </w:rPr>
              <w:t>Named sources with the share of program cost each would carry, plus what happens to enrolled veterans</w:t>
            </w:r>
          </w:p>
        </w:tc>
      </w:tr>
      <w:tr>
        <w:tc>
          <w:tcPr>
            <w:tcW w:type="dxa" w:w="2736"/>
            <w:shd w:val="clear" w:color="auto" w:fill="F5F7FA"/>
          </w:tcPr>
          <w:p>
            <w:pPr>
              <w:spacing w:before="60" w:after="60"/>
            </w:pPr>
            <w:r/>
            <w:r>
              <w:rPr>
                <w:b w:val="0"/>
                <w:sz w:val="20"/>
              </w:rPr>
              <w:t>Language check</w:t>
            </w:r>
          </w:p>
        </w:tc>
        <w:tc>
          <w:tcPr>
            <w:tcW w:type="dxa" w:w="6624"/>
            <w:shd w:val="clear" w:color="auto" w:fill="F5F7FA"/>
          </w:tcPr>
          <w:p>
            <w:pPr>
              <w:spacing w:before="60" w:after="60"/>
            </w:pPr>
            <w:r/>
            <w:r>
              <w:rPr>
                <w:b w:val="0"/>
                <w:sz w:val="20"/>
              </w:rPr>
              <w:t>No deficit language, no describing veterans as broken, one case story at most, labelled</w:t>
            </w:r>
          </w:p>
        </w:tc>
      </w:tr>
      <w:tr>
        <w:tc>
          <w:tcPr>
            <w:tcW w:type="dxa" w:w="2736"/>
          </w:tcPr>
          <w:p>
            <w:pPr>
              <w:spacing w:before="60" w:after="60"/>
            </w:pPr>
            <w:r/>
            <w:r>
              <w:rPr>
                <w:b w:val="0"/>
                <w:sz w:val="20"/>
              </w:rPr>
              <w:t>Funder fit</w:t>
            </w:r>
          </w:p>
        </w:tc>
        <w:tc>
          <w:tcPr>
            <w:tcW w:type="dxa" w:w="6624"/>
          </w:tcPr>
          <w:p>
            <w:pPr>
              <w:spacing w:before="60" w:after="60"/>
            </w:pPr>
            <w:r/>
            <w:r>
              <w:rPr>
                <w:b w:val="0"/>
                <w:sz w:val="20"/>
              </w:rPr>
              <w:t>The cover letter's second paragraph names the funder's own stated priority, quoted from their guidelines</w:t>
            </w:r>
          </w:p>
        </w:tc>
      </w:tr>
      <w:tr>
        <w:tc>
          <w:tcPr>
            <w:tcW w:type="dxa" w:w="2736"/>
            <w:shd w:val="clear" w:color="auto" w:fill="F5F7FA"/>
          </w:tcPr>
          <w:p>
            <w:pPr>
              <w:spacing w:before="60" w:after="60"/>
            </w:pPr>
            <w:r/>
            <w:r>
              <w:rPr>
                <w:b w:val="0"/>
                <w:sz w:val="20"/>
              </w:rPr>
              <w:t>Formatting</w:t>
            </w:r>
          </w:p>
        </w:tc>
        <w:tc>
          <w:tcPr>
            <w:tcW w:type="dxa" w:w="6624"/>
            <w:shd w:val="clear" w:color="auto" w:fill="F5F7FA"/>
          </w:tcPr>
          <w:p>
            <w:pPr>
              <w:spacing w:before="60" w:after="60"/>
            </w:pPr>
            <w:r/>
            <w:r>
              <w:rPr>
                <w:b w:val="0"/>
                <w:sz w:val="20"/>
              </w:rPr>
              <w:t>Page limits, font, margins and attachment order exactly as the guidelines specify</w:t>
            </w:r>
          </w:p>
        </w:tc>
      </w:tr>
    </w:tbl>
    <w:p>
      <w:pPr>
        <w:spacing w:after="40"/>
      </w:pPr>
    </w:p>
    <w:p>
      <w:pPr>
        <w:pStyle w:val="Heading1"/>
      </w:pPr>
      <w:r>
        <w:t>Appendix E: Interim and Final Report Outline</w:t>
      </w:r>
    </w:p>
    <w:p>
      <w:pPr>
        <w:pStyle w:val="Caption"/>
      </w:pPr>
      <w:r>
        <w:t>Draft the report outline before you submit the proposal. If a promised outcome has no place in this outline, you cannot report it, and you should not have promised it.</w:t>
      </w:r>
    </w:p>
    <w:p>
      <w:pPr>
        <w:pStyle w:val="Heading3"/>
      </w:pPr>
      <w:r>
        <w:t>Quarterly interim report, 2 to 3 pages</w:t>
      </w:r>
    </w:p>
    <w:p>
      <w:pPr>
        <w:pStyle w:val="ListBullet"/>
      </w:pPr>
      <w:r>
        <w:t>Enrollment to date against the 60 target, with verification status broken out.</w:t>
      </w:r>
    </w:p>
    <w:p>
      <w:pPr>
        <w:pStyle w:val="ListBullet"/>
      </w:pPr>
      <w:r>
        <w:t>Warm handoffs completed and confirmed, against the 45 target.</w:t>
      </w:r>
    </w:p>
    <w:p>
      <w:pPr>
        <w:pStyle w:val="ListBullet"/>
      </w:pPr>
      <w:r>
        <w:t>Employment track entries and placements to date.</w:t>
      </w:r>
    </w:p>
    <w:p>
      <w:pPr>
        <w:pStyle w:val="ListBullet"/>
      </w:pPr>
      <w:r>
        <w:t>Flexible assistance issued: number of veterans, total spent, average award, purpose breakdown.</w:t>
      </w:r>
    </w:p>
    <w:p>
      <w:pPr>
        <w:pStyle w:val="ListBullet"/>
      </w:pPr>
      <w:r>
        <w:t>Budget spent to date by line, with an explanation of any line more than 15 percent off pace.</w:t>
      </w:r>
    </w:p>
    <w:p>
      <w:pPr>
        <w:pStyle w:val="ListBullet"/>
      </w:pPr>
      <w:r>
        <w:t>One short case narrative, de-identified.</w:t>
      </w:r>
    </w:p>
    <w:p>
      <w:pPr>
        <w:pStyle w:val="ListBullet"/>
      </w:pPr>
      <w:r>
        <w:t>Any measure more than 20 percent below target, with the written corrective plan attached.</w:t>
      </w:r>
    </w:p>
    <w:p>
      <w:pPr>
        <w:pStyle w:val="Heading3"/>
      </w:pPr>
      <w:r>
        <w:t>Final report, 6 to 8 pages</w:t>
      </w:r>
    </w:p>
    <w:p>
      <w:pPr>
        <w:pStyle w:val="ListBullet"/>
      </w:pPr>
      <w:r>
        <w:t>Every objective in Section 6 restated, with the actual against the target and the denominator visible.</w:t>
      </w:r>
    </w:p>
    <w:p>
      <w:pPr>
        <w:pStyle w:val="ListBullet"/>
      </w:pPr>
      <w:r>
        <w:t>Housing retention at 6 and 12 months, and employment retention at 180 days, with the number of veterans lost to follow-up stated plainly.</w:t>
      </w:r>
    </w:p>
    <w:p>
      <w:pPr>
        <w:pStyle w:val="ListBullet"/>
      </w:pPr>
      <w:r>
        <w:t>The external evaluator's written report, attached in full rather than summarized.</w:t>
      </w:r>
    </w:p>
    <w:p>
      <w:pPr>
        <w:pStyle w:val="ListBullet"/>
      </w:pPr>
      <w:r>
        <w:t>Full budget-to-actual with variance explanations.</w:t>
      </w:r>
    </w:p>
    <w:p>
      <w:pPr>
        <w:pStyle w:val="ListBullet"/>
      </w:pPr>
      <w:r>
        <w:t>What we would do differently, in specific terms. Funders read this section to decide about renewal, and a report claiming everything worked perfectly reads as a report nobody examined.</w:t>
      </w:r>
    </w:p>
    <w:p>
      <w:pPr>
        <w:pStyle w:val="ListBullet"/>
      </w:pPr>
      <w:r>
        <w:t>Sustainability status: what each year two source actually committed.</w:t>
      </w:r>
    </w:p>
    <w:p>
      <w:pPr>
        <w:pStyle w:val="ListBullet"/>
      </w:pPr>
      <w:r>
        <w:t>Plan for veterans still enrolled at the close of the grant period.</w:t>
      </w:r>
    </w:p>
    <w:p>
      <w:pPr>
        <w:pStyle w:val="Heading1"/>
      </w:pPr>
      <w:r>
        <w:t>Appendix F: Sources and Citations</w:t>
      </w:r>
    </w:p>
    <w:p>
      <w:pPr>
        <w:pStyle w:val="Caption"/>
      </w:pPr>
      <w:r>
        <w:t>Verify each of these is current before you rely on it. Regulations change, and a citation to a superseded rule is worse than no citation.</w:t>
      </w:r>
    </w:p>
    <w:p>
      <w:pPr>
        <w:pStyle w:val="Heading3"/>
      </w:pPr>
      <w:r>
        <w:t>Eligibility and discharge</w:t>
      </w:r>
    </w:p>
    <w:p>
      <w:pPr>
        <w:pStyle w:val="ListBullet"/>
        <w:spacing w:after="80"/>
      </w:pPr>
      <w:r>
        <w:rPr>
          <w:sz w:val="20"/>
        </w:rPr>
        <w:t xml:space="preserve">38 CFR 3.12, character of discharge: </w:t>
      </w:r>
      <w:hyperlink r:id="rId10">
        <w:r>
          <w:rPr>
            <w:color w:val="1F3B5C"/>
            <w:u w:val="single"/>
            <w:sz w:val="20"/>
          </w:rPr>
          <w:t>https://www.ecfr.gov/current/title-38/chapter-I/part-3/subpart-A/subject-group-ECFRf5fe31f49d4f511/section-3.12</w:t>
        </w:r>
      </w:hyperlink>
    </w:p>
    <w:p>
      <w:pPr>
        <w:pStyle w:val="ListBullet"/>
        <w:spacing w:after="80"/>
      </w:pPr>
      <w:r>
        <w:rPr>
          <w:sz w:val="20"/>
        </w:rPr>
        <w:t xml:space="preserve">38 CFR 3.12a, minimum active-duty service requirement: </w:t>
      </w:r>
      <w:hyperlink r:id="rId11">
        <w:r>
          <w:rPr>
            <w:color w:val="1F3B5C"/>
            <w:u w:val="single"/>
            <w:sz w:val="20"/>
          </w:rPr>
          <w:t>https://www.ecfr.gov/current/title-38/chapter-I/part-3/subpart-A/subject-group-ECFRf5fe31f49d4f511/section-3.12a</w:t>
        </w:r>
      </w:hyperlink>
    </w:p>
    <w:p>
      <w:pPr>
        <w:pStyle w:val="Heading3"/>
      </w:pPr>
      <w:r>
        <w:t>Benefits representation</w:t>
      </w:r>
    </w:p>
    <w:p>
      <w:pPr>
        <w:pStyle w:val="ListBullet"/>
        <w:spacing w:after="80"/>
      </w:pPr>
      <w:r>
        <w:rPr>
          <w:sz w:val="20"/>
        </w:rPr>
        <w:t xml:space="preserve">38 U.S.C. 5901, recognition of representatives: </w:t>
      </w:r>
      <w:hyperlink r:id="rId12">
        <w:r>
          <w:rPr>
            <w:color w:val="1F3B5C"/>
            <w:u w:val="single"/>
            <w:sz w:val="20"/>
          </w:rPr>
          <w:t>https://uscode.house.gov/view.xhtml?req=granuleid:USC-prelim-title38-section5901</w:t>
        </w:r>
      </w:hyperlink>
    </w:p>
    <w:p>
      <w:pPr>
        <w:pStyle w:val="ListBullet"/>
        <w:spacing w:after="80"/>
      </w:pPr>
      <w:r>
        <w:rPr>
          <w:sz w:val="20"/>
        </w:rPr>
        <w:t xml:space="preserve">38 CFR 14.629, accreditation requirements: </w:t>
      </w:r>
      <w:hyperlink r:id="rId13">
        <w:r>
          <w:rPr>
            <w:color w:val="1F3B5C"/>
            <w:u w:val="single"/>
            <w:sz w:val="20"/>
          </w:rPr>
          <w:t>https://www.ecfr.gov/current/title-38/chapter-I/part-14/subject-group-ECFRe2d861683c66a39/section-14.629</w:t>
        </w:r>
      </w:hyperlink>
    </w:p>
    <w:p>
      <w:pPr>
        <w:pStyle w:val="Heading3"/>
      </w:pPr>
      <w:r>
        <w:t>Indirect cost rates on federal awards</w:t>
      </w:r>
    </w:p>
    <w:p>
      <w:pPr>
        <w:pStyle w:val="ListBullet"/>
        <w:spacing w:after="80"/>
      </w:pPr>
      <w:r>
        <w:rPr>
          <w:sz w:val="20"/>
        </w:rPr>
        <w:t xml:space="preserve">2 CFR 200.414(f), de minimis indirect cost rate: </w:t>
      </w:r>
      <w:hyperlink r:id="rId14">
        <w:r>
          <w:rPr>
            <w:color w:val="1F3B5C"/>
            <w:u w:val="single"/>
            <w:sz w:val="20"/>
          </w:rPr>
          <w:t>https://www.ecfr.gov/current/title-2/subtitle-A/chapter-II/part-200/subpart-E/subject-group-ECFRd93f2a98b1f6455/section-200.414</w:t>
        </w:r>
      </w:hyperlink>
    </w:p>
    <w:p>
      <w:pPr>
        <w:pStyle w:val="Heading3"/>
      </w:pPr>
      <w:r>
        <w:t>Screening instruments</w:t>
      </w:r>
    </w:p>
    <w:p>
      <w:pPr>
        <w:pStyle w:val="ListBullet"/>
        <w:spacing w:after="80"/>
      </w:pPr>
      <w:r>
        <w:rPr>
          <w:sz w:val="20"/>
        </w:rPr>
        <w:t xml:space="preserve">PTSD Checklist for DSM-5 (PCL-5), National Center for PTSD: </w:t>
      </w:r>
      <w:hyperlink r:id="rId15">
        <w:r>
          <w:rPr>
            <w:color w:val="1F3B5C"/>
            <w:u w:val="single"/>
            <w:sz w:val="20"/>
          </w:rPr>
          <w:t>https://www.ptsd.va.gov/professional/assessment/adult-sr/ptsd-checklist.asp</w:t>
        </w:r>
      </w:hyperlink>
    </w:p>
    <w:p>
      <w:pPr>
        <w:pStyle w:val="ListBullet"/>
        <w:spacing w:after="80"/>
      </w:pPr>
      <w:r>
        <w:rPr>
          <w:sz w:val="20"/>
        </w:rPr>
        <w:t>Patient Health Questionnaire (PHQ-9), Pfizer screener library: https://www.phqscreeners.com/ (developed under an educational grant from Pfizer Inc.; no license fee, and the publisher states that no permission is required to reproduce, translate, display or distribute it)</w:t>
      </w:r>
    </w:p>
    <w:p>
      <w:pPr>
        <w:pStyle w:val="Heading3"/>
      </w:pPr>
      <w:r>
        <w:t>Federal veterans funding programs</w:t>
      </w:r>
    </w:p>
    <w:p>
      <w:pPr>
        <w:pStyle w:val="ListBullet"/>
        <w:spacing w:after="80"/>
      </w:pPr>
      <w:r>
        <w:rPr>
          <w:sz w:val="20"/>
        </w:rPr>
        <w:t xml:space="preserve">Supportive Services for Veteran Families (SSVF): </w:t>
      </w:r>
      <w:hyperlink r:id="rId16">
        <w:r>
          <w:rPr>
            <w:color w:val="1F3B5C"/>
            <w:u w:val="single"/>
            <w:sz w:val="20"/>
          </w:rPr>
          <w:t>https://www.va.gov/HOMELESS/ssvf/</w:t>
        </w:r>
      </w:hyperlink>
    </w:p>
    <w:p>
      <w:pPr>
        <w:pStyle w:val="ListBullet"/>
        <w:spacing w:after="80"/>
      </w:pPr>
      <w:r>
        <w:rPr>
          <w:sz w:val="20"/>
        </w:rPr>
        <w:t xml:space="preserve">Grant and Per Diem (GPD) transitional housing: </w:t>
      </w:r>
      <w:hyperlink r:id="rId17">
        <w:r>
          <w:rPr>
            <w:color w:val="1F3B5C"/>
            <w:u w:val="single"/>
            <w:sz w:val="20"/>
          </w:rPr>
          <w:t>https://department.va.gov/homeless/grant-per-diem/</w:t>
        </w:r>
      </w:hyperlink>
    </w:p>
    <w:p>
      <w:pPr>
        <w:pStyle w:val="ListBullet"/>
        <w:spacing w:after="80"/>
      </w:pPr>
      <w:r>
        <w:rPr>
          <w:sz w:val="20"/>
        </w:rPr>
        <w:t xml:space="preserve">Homeless Veterans' Reintegration Program (HVRP), U.S. Department of Labor: </w:t>
      </w:r>
      <w:hyperlink r:id="rId18">
        <w:r>
          <w:rPr>
            <w:color w:val="1F3B5C"/>
            <w:u w:val="single"/>
            <w:sz w:val="20"/>
          </w:rPr>
          <w:t>https://www.dol.gov/agencies/vets/programs/hvrp</w:t>
        </w:r>
      </w:hyperlink>
    </w:p>
    <w:p>
      <w:pPr>
        <w:pStyle w:val="Heading3"/>
      </w:pPr>
      <w:r>
        <w:t>Crisis support</w:t>
      </w:r>
    </w:p>
    <w:p>
      <w:pPr>
        <w:spacing w:after="200"/>
      </w:pPr>
      <w:r>
        <w:rPr>
          <w:b w:val="0"/>
          <w:i w:val="0"/>
        </w:rPr>
        <w:t>Veterans Crisis Line: dial 988 then press 1, text 838255, or chat at veteranscrisisline.net. Put the number in the proposal, in the protocol, and on the service plan the veteran takes home.</w:t>
      </w:r>
    </w:p>
    <w:p>
      <w:pPr>
        <w:spacing w:before="40" w:after="200"/>
        <w:pBdr>
          <w:bottom w:val="single" w:sz="6" w:space="1" w:color="C6D0DC"/>
        </w:pBdr>
      </w:pPr>
    </w:p>
    <w:p>
      <w:pPr>
        <w:pStyle w:val="Heading2"/>
      </w:pPr>
      <w:r>
        <w:t>Where this document came from</w:t>
      </w:r>
    </w:p>
    <w:p>
      <w:r>
        <w:rPr>
          <w:sz w:val="20"/>
        </w:rPr>
        <w:t xml:space="preserve">This example accompanies the GrantCue guide to writing a veterans nonprofit grant proposal, which walks the same sections with the reasoning behind them: </w:t>
      </w:r>
      <w:hyperlink r:id="rId19">
        <w:r>
          <w:rPr>
            <w:color w:val="1F3B5C"/>
            <w:u w:val="single"/>
            <w:sz w:val="20"/>
          </w:rPr>
          <w:t>grantcue.com/blog/sample-grant-proposal-veterans-nonprofit</w:t>
        </w:r>
      </w:hyperlink>
    </w:p>
    <w:p>
      <w:r>
        <w:rPr>
          <w:b w:val="0"/>
          <w:i w:val="0"/>
          <w:sz w:val="20"/>
        </w:rPr>
        <w:t>Veterans funding runs through four channels on four different calendars: federal agencies, state departments of veterans affairs, county veterans service offices, and private philanthropy. Deadline tracking across all four is the part that gets messy. Keep them in one view.</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7"/>
      </w:rPr>
      <w:t>GrantCue - grantcue.com/blog/sample-grant-proposal-veterans-nonprofit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40"/>
      <w:outlineLvl w:val="0"/>
    </w:pPr>
    <w:rPr>
      <w:rFonts w:asciiTheme="majorHAnsi" w:eastAsiaTheme="majorEastAsia" w:hAnsiTheme="majorHAnsi" w:cstheme="majorBidi" w:ascii="Calibri" w:hAnsi="Calibri"/>
      <w:b/>
      <w:bCs/>
      <w:color w:val="1F3B5C"/>
      <w:sz w:val="34"/>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Calibri" w:hAnsi="Calibri"/>
      <w:b/>
      <w:bCs/>
      <w:color w:val="1F3B5C"/>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1F3B5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olor w:val="1F3B5C"/>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Calibri" w:hAnsi="Calibri"/>
      <w:b w:val="0"/>
      <w:i w:val="0"/>
      <w:iCs/>
      <w:color w:val="5A5A5A"/>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Calibri" w:hAnsi="Calibri"/>
      <w:color w:val="1A1A1A"/>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Calibri" w:hAnsi="Calibri"/>
      <w:color w:val="1A1A1A"/>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val="0"/>
      <w:iCs/>
      <w:color w:val="1A1A1A"/>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40" w:after="240"/>
    </w:pPr>
    <w:rPr>
      <w:rFonts w:ascii="Calibri" w:hAnsi="Calibri"/>
      <w:b w:val="0"/>
      <w:bCs/>
      <w:i/>
      <w:color w:val="5A5A5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ecfr.gov/current/title-38/chapter-I/part-3/subpart-A/subject-group-ECFRf5fe31f49d4f511/section-3.12" TargetMode="External"/><Relationship Id="rId11" Type="http://schemas.openxmlformats.org/officeDocument/2006/relationships/hyperlink" Target="https://www.ecfr.gov/current/title-38/chapter-I/part-3/subpart-A/subject-group-ECFRf5fe31f49d4f511/section-3.12a" TargetMode="External"/><Relationship Id="rId12" Type="http://schemas.openxmlformats.org/officeDocument/2006/relationships/hyperlink" Target="https://uscode.house.gov/view.xhtml?req=granuleid:USC-prelim-title38-section5901" TargetMode="External"/><Relationship Id="rId13" Type="http://schemas.openxmlformats.org/officeDocument/2006/relationships/hyperlink" Target="https://www.ecfr.gov/current/title-38/chapter-I/part-14/subject-group-ECFRe2d861683c66a39/section-14.629" TargetMode="External"/><Relationship Id="rId14" Type="http://schemas.openxmlformats.org/officeDocument/2006/relationships/hyperlink" Target="https://www.ecfr.gov/current/title-2/subtitle-A/chapter-II/part-200/subpart-E/subject-group-ECFRd93f2a98b1f6455/section-200.414" TargetMode="External"/><Relationship Id="rId15" Type="http://schemas.openxmlformats.org/officeDocument/2006/relationships/hyperlink" Target="https://www.ptsd.va.gov/professional/assessment/adult-sr/ptsd-checklist.asp" TargetMode="External"/><Relationship Id="rId16" Type="http://schemas.openxmlformats.org/officeDocument/2006/relationships/hyperlink" Target="https://www.va.gov/HOMELESS/ssvf/" TargetMode="External"/><Relationship Id="rId17" Type="http://schemas.openxmlformats.org/officeDocument/2006/relationships/hyperlink" Target="https://department.va.gov/homeless/grant-per-diem/" TargetMode="External"/><Relationship Id="rId18" Type="http://schemas.openxmlformats.org/officeDocument/2006/relationships/hyperlink" Target="https://www.dol.gov/agencies/vets/programs/hvrp" TargetMode="External"/><Relationship Id="rId19" Type="http://schemas.openxmlformats.org/officeDocument/2006/relationships/hyperlink" Target="https://grantcue.com/blog/sample-grant-proposal-veterans-nonprof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