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Scholarship Fund Grant Proposal</w:t>
      </w:r>
    </w:p>
    <w:p>
      <w:pPr>
        <w:pStyle w:val="Subtitle"/>
      </w:pPr>
      <w:r>
        <w:t>A complete, adaptable request for a community scholarship fund: written selection procedure, 100-point scoring rubric, award terms and conditions, bursar disbursement plan, award-to-administration budget split, and four-year outcome tracking.</w:t>
      </w:r>
    </w:p>
    <w:p>
      <w:r>
        <w:t>Every section of a full scholarship program proposal is written out below in submission-ready prose, using one worked example carried consistently from the cover letter through the appendices. Nothing is left as an outline. Where a number has to be yours, the example supplies a plausible figure and the note under the heading tells you what to swap and where the replacement comes from.</w:t>
      </w:r>
    </w:p>
    <w:p>
      <w:r>
        <w:t>This file accompanies the article Sample Grant Proposal for Scholarship Program at grantcue.com/blog/sample-grant-proposal-scholarship-program. It is free to copy, edit, and submit under your own name. There is no watermark and nothing has been removed.</w:t>
      </w:r>
    </w:p>
    <w:tbl>
      <w:tblPr>
        <w:tblStyle w:val="TableGrid"/>
        <w:tblW w:type="auto" w:w="0"/>
        <w:tblLook w:firstColumn="1" w:firstRow="1" w:lastColumn="0" w:lastRow="0" w:noHBand="0" w:noVBand="1" w:val="04A0"/>
      </w:tblPr>
      <w:tblGrid>
        <w:gridCol w:w="9360"/>
      </w:tblGrid>
      <w:tr>
        <w:tc>
          <w:tcPr>
            <w:tcW w:type="dxa" w:w="9360"/>
            <w:shd w:val="clear" w:color="auto" w:fill="EEF2F8"/>
          </w:tcPr>
          <w:p>
            <w:pPr>
              <w:spacing w:after="40"/>
            </w:pPr>
            <w:r/>
            <w:r>
              <w:rPr>
                <w:color w:val="333333"/>
                <w:sz w:val="20"/>
              </w:rPr>
              <w:t>About the example. Two Rivers Scholarship Fund, the Two Rivers Area School District, Kestrel Valley Community College, Halbrook State University, and River Bend Technical College are composites written for this document. They are not real organizations and the numbers attached to them are illustrative, not research findings. Statements attributed to the IRS or the U.S. Department of Education are real and are cited with their sources in Appendix E. No funder is named anywhere in this document, because the funder name is yours to fill in.</w:t>
            </w:r>
          </w:p>
        </w:tc>
      </w:tr>
    </w:tbl>
    <w:p/>
    <w:p>
      <w:pPr>
        <w:pStyle w:val="Heading1"/>
      </w:pPr>
      <w:r>
        <w:t>1. How to Use This Document</w:t>
      </w:r>
    </w:p>
    <w:p>
      <w:r>
        <w:t>Read the proposal straight through once before you edit anything. The point of reading it whole is to see the chain: the statement of need produces a median unmet gap, the gap sets the award size, the award size and the cohort count produce the award pool, the award pool sets the administration share, and the outcome measures report on the students that pool paid for. Break one link and a reviewer notices the ones downstream.</w:t>
      </w:r>
    </w:p>
    <w:p>
      <w:r>
        <w:t>Then work in the order below, which is not the order the sections appear in. Start with the selection procedure in Section 8, because it is the section a scholarship funder reads first and the one most proposals leave vague. Next build the need statement in Section 6 from your own applicant files. Then set award terms and disbursement, then the budget, then evaluation. Write the executive summary last, once every number is fixed, and write the cover letter after that.</w:t>
      </w:r>
    </w:p>
    <w:p>
      <w:pPr>
        <w:pStyle w:val="Heading2"/>
      </w:pPr>
      <w:r>
        <w:t>What you have to replace</w:t>
      </w:r>
    </w:p>
    <w:p>
      <w:pPr>
        <w:pStyle w:val="ListBullet"/>
      </w:pPr>
      <w:r>
        <w:t>The organization name, address, EIN, founding year, board size, and staffing in the cover letter and Section 5.</w:t>
      </w:r>
    </w:p>
    <w:p>
      <w:pPr>
        <w:pStyle w:val="ListBullet"/>
      </w:pPr>
      <w:r>
        <w:t>The district, high schools, graduating class size, FAFSA completion rate, and postsecondary enrollment rate in Section 6.</w:t>
      </w:r>
    </w:p>
    <w:p>
      <w:pPr>
        <w:pStyle w:val="ListBullet"/>
      </w:pPr>
      <w:r>
        <w:t>The institutions your students actually attend, their published cost of attendance, and the median aid your applicants receive, in the Section 6 gap table.</w:t>
      </w:r>
    </w:p>
    <w:p>
      <w:pPr>
        <w:pStyle w:val="ListBullet"/>
      </w:pPr>
      <w:r>
        <w:t>The median unmet gap for your own applicant pool. This single number drives the award size and it is a number only you have.</w:t>
      </w:r>
    </w:p>
    <w:p>
      <w:pPr>
        <w:pStyle w:val="ListBullet"/>
      </w:pPr>
      <w:r>
        <w:t>The funder name, program officer, and mailing address in the cover letter, and the funder's own budget form if they supply one.</w:t>
      </w:r>
    </w:p>
    <w:p>
      <w:pPr>
        <w:pStyle w:val="ListBullet"/>
      </w:pPr>
      <w:r>
        <w:t>Every date in the Section 7 cycle table. The example runs a January-to-December 2027 grant period with a spring 2027 selection cycle.</w:t>
      </w:r>
    </w:p>
    <w:p>
      <w:pPr>
        <w:pStyle w:val="ListBullet"/>
      </w:pPr>
      <w:r>
        <w:t>The award size, cohort size, and every budget figure in Section 12.</w:t>
      </w:r>
    </w:p>
    <w:p>
      <w:pPr>
        <w:pStyle w:val="ListBullet"/>
      </w:pPr>
      <w:r>
        <w:t>The persistence and completion baselines in Section 13, which must come from the institutions your students enroll in, named in the text.</w:t>
      </w:r>
    </w:p>
    <w:p>
      <w:pPr>
        <w:pStyle w:val="ListBullet"/>
      </w:pPr>
      <w:r>
        <w:t>The sustainability path and its decision date in Section 14. Do not keep the example's match campaign unless your board has actually voted on one.</w:t>
      </w:r>
    </w:p>
    <w:p>
      <w:pPr>
        <w:pStyle w:val="Heading2"/>
      </w:pPr>
      <w:r>
        <w:t>What you can usually keep</w:t>
      </w:r>
    </w:p>
    <w:p>
      <w:pPr>
        <w:pStyle w:val="ListBullet"/>
      </w:pPr>
      <w:r>
        <w:t>The section order and the headings, which map to what most scholarship funders and community foundations ask for.</w:t>
      </w:r>
    </w:p>
    <w:p>
      <w:pPr>
        <w:pStyle w:val="ListBullet"/>
      </w:pPr>
      <w:r>
        <w:t>The Internal Revenue Code section 4945(g) framing in Section 4 and Section 8.9. It answers an objection that private foundation program officers routinely raise.</w:t>
      </w:r>
    </w:p>
    <w:p>
      <w:pPr>
        <w:pStyle w:val="ListBullet"/>
      </w:pPr>
      <w:r>
        <w:t>The structure of the 100-point rubric in Section 8.2, including the decision to weight documented unmet need at 40 points.</w:t>
      </w:r>
    </w:p>
    <w:p>
      <w:pPr>
        <w:pStyle w:val="ListBullet"/>
      </w:pPr>
      <w:r>
        <w:t>The scoring anchors in Section 8.3. Anchors are what turn a rubric from a list of adjectives into a repeatable process.</w:t>
      </w:r>
    </w:p>
    <w:p>
      <w:pPr>
        <w:pStyle w:val="ListBullet"/>
      </w:pPr>
      <w:r>
        <w:t>The conflict-of-interest rule, the blind-review procedure, and the tie-break rule in Sections 8.4 through 8.6.</w:t>
      </w:r>
    </w:p>
    <w:p>
      <w:pPr>
        <w:pStyle w:val="ListBullet"/>
      </w:pPr>
      <w:r>
        <w:t>The award terms grammar in Section 10 and the terms letter in Appendix A: amount, term count, renewal standard as numbers, payee, and verification consent.</w:t>
      </w:r>
    </w:p>
    <w:p>
      <w:pPr>
        <w:pStyle w:val="ListBullet"/>
      </w:pPr>
      <w:r>
        <w:t>The bursar disbursement language and the displacement coordination request in Section 11 and Appendix D.</w:t>
      </w:r>
    </w:p>
    <w:p>
      <w:pPr>
        <w:pStyle w:val="ListBullet"/>
      </w:pPr>
      <w:r>
        <w:t>The award-to-administration split shown on the face of the budget table, which is the first ratio a scholarship reviewer looks for.</w:t>
      </w:r>
    </w:p>
    <w:p>
      <w:pPr>
        <w:pStyle w:val="ListBullet"/>
      </w:pPr>
      <w:r>
        <w:t>The eight control points in the Section 11 table, which are what an auditor asks to see.</w:t>
      </w:r>
    </w:p>
    <w:p>
      <w:pPr>
        <w:pStyle w:val="ListBullet"/>
      </w:pPr>
      <w:r>
        <w:t>The objection table in Section 16, because those six objections come up regardless of program size.</w:t>
      </w:r>
    </w:p>
    <w:p>
      <w:pPr>
        <w:pStyle w:val="Heading2"/>
      </w:pPr>
      <w:r>
        <w:t>A note on length</w:t>
      </w:r>
    </w:p>
    <w:p>
      <w:r>
        <w:t>This document is longer than most funders will accept, deliberately, so that every section is fully modelled. For a common ten-page limit, keep Sections 3, 4, 6, 7, 8, 10, 12, 13, and 14, compress Section 5 into two paragraphs, and move Sections 9, 11, 15, and 16 plus the appendices into attachments. For an online portal with character limits, paste the section text into the matching field and attach the appendices as a single PDF named for your organization and the cycle.</w:t>
      </w:r>
    </w:p>
    <w:p>
      <w:pPr>
        <w:pStyle w:val="Heading1"/>
      </w:pPr>
      <w:r>
        <w:t>2. Proposal at a Glance</w:t>
      </w:r>
    </w:p>
    <w:p>
      <w:pPr>
        <w:pStyle w:val="AdaptationNote"/>
      </w:pPr>
      <w:r>
        <w:t>Adapt this section: Most funders never ask for this page. Build it anyway and keep it at the front of your own file. When a program officer calls, every number they will ask for is on one page, and when you reuse this proposal next cycle it tells you in thirty seconds what changed.</w:t>
      </w:r>
    </w:p>
    <w:tbl>
      <w:tblPr>
        <w:tblStyle w:val="LightGrid-Accent1"/>
        <w:tblW w:type="auto" w:w="0"/>
        <w:jc w:val="left"/>
        <w:tblLayout w:type="fixed"/>
        <w:tblLook w:firstColumn="1" w:firstRow="1" w:lastColumn="0" w:lastRow="0" w:noHBand="0" w:noVBand="1" w:val="04A0"/>
      </w:tblPr>
      <w:tblGrid>
        <w:gridCol w:w="4680"/>
        <w:gridCol w:w="4680"/>
      </w:tblGrid>
      <w:tr>
        <w:trPr>
          <w:tblHeader w:val="true"/>
        </w:trPr>
        <w:tc>
          <w:tcPr>
            <w:tcW w:type="dxa" w:w="3024"/>
          </w:tcPr>
          <w:p>
            <w:pPr>
              <w:spacing w:after="40" w:before="40"/>
            </w:pPr>
            <w:r>
              <w:rPr>
                <w:sz w:val="20"/>
              </w:rPr>
              <w:t>Item</w:t>
            </w:r>
          </w:p>
        </w:tc>
        <w:tc>
          <w:tcPr>
            <w:tcW w:type="dxa" w:w="6336"/>
          </w:tcPr>
          <w:p>
            <w:pPr>
              <w:spacing w:after="40" w:before="40"/>
            </w:pPr>
            <w:r>
              <w:rPr>
                <w:sz w:val="20"/>
              </w:rPr>
              <w:t>Example value</w:t>
            </w:r>
          </w:p>
        </w:tc>
      </w:tr>
      <w:tr>
        <w:tc>
          <w:tcPr>
            <w:tcW w:type="dxa" w:w="3024"/>
          </w:tcPr>
          <w:p>
            <w:pPr>
              <w:spacing w:after="40" w:before="40"/>
            </w:pPr>
            <w:r>
              <w:rPr>
                <w:sz w:val="20"/>
              </w:rPr>
              <w:t>Applicant organization</w:t>
            </w:r>
          </w:p>
        </w:tc>
        <w:tc>
          <w:tcPr>
            <w:tcW w:type="dxa" w:w="6336"/>
          </w:tcPr>
          <w:p>
            <w:pPr>
              <w:spacing w:after="40" w:before="40"/>
            </w:pPr>
            <w:r>
              <w:rPr>
                <w:sz w:val="20"/>
              </w:rPr>
              <w:t>Two Rivers Scholarship Fund, a 501(c)(3) public charity</w:t>
            </w:r>
          </w:p>
        </w:tc>
      </w:tr>
      <w:tr>
        <w:tc>
          <w:tcPr>
            <w:tcW w:type="dxa" w:w="3024"/>
          </w:tcPr>
          <w:p>
            <w:pPr>
              <w:spacing w:after="40" w:before="40"/>
            </w:pPr>
            <w:r>
              <w:rPr>
                <w:sz w:val="20"/>
              </w:rPr>
              <w:t>EIN</w:t>
            </w:r>
          </w:p>
        </w:tc>
        <w:tc>
          <w:tcPr>
            <w:tcW w:type="dxa" w:w="6336"/>
          </w:tcPr>
          <w:p>
            <w:pPr>
              <w:spacing w:after="40" w:before="40"/>
            </w:pPr>
            <w:r>
              <w:rPr>
                <w:sz w:val="20"/>
              </w:rPr>
              <w:t>00-0000000 (replace with your EIN)</w:t>
            </w:r>
          </w:p>
        </w:tc>
      </w:tr>
      <w:tr>
        <w:tc>
          <w:tcPr>
            <w:tcW w:type="dxa" w:w="3024"/>
          </w:tcPr>
          <w:p>
            <w:pPr>
              <w:spacing w:after="40" w:before="40"/>
            </w:pPr>
            <w:r>
              <w:rPr>
                <w:sz w:val="20"/>
              </w:rPr>
              <w:t>Amount requested</w:t>
            </w:r>
          </w:p>
        </w:tc>
        <w:tc>
          <w:tcPr>
            <w:tcW w:type="dxa" w:w="6336"/>
          </w:tcPr>
          <w:p>
            <w:pPr>
              <w:spacing w:after="40" w:before="40"/>
            </w:pPr>
            <w:r>
              <w:rPr>
                <w:sz w:val="20"/>
              </w:rPr>
              <w:t>$150,000</w:t>
            </w:r>
          </w:p>
        </w:tc>
      </w:tr>
      <w:tr>
        <w:tc>
          <w:tcPr>
            <w:tcW w:type="dxa" w:w="3024"/>
          </w:tcPr>
          <w:p>
            <w:pPr>
              <w:spacing w:after="40" w:before="40"/>
            </w:pPr>
            <w:r>
              <w:rPr>
                <w:sz w:val="20"/>
              </w:rPr>
              <w:t>Grant period</w:t>
            </w:r>
          </w:p>
        </w:tc>
        <w:tc>
          <w:tcPr>
            <w:tcW w:type="dxa" w:w="6336"/>
          </w:tcPr>
          <w:p>
            <w:pPr>
              <w:spacing w:after="40" w:before="40"/>
            </w:pPr>
            <w:r>
              <w:rPr>
                <w:sz w:val="20"/>
              </w:rPr>
              <w:t>January 1, 2027 through December 31, 2027</w:t>
            </w:r>
          </w:p>
        </w:tc>
      </w:tr>
      <w:tr>
        <w:tc>
          <w:tcPr>
            <w:tcW w:type="dxa" w:w="3024"/>
          </w:tcPr>
          <w:p>
            <w:pPr>
              <w:spacing w:after="40" w:before="40"/>
            </w:pPr>
            <w:r>
              <w:rPr>
                <w:sz w:val="20"/>
              </w:rPr>
              <w:t>Program</w:t>
            </w:r>
          </w:p>
        </w:tc>
        <w:tc>
          <w:tcPr>
            <w:tcW w:type="dxa" w:w="6336"/>
          </w:tcPr>
          <w:p>
            <w:pPr>
              <w:spacing w:after="40" w:before="40"/>
            </w:pPr>
            <w:r>
              <w:rPr>
                <w:sz w:val="20"/>
              </w:rPr>
              <w:t>Two Rivers Completion Scholarship</w:t>
            </w:r>
          </w:p>
        </w:tc>
      </w:tr>
      <w:tr>
        <w:tc>
          <w:tcPr>
            <w:tcW w:type="dxa" w:w="3024"/>
          </w:tcPr>
          <w:p>
            <w:pPr>
              <w:spacing w:after="40" w:before="40"/>
            </w:pPr>
            <w:r>
              <w:rPr>
                <w:sz w:val="20"/>
              </w:rPr>
              <w:t>Awards</w:t>
            </w:r>
          </w:p>
        </w:tc>
        <w:tc>
          <w:tcPr>
            <w:tcW w:type="dxa" w:w="6336"/>
          </w:tcPr>
          <w:p>
            <w:pPr>
              <w:spacing w:after="40" w:before="40"/>
            </w:pPr>
            <w:r>
              <w:rPr>
                <w:sz w:val="20"/>
              </w:rPr>
              <w:t>30 scholarships of $4,000, paid in two $2,000 term payments</w:t>
            </w:r>
          </w:p>
        </w:tc>
      </w:tr>
      <w:tr>
        <w:tc>
          <w:tcPr>
            <w:tcW w:type="dxa" w:w="3024"/>
          </w:tcPr>
          <w:p>
            <w:pPr>
              <w:spacing w:after="40" w:before="40"/>
            </w:pPr>
            <w:r>
              <w:rPr>
                <w:sz w:val="20"/>
              </w:rPr>
              <w:t>Population</w:t>
            </w:r>
          </w:p>
        </w:tc>
        <w:tc>
          <w:tcPr>
            <w:tcW w:type="dxa" w:w="6336"/>
          </w:tcPr>
          <w:p>
            <w:pPr>
              <w:spacing w:after="40" w:before="40"/>
            </w:pPr>
            <w:r>
              <w:rPr>
                <w:sz w:val="20"/>
              </w:rPr>
              <w:t>First-generation graduating seniors from the Two Rivers Area School District</w:t>
            </w:r>
          </w:p>
        </w:tc>
      </w:tr>
      <w:tr>
        <w:tc>
          <w:tcPr>
            <w:tcW w:type="dxa" w:w="3024"/>
          </w:tcPr>
          <w:p>
            <w:pPr>
              <w:spacing w:after="40" w:before="40"/>
            </w:pPr>
            <w:r>
              <w:rPr>
                <w:sz w:val="20"/>
              </w:rPr>
              <w:t>Institutions</w:t>
            </w:r>
          </w:p>
        </w:tc>
        <w:tc>
          <w:tcPr>
            <w:tcW w:type="dxa" w:w="6336"/>
          </w:tcPr>
          <w:p>
            <w:pPr>
              <w:spacing w:after="40" w:before="40"/>
            </w:pPr>
            <w:r>
              <w:rPr>
                <w:sz w:val="20"/>
              </w:rPr>
              <w:t>Any Title IV eligible institution; 78 percent of prior recipients enrolled at four regional institutions</w:t>
            </w:r>
          </w:p>
        </w:tc>
      </w:tr>
      <w:tr>
        <w:tc>
          <w:tcPr>
            <w:tcW w:type="dxa" w:w="3024"/>
          </w:tcPr>
          <w:p>
            <w:pPr>
              <w:spacing w:after="40" w:before="40"/>
            </w:pPr>
            <w:r>
              <w:rPr>
                <w:sz w:val="20"/>
              </w:rPr>
              <w:t>Payee</w:t>
            </w:r>
          </w:p>
        </w:tc>
        <w:tc>
          <w:tcPr>
            <w:tcW w:type="dxa" w:w="6336"/>
          </w:tcPr>
          <w:p>
            <w:pPr>
              <w:spacing w:after="40" w:before="40"/>
            </w:pPr>
            <w:r>
              <w:rPr>
                <w:sz w:val="20"/>
              </w:rPr>
              <w:t>The institution's student accounts office, referenced to the student ID</w:t>
            </w:r>
          </w:p>
        </w:tc>
      </w:tr>
      <w:tr>
        <w:tc>
          <w:tcPr>
            <w:tcW w:type="dxa" w:w="3024"/>
          </w:tcPr>
          <w:p>
            <w:pPr>
              <w:spacing w:after="40" w:before="40"/>
            </w:pPr>
            <w:r>
              <w:rPr>
                <w:sz w:val="20"/>
              </w:rPr>
              <w:t>Renewal standard</w:t>
            </w:r>
          </w:p>
        </w:tc>
        <w:tc>
          <w:tcPr>
            <w:tcW w:type="dxa" w:w="6336"/>
          </w:tcPr>
          <w:p>
            <w:pPr>
              <w:spacing w:after="40" w:before="40"/>
            </w:pPr>
            <w:r>
              <w:rPr>
                <w:sz w:val="20"/>
              </w:rPr>
              <w:t>Continuous half-time enrollment, 12 credits earned in fall, cumulative GPA 2.0 or higher</w:t>
            </w:r>
          </w:p>
        </w:tc>
      </w:tr>
      <w:tr>
        <w:tc>
          <w:tcPr>
            <w:tcW w:type="dxa" w:w="3024"/>
          </w:tcPr>
          <w:p>
            <w:pPr>
              <w:spacing w:after="40" w:before="40"/>
            </w:pPr>
            <w:r>
              <w:rPr>
                <w:sz w:val="20"/>
              </w:rPr>
              <w:t>Award dollars as a share of request</w:t>
            </w:r>
          </w:p>
        </w:tc>
        <w:tc>
          <w:tcPr>
            <w:tcW w:type="dxa" w:w="6336"/>
          </w:tcPr>
          <w:p>
            <w:pPr>
              <w:spacing w:after="40" w:before="40"/>
            </w:pPr>
            <w:r>
              <w:rPr>
                <w:sz w:val="20"/>
              </w:rPr>
              <w:t>80.0 percent</w:t>
            </w:r>
          </w:p>
        </w:tc>
      </w:tr>
      <w:tr>
        <w:tc>
          <w:tcPr>
            <w:tcW w:type="dxa" w:w="3024"/>
          </w:tcPr>
          <w:p>
            <w:pPr>
              <w:spacing w:after="40" w:before="40"/>
            </w:pPr>
            <w:r>
              <w:rPr>
                <w:sz w:val="20"/>
              </w:rPr>
              <w:t>Primary outcome target</w:t>
            </w:r>
          </w:p>
        </w:tc>
        <w:tc>
          <w:tcPr>
            <w:tcW w:type="dxa" w:w="6336"/>
          </w:tcPr>
          <w:p>
            <w:pPr>
              <w:spacing w:after="40" w:before="40"/>
            </w:pPr>
            <w:r>
              <w:rPr>
                <w:sz w:val="20"/>
              </w:rPr>
              <w:t>24 of 30 recipients (80 percent) re-enroll for a second year in fall 2028</w:t>
            </w:r>
          </w:p>
        </w:tc>
      </w:tr>
      <w:tr>
        <w:tc>
          <w:tcPr>
            <w:tcW w:type="dxa" w:w="3024"/>
          </w:tcPr>
          <w:p>
            <w:pPr>
              <w:spacing w:after="40" w:before="40"/>
            </w:pPr>
            <w:r>
              <w:rPr>
                <w:sz w:val="20"/>
              </w:rPr>
              <w:t>Selection cycle</w:t>
            </w:r>
          </w:p>
        </w:tc>
        <w:tc>
          <w:tcPr>
            <w:tcW w:type="dxa" w:w="6336"/>
          </w:tcPr>
          <w:p>
            <w:pPr>
              <w:spacing w:after="40" w:before="40"/>
            </w:pPr>
            <w:r>
              <w:rPr>
                <w:sz w:val="20"/>
              </w:rPr>
              <w:t>Applications open January 19, 2027; awards notified April 16, 2027</w:t>
            </w:r>
          </w:p>
        </w:tc>
      </w:tr>
      <w:tr>
        <w:tc>
          <w:tcPr>
            <w:tcW w:type="dxa" w:w="3024"/>
          </w:tcPr>
          <w:p>
            <w:pPr>
              <w:spacing w:after="40" w:before="40"/>
            </w:pPr>
            <w:r>
              <w:rPr>
                <w:sz w:val="20"/>
              </w:rPr>
              <w:t>Reporting</w:t>
            </w:r>
          </w:p>
        </w:tc>
        <w:tc>
          <w:tcPr>
            <w:tcW w:type="dxa" w:w="6336"/>
          </w:tcPr>
          <w:p>
            <w:pPr>
              <w:spacing w:after="40" w:before="40"/>
            </w:pPr>
            <w:r>
              <w:rPr>
                <w:sz w:val="20"/>
              </w:rPr>
              <w:t>Interim September 30, 2027; final February 28, 2028; outcome reports annually through 2031</w:t>
            </w:r>
          </w:p>
        </w:tc>
      </w:tr>
      <w:tr>
        <w:tc>
          <w:tcPr>
            <w:tcW w:type="dxa" w:w="3024"/>
          </w:tcPr>
          <w:p>
            <w:pPr>
              <w:spacing w:after="40" w:before="40"/>
            </w:pPr>
            <w:r>
              <w:rPr>
                <w:sz w:val="20"/>
              </w:rPr>
              <w:t>Contact</w:t>
            </w:r>
          </w:p>
        </w:tc>
        <w:tc>
          <w:tcPr>
            <w:tcW w:type="dxa" w:w="6336"/>
          </w:tcPr>
          <w:p>
            <w:pPr>
              <w:spacing w:after="40" w:before="40"/>
            </w:pPr>
            <w:r>
              <w:rPr>
                <w:sz w:val="20"/>
              </w:rPr>
              <w:t>Executive Director, phone, email (replace)</w:t>
            </w:r>
          </w:p>
        </w:tc>
      </w:tr>
    </w:tbl>
    <w:p/>
    <w:p>
      <w:pPr>
        <w:pStyle w:val="Heading1"/>
      </w:pPr>
      <w:r>
        <w:t>3. Cover Letter</w:t>
      </w:r>
    </w:p>
    <w:p>
      <w:pPr>
        <w:pStyle w:val="AdaptationNote"/>
      </w:pPr>
      <w:r>
        <w:t>Adapt this section: One page, signed by the executive director or board chair. The first paragraph names the amount, the cohort, and the award size. The second answers the question every scholarship funder asks silently, which is who picks the students. Do not attach the letter as a separate PDF unless the portal asks for one.</w:t>
      </w:r>
    </w:p>
    <w:p>
      <w:r>
        <w:t>October 2, 2026</w:t>
      </w:r>
    </w:p>
    <w:p>
      <w:r>
        <w:t>Program Officer</w:t>
      </w:r>
    </w:p>
    <w:p>
      <w:r>
        <w:t>Funder name</w:t>
      </w:r>
    </w:p>
    <w:p>
      <w:r>
        <w:t>Street address</w:t>
      </w:r>
    </w:p>
    <w:p>
      <w:r>
        <w:t>City, State ZIP</w:t>
      </w:r>
    </w:p>
    <w:p/>
    <w:p>
      <w:r>
        <w:t>Dear Program Officer,</w:t>
      </w:r>
    </w:p>
    <w:p>
      <w:r>
        <w:t>Two Rivers Scholarship Fund requests $150,000 for the 2027 grant year to award 30 scholarships of $4,000 each to first-generation graduating seniors from the Two Rivers Area School District, paired with two years of completion coaching. Awards are paid directly to each student's institution against tuition and required fees, in two term payments, each released only after enrollment is verified.</w:t>
      </w:r>
    </w:p>
    <w:p>
      <w:r>
        <w:t>The grant would be made to Two Rivers Scholarship Fund, a 501(c)(3) public charity, which retains full and independent control over the selection of recipients under the written procedure described in Section 8 of this proposal. A volunteer committee of four reviewers scores every application against a fixed 100-point rubric, with names and schools removed before the written-response round, a recusal rule for any reviewer connected to an applicant, and a tie-break rule set before the meeting rather than in it. Scores, reviewer notes, and signed conflict forms stay with each file for seven years.</w:t>
      </w:r>
    </w:p>
    <w:p>
      <w:r>
        <w:t>The award size is not a round number chosen for convenience. Across our 2026 applicant pool of 160 complete applications, the median unmet cost after every grant, scholarship, and aid dollar already committed was $4,180. A $4,000 award closes that gap almost exactly at the institutions our students actually attend, which are two public institutions and one technical college within 60 miles of the district.</w:t>
      </w:r>
    </w:p>
    <w:p>
      <w:r>
        <w:t>We report on what happens after the money lands. Recipients sign an enrollment and degree verification consent at application, which lets us report fall-to-fall persistence, credits earned per year, and credential completion for four years after the award. Our 2024-25 cohort of 12 recipients persisted at 75 percent fall to fall, against a 58 to 64 percent first-year persistence range reported to us by the institutional research offices at the two institutions enrolling most of our recipients.</w:t>
      </w:r>
    </w:p>
    <w:p>
      <w:r>
        <w:t>Thank you for considering this request. I would welcome the chance to walk you through the scoring rubric and a redacted scored file, and to introduce you to the committee chair, who has read applications for this fund for four cycles.</w:t>
      </w:r>
    </w:p>
    <w:p/>
    <w:p>
      <w:r>
        <w:t>Sincerely,</w:t>
      </w:r>
    </w:p>
    <w:p/>
    <w:p>
      <w:r>
        <w:t>Executive Director</w:t>
      </w:r>
    </w:p>
    <w:p>
      <w:r>
        <w:t>Two Rivers Scholarship Fund</w:t>
      </w:r>
    </w:p>
    <w:p>
      <w:r>
        <w:t>Phone | Email | EIN</w:t>
      </w:r>
    </w:p>
    <w:p>
      <w:pPr>
        <w:pStyle w:val="AdaptationNote"/>
      </w:pPr>
      <w:r>
        <w:t>Replace the signature block with your executive director's name, title, signature, direct phone, email, EIN, and mailing address. If your board chair is better known to the funder, have both sign.</w:t>
      </w:r>
    </w:p>
    <w:p>
      <w:pPr>
        <w:pStyle w:val="Heading1"/>
      </w:pPr>
      <w:r>
        <w:t>4. Executive Summary</w:t>
      </w:r>
    </w:p>
    <w:p>
      <w:pPr>
        <w:pStyle w:val="AdaptationNote"/>
      </w:pPr>
      <w:r>
        <w:t>Adapt this section: Two paragraphs, no more, written last. A reviewer should be able to describe your program to a colleague having read only this. Name the amount, the cohort size, the award size, the population, where the money goes, and the outcome you are promising.</w:t>
      </w:r>
    </w:p>
    <w:p>
      <w:r>
        <w:t>Two Rivers Scholarship Fund requests $150,000 to award 30 Two Rivers Completion Scholarships of $4,000 to first-generation graduating seniors from the Two Rivers Area School District, each paired with two years of completion coaching. Awards are paid in two $2,000 term payments to the student's institution, referenced to the student ID and applied against tuition and required fees, with each payment released only after enrollment for that term is verified. Of the request, $120,000 or 80.0 percent is award dollars that reach students; the remaining 20.0 percent covers coaching, selection, verification, disbursement, outcome tracking, and reporting. Recipients are selected by a four-member volunteer committee against a fixed 100-point rubric that weights documented unmet cost at 40 points, under a written procedure with blind scoring of written responses, a recusal rule, and a tie-break rule fixed in advance. The grant is made to the Fund, which controls recipient selection independently.</w:t>
      </w:r>
    </w:p>
    <w:p>
      <w:r>
        <w:t>The need is specific and locally documented. The district's class of 2027 numbers 588 students across three high schools; 54 percent complete a FAFSA, and among the 2026 class the district's own graduate follow-up recorded 61 percent enrolling in a two-year or four-year program the following fall. Across our 2026 applicant pool of 160 complete applications, the median unmet cost after all committed aid was $4,180, with a middle range of $2,900 to $6,450. The $4,000 award is sized against that documented gap rather than against a round number. The Fund commits to four measurable outcomes: 24 of 30 recipients (80 percent) re-enroll for a second year in fall 2028; at least 70 percent of recipients earn 24 or more credits in the 2027-28 academic year; 100 percent of award dollars are confirmed by bursar receipt as applied to tuition and required fees; and credential completion is reported annually for four years using degree verification records rather than student self-report.</w:t>
      </w:r>
    </w:p>
    <w:p>
      <w:pPr>
        <w:pStyle w:val="Heading1"/>
      </w:pPr>
      <w:r>
        <w:t>5. Organization Background and Capacity</w:t>
      </w:r>
    </w:p>
    <w:p>
      <w:pPr>
        <w:pStyle w:val="AdaptationNote"/>
      </w:pPr>
      <w:r>
        <w:t>Adapt this section: Scholarship funders read this section for two things: whether you can run a defensible selection process, and whether you can move money to an institution and account for it. Cut the mission-statement language and give them evidence of both.</w:t>
      </w:r>
    </w:p>
    <w:p>
      <w:r>
        <w:t>Two Rivers Scholarship Fund is a 501(c)(3) public charity founded in 2009 by a group of district counselors and local employers after a district follow-up survey found that a third of graduates who had been accepted to a postsecondary program never enrolled. The Fund has awarded scholarships in every year since 2011. It is governed by a nine-member volunteer board and operates with 1.6 paid FTE: an executive director at 0.6 FTE, a completion advisor at 0.4 FTE, a program coordinator at 0.4 FTE, and a finance associate at 0.2 FTE shared with a fiscal services cooperative.</w:t>
      </w:r>
    </w:p>
    <w:p>
      <w:r>
        <w:t>The Fund has administered awards paid directly to institutions since 2014, when it moved off direct payments to students after a recipient's award was counted as income against her state aid. Since that change, every award has been paid to a student accounts office against tuition and required fees. The Fund reconciles each disbursement against a bursar receipt showing the line the payment was applied to, and it has recovered and re-granted term payments in four cases where a recipient withdrew before the census date.</w:t>
      </w:r>
    </w:p>
    <w:p>
      <w:r>
        <w:t>Financial controls are ordinary and documented. The Fund's board treasurer and the finance associate hold separate roles in every disbursement: the associate prepares the payment and the treasurer or executive director authorizes it, and neither may do both. The Fund files a Form 990 annually and has completed an independent financial review each year since 2019; it moved to a full audit in 2024 when total revenue first exceeded the threshold in its state's charitable registration statute. Confirm your own state's figure, and whether federal expenditures trigger a single audit under 2 CFR 200.501. The award pool is held in a restricted fund and is reported separately from operating revenue in the financial statements.</w:t>
      </w:r>
    </w:p>
    <w:p>
      <w:r>
        <w:t>Prior three scholarship cycles, with results as of September 2026:</w:t>
      </w:r>
    </w:p>
    <w:tbl>
      <w:tblPr>
        <w:tblStyle w:val="LightGrid-Accent1"/>
        <w:tblW w:type="auto" w:w="0"/>
        <w:jc w:val="left"/>
        <w:tblLayout w:type="fixed"/>
        <w:tblLook w:firstColumn="1" w:firstRow="1" w:lastColumn="0" w:lastRow="0" w:noHBand="0" w:noVBand="1" w:val="04A0"/>
      </w:tblPr>
      <w:tblGrid>
        <w:gridCol w:w="1560"/>
        <w:gridCol w:w="1560"/>
        <w:gridCol w:w="1560"/>
        <w:gridCol w:w="1560"/>
        <w:gridCol w:w="1560"/>
        <w:gridCol w:w="1560"/>
      </w:tblGrid>
      <w:tr>
        <w:trPr>
          <w:tblHeader w:val="true"/>
        </w:trPr>
        <w:tc>
          <w:tcPr>
            <w:tcW w:type="dxa" w:w="1296"/>
          </w:tcPr>
          <w:p>
            <w:pPr>
              <w:spacing w:after="40" w:before="40"/>
            </w:pPr>
            <w:r>
              <w:rPr>
                <w:sz w:val="20"/>
              </w:rPr>
              <w:t>Cycle</w:t>
            </w:r>
          </w:p>
        </w:tc>
        <w:tc>
          <w:tcPr>
            <w:tcW w:type="dxa" w:w="1944"/>
          </w:tcPr>
          <w:p>
            <w:pPr>
              <w:spacing w:after="40" w:before="40"/>
            </w:pPr>
            <w:r>
              <w:rPr>
                <w:sz w:val="20"/>
              </w:rPr>
              <w:t>Complete applications</w:t>
            </w:r>
          </w:p>
        </w:tc>
        <w:tc>
          <w:tcPr>
            <w:tcW w:type="dxa" w:w="1368"/>
          </w:tcPr>
          <w:p>
            <w:pPr>
              <w:spacing w:after="40" w:before="40"/>
            </w:pPr>
            <w:r>
              <w:rPr>
                <w:sz w:val="20"/>
              </w:rPr>
              <w:t>Awards made</w:t>
            </w:r>
          </w:p>
        </w:tc>
        <w:tc>
          <w:tcPr>
            <w:tcW w:type="dxa" w:w="1224"/>
          </w:tcPr>
          <w:p>
            <w:pPr>
              <w:spacing w:after="40" w:before="40"/>
            </w:pPr>
            <w:r>
              <w:rPr>
                <w:sz w:val="20"/>
              </w:rPr>
              <w:t>Award size</w:t>
            </w:r>
          </w:p>
        </w:tc>
        <w:tc>
          <w:tcPr>
            <w:tcW w:type="dxa" w:w="1512"/>
          </w:tcPr>
          <w:p>
            <w:pPr>
              <w:spacing w:after="40" w:before="40"/>
            </w:pPr>
            <w:r>
              <w:rPr>
                <w:sz w:val="20"/>
              </w:rPr>
              <w:t>Total awarded</w:t>
            </w:r>
          </w:p>
        </w:tc>
        <w:tc>
          <w:tcPr>
            <w:tcW w:type="dxa" w:w="2016"/>
          </w:tcPr>
          <w:p>
            <w:pPr>
              <w:spacing w:after="40" w:before="40"/>
            </w:pPr>
            <w:r>
              <w:rPr>
                <w:sz w:val="20"/>
              </w:rPr>
              <w:t>Fall-to-fall persistence</w:t>
            </w:r>
          </w:p>
        </w:tc>
      </w:tr>
      <w:tr>
        <w:tc>
          <w:tcPr>
            <w:tcW w:type="dxa" w:w="1296"/>
          </w:tcPr>
          <w:p>
            <w:pPr>
              <w:spacing w:after="40" w:before="40"/>
            </w:pPr>
            <w:r>
              <w:rPr>
                <w:sz w:val="20"/>
              </w:rPr>
              <w:t>2024-25</w:t>
            </w:r>
          </w:p>
        </w:tc>
        <w:tc>
          <w:tcPr>
            <w:tcW w:type="dxa" w:w="1944"/>
          </w:tcPr>
          <w:p>
            <w:pPr>
              <w:spacing w:after="40" w:before="40"/>
            </w:pPr>
            <w:r>
              <w:rPr>
                <w:sz w:val="20"/>
              </w:rPr>
              <w:t>118</w:t>
            </w:r>
          </w:p>
        </w:tc>
        <w:tc>
          <w:tcPr>
            <w:tcW w:type="dxa" w:w="1368"/>
          </w:tcPr>
          <w:p>
            <w:pPr>
              <w:spacing w:after="40" w:before="40"/>
            </w:pPr>
            <w:r>
              <w:rPr>
                <w:sz w:val="20"/>
              </w:rPr>
              <w:t>12</w:t>
            </w:r>
          </w:p>
        </w:tc>
        <w:tc>
          <w:tcPr>
            <w:tcW w:type="dxa" w:w="1224"/>
          </w:tcPr>
          <w:p>
            <w:pPr>
              <w:spacing w:after="40" w:before="40"/>
            </w:pPr>
            <w:r>
              <w:rPr>
                <w:sz w:val="20"/>
              </w:rPr>
              <w:t>$3,000</w:t>
            </w:r>
          </w:p>
        </w:tc>
        <w:tc>
          <w:tcPr>
            <w:tcW w:type="dxa" w:w="1512"/>
          </w:tcPr>
          <w:p>
            <w:pPr>
              <w:spacing w:after="40" w:before="40"/>
            </w:pPr>
            <w:r>
              <w:rPr>
                <w:sz w:val="20"/>
              </w:rPr>
              <w:t>$36,000</w:t>
            </w:r>
          </w:p>
        </w:tc>
        <w:tc>
          <w:tcPr>
            <w:tcW w:type="dxa" w:w="2016"/>
          </w:tcPr>
          <w:p>
            <w:pPr>
              <w:spacing w:after="40" w:before="40"/>
            </w:pPr>
            <w:r>
              <w:rPr>
                <w:sz w:val="20"/>
              </w:rPr>
              <w:t>75.0 percent (9 of 12)</w:t>
            </w:r>
          </w:p>
        </w:tc>
      </w:tr>
      <w:tr>
        <w:tc>
          <w:tcPr>
            <w:tcW w:type="dxa" w:w="1296"/>
          </w:tcPr>
          <w:p>
            <w:pPr>
              <w:spacing w:after="40" w:before="40"/>
            </w:pPr>
            <w:r>
              <w:rPr>
                <w:sz w:val="20"/>
              </w:rPr>
              <w:t>2025-26</w:t>
            </w:r>
          </w:p>
        </w:tc>
        <w:tc>
          <w:tcPr>
            <w:tcW w:type="dxa" w:w="1944"/>
          </w:tcPr>
          <w:p>
            <w:pPr>
              <w:spacing w:after="40" w:before="40"/>
            </w:pPr>
            <w:r>
              <w:rPr>
                <w:sz w:val="20"/>
              </w:rPr>
              <w:t>131</w:t>
            </w:r>
          </w:p>
        </w:tc>
        <w:tc>
          <w:tcPr>
            <w:tcW w:type="dxa" w:w="1368"/>
          </w:tcPr>
          <w:p>
            <w:pPr>
              <w:spacing w:after="40" w:before="40"/>
            </w:pPr>
            <w:r>
              <w:rPr>
                <w:sz w:val="20"/>
              </w:rPr>
              <w:t>15</w:t>
            </w:r>
          </w:p>
        </w:tc>
        <w:tc>
          <w:tcPr>
            <w:tcW w:type="dxa" w:w="1224"/>
          </w:tcPr>
          <w:p>
            <w:pPr>
              <w:spacing w:after="40" w:before="40"/>
            </w:pPr>
            <w:r>
              <w:rPr>
                <w:sz w:val="20"/>
              </w:rPr>
              <w:t>$3,500</w:t>
            </w:r>
          </w:p>
        </w:tc>
        <w:tc>
          <w:tcPr>
            <w:tcW w:type="dxa" w:w="1512"/>
          </w:tcPr>
          <w:p>
            <w:pPr>
              <w:spacing w:after="40" w:before="40"/>
            </w:pPr>
            <w:r>
              <w:rPr>
                <w:sz w:val="20"/>
              </w:rPr>
              <w:t>$52,500</w:t>
            </w:r>
          </w:p>
        </w:tc>
        <w:tc>
          <w:tcPr>
            <w:tcW w:type="dxa" w:w="2016"/>
          </w:tcPr>
          <w:p>
            <w:pPr>
              <w:spacing w:after="40" w:before="40"/>
            </w:pPr>
            <w:r>
              <w:rPr>
                <w:sz w:val="20"/>
              </w:rPr>
              <w:t>80.0 percent (12 of 15)</w:t>
            </w:r>
          </w:p>
        </w:tc>
      </w:tr>
      <w:tr>
        <w:tc>
          <w:tcPr>
            <w:tcW w:type="dxa" w:w="1296"/>
          </w:tcPr>
          <w:p>
            <w:pPr>
              <w:spacing w:after="40" w:before="40"/>
            </w:pPr>
            <w:r>
              <w:rPr>
                <w:sz w:val="20"/>
              </w:rPr>
              <w:t>2026-27</w:t>
            </w:r>
          </w:p>
        </w:tc>
        <w:tc>
          <w:tcPr>
            <w:tcW w:type="dxa" w:w="1944"/>
          </w:tcPr>
          <w:p>
            <w:pPr>
              <w:spacing w:after="40" w:before="40"/>
            </w:pPr>
            <w:r>
              <w:rPr>
                <w:sz w:val="20"/>
              </w:rPr>
              <w:t>160</w:t>
            </w:r>
          </w:p>
        </w:tc>
        <w:tc>
          <w:tcPr>
            <w:tcW w:type="dxa" w:w="1368"/>
          </w:tcPr>
          <w:p>
            <w:pPr>
              <w:spacing w:after="40" w:before="40"/>
            </w:pPr>
            <w:r>
              <w:rPr>
                <w:sz w:val="20"/>
              </w:rPr>
              <w:t>18</w:t>
            </w:r>
          </w:p>
        </w:tc>
        <w:tc>
          <w:tcPr>
            <w:tcW w:type="dxa" w:w="1224"/>
          </w:tcPr>
          <w:p>
            <w:pPr>
              <w:spacing w:after="40" w:before="40"/>
            </w:pPr>
            <w:r>
              <w:rPr>
                <w:sz w:val="20"/>
              </w:rPr>
              <w:t>$3,500</w:t>
            </w:r>
          </w:p>
        </w:tc>
        <w:tc>
          <w:tcPr>
            <w:tcW w:type="dxa" w:w="1512"/>
          </w:tcPr>
          <w:p>
            <w:pPr>
              <w:spacing w:after="40" w:before="40"/>
            </w:pPr>
            <w:r>
              <w:rPr>
                <w:sz w:val="20"/>
              </w:rPr>
              <w:t>$63,000</w:t>
            </w:r>
          </w:p>
        </w:tc>
        <w:tc>
          <w:tcPr>
            <w:tcW w:type="dxa" w:w="2016"/>
          </w:tcPr>
          <w:p>
            <w:pPr>
              <w:spacing w:after="40" w:before="40"/>
            </w:pPr>
            <w:r>
              <w:rPr>
                <w:sz w:val="20"/>
              </w:rPr>
              <w:t>Reports November 2027</w:t>
            </w:r>
          </w:p>
        </w:tc>
      </w:tr>
    </w:tbl>
    <w:p/>
    <w:p>
      <w:r>
        <w:t>Applications have grown 25 percent over three cycles while the number of awards has been capped by the size of the pool, not by the quality of the applicants. In the 2026-27 cycle, 41 applicants scored above 70 on the rubric and 18 received awards. That gap between qualified applicants and funded awards is the reason for this request.</w:t>
      </w:r>
    </w:p>
    <w:p>
      <w:pPr>
        <w:pStyle w:val="Heading1"/>
      </w:pPr>
      <w:r>
        <w:t>6. Statement of Need</w:t>
      </w:r>
    </w:p>
    <w:p>
      <w:pPr>
        <w:pStyle w:val="AdaptationNote"/>
      </w:pPr>
      <w:r>
        <w:t>Adapt this section: Replace every number in this section with your own. The section fails when it describes poverty in the abstract. What persuades a scholarship reviewer is one arithmetic result: cost of attendance at the institutions your students actually attend, minus every grant, scholarship, and aid dollar already committed. The remainder is what your award closes.</w:t>
      </w:r>
    </w:p>
    <w:p>
      <w:pPr>
        <w:pStyle w:val="Heading2"/>
      </w:pPr>
      <w:r>
        <w:t>6.1 The district and the class</w:t>
      </w:r>
    </w:p>
    <w:p>
      <w:r>
        <w:t>The Two Rivers Area School District serves a two-county rural region across Halbrook and Kestrel counties, with three high schools and a combined class of 2027 of 588 students. Fifty-four percent of the class of 2026 completed a FAFSA. The district's own graduate follow-up survey, administered each November by the counseling department, recorded 61 percent of the class of 2026 enrolled in a two-year or four-year program the following fall, and 63 percent of the Fund's applicants report that neither parent completed a postsecondary credential.</w:t>
      </w:r>
    </w:p>
    <w:p>
      <w:r>
        <w:t>The counselor-to-student ratio across the three high schools is one counselor to 412 students, and no school has a dedicated college access position. A student who runs into a financial aid problem in July, after graduation and after counselors are off contract, has nowhere in the district to take it.</w:t>
      </w:r>
    </w:p>
    <w:p>
      <w:pPr>
        <w:pStyle w:val="Heading2"/>
      </w:pPr>
      <w:r>
        <w:t>6.2 The gap, in dollars</w:t>
      </w:r>
    </w:p>
    <w:p>
      <w:r>
        <w:t>Every applicant submits an institutional financial aid award letter and a FAFSA Submission Summary reporting the Student Aid Index. The Student Aid Index replaced the Expected Family Contribution beginning with the 2024-25 award year under the FAFSA Simplification Act (U.S. Department of Education, Dear Colleague Letter GEN-23-05, August 4, 2023; Federal Student Aid, Student Aid Index). Together those two documents let the Fund compute an unmet gap for each applicant from source documents rather than from self-reported hardship.</w:t>
      </w:r>
    </w:p>
    <w:p>
      <w:r>
        <w:t>Across the four institutions that enrolled 78 percent of the Fund's 2026 applicants, the gap after all committed aid looked like this. Cost of attendance figures are the institutions' published budgets for the 2026-27 year; aid figures are the median total aid awarded to Fund applicants at that institution.</w:t>
      </w:r>
    </w:p>
    <w:tbl>
      <w:tblPr>
        <w:tblStyle w:val="LightGrid-Accent1"/>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3744"/>
          </w:tcPr>
          <w:p>
            <w:pPr>
              <w:spacing w:after="40" w:before="40"/>
            </w:pPr>
            <w:r>
              <w:rPr>
                <w:sz w:val="20"/>
              </w:rPr>
              <w:t>Institution and attendance pattern</w:t>
            </w:r>
          </w:p>
        </w:tc>
        <w:tc>
          <w:tcPr>
            <w:tcW w:type="dxa" w:w="1872"/>
          </w:tcPr>
          <w:p>
            <w:pPr>
              <w:spacing w:after="40" w:before="40"/>
            </w:pPr>
            <w:r>
              <w:rPr>
                <w:sz w:val="20"/>
              </w:rPr>
              <w:t>Published cost of attendance</w:t>
            </w:r>
          </w:p>
        </w:tc>
        <w:tc>
          <w:tcPr>
            <w:tcW w:type="dxa" w:w="2016"/>
          </w:tcPr>
          <w:p>
            <w:pPr>
              <w:spacing w:after="40" w:before="40"/>
            </w:pPr>
            <w:r>
              <w:rPr>
                <w:sz w:val="20"/>
              </w:rPr>
              <w:t>Median aid awarded to our applicants</w:t>
            </w:r>
          </w:p>
        </w:tc>
        <w:tc>
          <w:tcPr>
            <w:tcW w:type="dxa" w:w="1728"/>
          </w:tcPr>
          <w:p>
            <w:pPr>
              <w:spacing w:after="40" w:before="40"/>
            </w:pPr>
            <w:r>
              <w:rPr>
                <w:sz w:val="20"/>
              </w:rPr>
              <w:t>Median unmet gap</w:t>
            </w:r>
          </w:p>
        </w:tc>
      </w:tr>
      <w:tr>
        <w:tc>
          <w:tcPr>
            <w:tcW w:type="dxa" w:w="3744"/>
          </w:tcPr>
          <w:p>
            <w:pPr>
              <w:spacing w:after="40" w:before="40"/>
            </w:pPr>
            <w:r>
              <w:rPr>
                <w:sz w:val="20"/>
              </w:rPr>
              <w:t>Kestrel Valley Community College, in-district, commuter</w:t>
            </w:r>
          </w:p>
        </w:tc>
        <w:tc>
          <w:tcPr>
            <w:tcW w:type="dxa" w:w="1872"/>
          </w:tcPr>
          <w:p>
            <w:pPr>
              <w:spacing w:after="40" w:before="40"/>
            </w:pPr>
            <w:r>
              <w:rPr>
                <w:sz w:val="20"/>
              </w:rPr>
              <w:t>$12,940</w:t>
            </w:r>
          </w:p>
        </w:tc>
        <w:tc>
          <w:tcPr>
            <w:tcW w:type="dxa" w:w="2016"/>
          </w:tcPr>
          <w:p>
            <w:pPr>
              <w:spacing w:after="40" w:before="40"/>
            </w:pPr>
            <w:r>
              <w:rPr>
                <w:sz w:val="20"/>
              </w:rPr>
              <w:t>$9,810</w:t>
            </w:r>
          </w:p>
        </w:tc>
        <w:tc>
          <w:tcPr>
            <w:tcW w:type="dxa" w:w="1728"/>
          </w:tcPr>
          <w:p>
            <w:pPr>
              <w:spacing w:after="40" w:before="40"/>
            </w:pPr>
            <w:r>
              <w:rPr>
                <w:sz w:val="20"/>
              </w:rPr>
              <w:t>$3,130</w:t>
            </w:r>
          </w:p>
        </w:tc>
      </w:tr>
      <w:tr>
        <w:tc>
          <w:tcPr>
            <w:tcW w:type="dxa" w:w="3744"/>
          </w:tcPr>
          <w:p>
            <w:pPr>
              <w:spacing w:after="40" w:before="40"/>
            </w:pPr>
            <w:r>
              <w:rPr>
                <w:sz w:val="20"/>
              </w:rPr>
              <w:t>River Bend Technical College, certificate program, commuter</w:t>
            </w:r>
          </w:p>
        </w:tc>
        <w:tc>
          <w:tcPr>
            <w:tcW w:type="dxa" w:w="1872"/>
          </w:tcPr>
          <w:p>
            <w:pPr>
              <w:spacing w:after="40" w:before="40"/>
            </w:pPr>
            <w:r>
              <w:rPr>
                <w:sz w:val="20"/>
              </w:rPr>
              <w:t>$14,220</w:t>
            </w:r>
          </w:p>
        </w:tc>
        <w:tc>
          <w:tcPr>
            <w:tcW w:type="dxa" w:w="2016"/>
          </w:tcPr>
          <w:p>
            <w:pPr>
              <w:spacing w:after="40" w:before="40"/>
            </w:pPr>
            <w:r>
              <w:rPr>
                <w:sz w:val="20"/>
              </w:rPr>
              <w:t>$10,560</w:t>
            </w:r>
          </w:p>
        </w:tc>
        <w:tc>
          <w:tcPr>
            <w:tcW w:type="dxa" w:w="1728"/>
          </w:tcPr>
          <w:p>
            <w:pPr>
              <w:spacing w:after="40" w:before="40"/>
            </w:pPr>
            <w:r>
              <w:rPr>
                <w:sz w:val="20"/>
              </w:rPr>
              <w:t>$3,660</w:t>
            </w:r>
          </w:p>
        </w:tc>
      </w:tr>
      <w:tr>
        <w:tc>
          <w:tcPr>
            <w:tcW w:type="dxa" w:w="3744"/>
          </w:tcPr>
          <w:p>
            <w:pPr>
              <w:spacing w:after="40" w:before="40"/>
            </w:pPr>
            <w:r>
              <w:rPr>
                <w:sz w:val="20"/>
              </w:rPr>
              <w:t>Halbrook State University, in-state, commuter</w:t>
            </w:r>
          </w:p>
        </w:tc>
        <w:tc>
          <w:tcPr>
            <w:tcW w:type="dxa" w:w="1872"/>
          </w:tcPr>
          <w:p>
            <w:pPr>
              <w:spacing w:after="40" w:before="40"/>
            </w:pPr>
            <w:r>
              <w:rPr>
                <w:sz w:val="20"/>
              </w:rPr>
              <w:t>$19,480</w:t>
            </w:r>
          </w:p>
        </w:tc>
        <w:tc>
          <w:tcPr>
            <w:tcW w:type="dxa" w:w="2016"/>
          </w:tcPr>
          <w:p>
            <w:pPr>
              <w:spacing w:after="40" w:before="40"/>
            </w:pPr>
            <w:r>
              <w:rPr>
                <w:sz w:val="20"/>
              </w:rPr>
              <w:t>$14,760</w:t>
            </w:r>
          </w:p>
        </w:tc>
        <w:tc>
          <w:tcPr>
            <w:tcW w:type="dxa" w:w="1728"/>
          </w:tcPr>
          <w:p>
            <w:pPr>
              <w:spacing w:after="40" w:before="40"/>
            </w:pPr>
            <w:r>
              <w:rPr>
                <w:sz w:val="20"/>
              </w:rPr>
              <w:t>$4,720</w:t>
            </w:r>
          </w:p>
        </w:tc>
      </w:tr>
      <w:tr>
        <w:tc>
          <w:tcPr>
            <w:tcW w:type="dxa" w:w="3744"/>
          </w:tcPr>
          <w:p>
            <w:pPr>
              <w:spacing w:after="40" w:before="40"/>
            </w:pPr>
            <w:r>
              <w:rPr>
                <w:sz w:val="20"/>
              </w:rPr>
              <w:t>Halbrook State University, in-state, residential</w:t>
            </w:r>
          </w:p>
        </w:tc>
        <w:tc>
          <w:tcPr>
            <w:tcW w:type="dxa" w:w="1872"/>
          </w:tcPr>
          <w:p>
            <w:pPr>
              <w:spacing w:after="40" w:before="40"/>
            </w:pPr>
            <w:r>
              <w:rPr>
                <w:sz w:val="20"/>
              </w:rPr>
              <w:t>$27,310</w:t>
            </w:r>
          </w:p>
        </w:tc>
        <w:tc>
          <w:tcPr>
            <w:tcW w:type="dxa" w:w="2016"/>
          </w:tcPr>
          <w:p>
            <w:pPr>
              <w:spacing w:after="40" w:before="40"/>
            </w:pPr>
            <w:r>
              <w:rPr>
                <w:sz w:val="20"/>
              </w:rPr>
              <w:t>$20,140</w:t>
            </w:r>
          </w:p>
        </w:tc>
        <w:tc>
          <w:tcPr>
            <w:tcW w:type="dxa" w:w="1728"/>
          </w:tcPr>
          <w:p>
            <w:pPr>
              <w:spacing w:after="40" w:before="40"/>
            </w:pPr>
            <w:r>
              <w:rPr>
                <w:sz w:val="20"/>
              </w:rPr>
              <w:t>$7,170</w:t>
            </w:r>
          </w:p>
        </w:tc>
      </w:tr>
      <w:tr>
        <w:tc>
          <w:tcPr>
            <w:tcW w:type="dxa" w:w="3744"/>
          </w:tcPr>
          <w:p>
            <w:pPr>
              <w:spacing w:after="40" w:before="40"/>
            </w:pPr>
            <w:r>
              <w:rPr>
                <w:b/>
                <w:sz w:val="20"/>
              </w:rPr>
              <w:t>All applicants, pooled median</w:t>
            </w:r>
          </w:p>
        </w:tc>
        <w:tc>
          <w:tcPr>
            <w:tcW w:type="dxa" w:w="1872"/>
          </w:tcPr>
          <w:p>
            <w:pPr>
              <w:spacing w:after="40" w:before="40"/>
            </w:pPr>
            <w:r>
              <w:rPr>
                <w:b/>
                <w:sz w:val="20"/>
              </w:rPr>
            </w:r>
          </w:p>
        </w:tc>
        <w:tc>
          <w:tcPr>
            <w:tcW w:type="dxa" w:w="2016"/>
          </w:tcPr>
          <w:p>
            <w:pPr>
              <w:spacing w:after="40" w:before="40"/>
            </w:pPr>
            <w:r>
              <w:rPr>
                <w:b/>
                <w:sz w:val="20"/>
              </w:rPr>
            </w:r>
          </w:p>
        </w:tc>
        <w:tc>
          <w:tcPr>
            <w:tcW w:type="dxa" w:w="1728"/>
          </w:tcPr>
          <w:p>
            <w:pPr>
              <w:spacing w:after="40" w:before="40"/>
            </w:pPr>
            <w:r>
              <w:rPr>
                <w:b/>
                <w:sz w:val="20"/>
              </w:rPr>
              <w:t>$4,180</w:t>
            </w:r>
          </w:p>
        </w:tc>
      </w:tr>
    </w:tbl>
    <w:p/>
    <w:p>
      <w:r>
        <w:t>The distribution matters as much as the median, because it shows the award is not oversized for the students at the bottom or symbolic for the students at the top. Among the 160 complete applications in the 2026 cycle, the unmet gap fell at $2,900 at the 25th percentile, $4,180 at the median, and $6,450 at the 75th percentile. A $4,000 award eliminates the gap outright for roughly half the pool and cuts it by more than half for most of the rest.</w:t>
      </w:r>
    </w:p>
    <w:p>
      <w:pPr>
        <w:pStyle w:val="Heading2"/>
      </w:pPr>
      <w:r>
        <w:t>6.3 What the gap does to a student</w:t>
      </w:r>
    </w:p>
    <w:p>
      <w:r>
        <w:t>A remaining balance of $4,180 does not read as a modest shortfall to a family with no savings and no credit history. In the 2026 cycle, 22 applicants who did not receive an award told the Fund at the November follow-up what they did instead: 9 enrolled part time and extended their program, 6 took a private or parent loan, 4 deferred enrollment by a year, and 3 did not enroll. Part-time enrollment is the quiet one, because it reduces aid eligibility in the following year and lengthens exposure to every other reason a student leaves.</w:t>
      </w:r>
    </w:p>
    <w:p>
      <w:r>
        <w:t>The Fund is not arguing that $4,000 solves a family's finances. It is arguing something narrower and checkable: an award that closes a documented balance changes what the student owes the institution in August, which is the moment enrollment actually breaks.</w:t>
      </w:r>
    </w:p>
    <w:p>
      <w:pPr>
        <w:pStyle w:val="Heading1"/>
      </w:pPr>
      <w:r>
        <w:t>7. Program Description and Annual Cycle</w:t>
      </w:r>
    </w:p>
    <w:p>
      <w:pPr>
        <w:pStyle w:val="AdaptationNote"/>
      </w:pPr>
      <w:r>
        <w:t>Adapt this section: Give the reviewer dates and named owners. The two things reviewers check here are whether notification lands before the student's May 1 commitment deadline, and what the program does when a recipient stops out.</w:t>
      </w:r>
    </w:p>
    <w:p>
      <w:r>
        <w:t>The Two Rivers Completion Scholarship is a one-year award of $4,000 per recipient for the 2027-28 academic year, paid in two $2,000 term payments to the recipient's institution, and paired with completion coaching that continues for two years whether or not the student receives a second-year award. The Fund awards 30 scholarships under this request.</w:t>
      </w:r>
    </w:p>
    <w:p>
      <w:pPr>
        <w:pStyle w:val="Heading2"/>
      </w:pPr>
      <w:r>
        <w:t>7.1 The annual cycle</w:t>
      </w:r>
    </w:p>
    <w:p>
      <w:r>
        <w:t>Every milestone below has a month, a date, and a named owner by role. The notification date is the one that constrains the rest: a student who must commit to an institution by May 1 cannot wait until June to learn whether the award exists.</w:t>
      </w:r>
    </w:p>
    <w:tbl>
      <w:tblPr>
        <w:tblStyle w:val="LightGrid-Accent1"/>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2160"/>
          </w:tcPr>
          <w:p>
            <w:pPr>
              <w:spacing w:after="40" w:before="40"/>
            </w:pPr>
            <w:r>
              <w:rPr>
                <w:sz w:val="20"/>
              </w:rPr>
              <w:t>Date</w:t>
            </w:r>
          </w:p>
        </w:tc>
        <w:tc>
          <w:tcPr>
            <w:tcW w:type="dxa" w:w="3888"/>
          </w:tcPr>
          <w:p>
            <w:pPr>
              <w:spacing w:after="40" w:before="40"/>
            </w:pPr>
            <w:r>
              <w:rPr>
                <w:sz w:val="20"/>
              </w:rPr>
              <w:t>Milestone</w:t>
            </w:r>
          </w:p>
        </w:tc>
        <w:tc>
          <w:tcPr>
            <w:tcW w:type="dxa" w:w="1872"/>
          </w:tcPr>
          <w:p>
            <w:pPr>
              <w:spacing w:after="40" w:before="40"/>
            </w:pPr>
            <w:r>
              <w:rPr>
                <w:sz w:val="20"/>
              </w:rPr>
              <w:t>Owner (role)</w:t>
            </w:r>
          </w:p>
        </w:tc>
        <w:tc>
          <w:tcPr>
            <w:tcW w:type="dxa" w:w="1440"/>
          </w:tcPr>
          <w:p>
            <w:pPr>
              <w:spacing w:after="40" w:before="40"/>
            </w:pPr>
            <w:r>
              <w:rPr>
                <w:sz w:val="20"/>
              </w:rPr>
              <w:t>Student-facing?</w:t>
            </w:r>
          </w:p>
        </w:tc>
      </w:tr>
      <w:tr>
        <w:tc>
          <w:tcPr>
            <w:tcW w:type="dxa" w:w="2160"/>
          </w:tcPr>
          <w:p>
            <w:pPr>
              <w:spacing w:after="40" w:before="40"/>
            </w:pPr>
            <w:r>
              <w:rPr>
                <w:sz w:val="20"/>
              </w:rPr>
              <w:t>December 2026</w:t>
            </w:r>
          </w:p>
        </w:tc>
        <w:tc>
          <w:tcPr>
            <w:tcW w:type="dxa" w:w="3888"/>
          </w:tcPr>
          <w:p>
            <w:pPr>
              <w:spacing w:after="40" w:before="40"/>
            </w:pPr>
            <w:r>
              <w:rPr>
                <w:sz w:val="20"/>
              </w:rPr>
              <w:t>Rubric, forms, and reviewer roster confirmed for the cycle</w:t>
            </w:r>
          </w:p>
        </w:tc>
        <w:tc>
          <w:tcPr>
            <w:tcW w:type="dxa" w:w="1872"/>
          </w:tcPr>
          <w:p>
            <w:pPr>
              <w:spacing w:after="40" w:before="40"/>
            </w:pPr>
            <w:r>
              <w:rPr>
                <w:sz w:val="20"/>
              </w:rPr>
              <w:t>Program coordinator</w:t>
            </w:r>
          </w:p>
        </w:tc>
        <w:tc>
          <w:tcPr>
            <w:tcW w:type="dxa" w:w="1440"/>
          </w:tcPr>
          <w:p>
            <w:pPr>
              <w:spacing w:after="40" w:before="40"/>
            </w:pPr>
            <w:r>
              <w:rPr>
                <w:sz w:val="20"/>
              </w:rPr>
              <w:t>No</w:t>
            </w:r>
          </w:p>
        </w:tc>
      </w:tr>
      <w:tr>
        <w:tc>
          <w:tcPr>
            <w:tcW w:type="dxa" w:w="2160"/>
          </w:tcPr>
          <w:p>
            <w:pPr>
              <w:spacing w:after="40" w:before="40"/>
            </w:pPr>
            <w:r>
              <w:rPr>
                <w:sz w:val="20"/>
              </w:rPr>
              <w:t>January 19, 2027</w:t>
            </w:r>
          </w:p>
        </w:tc>
        <w:tc>
          <w:tcPr>
            <w:tcW w:type="dxa" w:w="3888"/>
          </w:tcPr>
          <w:p>
            <w:pPr>
              <w:spacing w:after="40" w:before="40"/>
            </w:pPr>
            <w:r>
              <w:rPr>
                <w:sz w:val="20"/>
              </w:rPr>
              <w:t>Application opens; counselor briefings at all three high schools</w:t>
            </w:r>
          </w:p>
        </w:tc>
        <w:tc>
          <w:tcPr>
            <w:tcW w:type="dxa" w:w="1872"/>
          </w:tcPr>
          <w:p>
            <w:pPr>
              <w:spacing w:after="40" w:before="40"/>
            </w:pPr>
            <w:r>
              <w:rPr>
                <w:sz w:val="20"/>
              </w:rPr>
              <w:t>Program coordinator</w:t>
            </w:r>
          </w:p>
        </w:tc>
        <w:tc>
          <w:tcPr>
            <w:tcW w:type="dxa" w:w="1440"/>
          </w:tcPr>
          <w:p>
            <w:pPr>
              <w:spacing w:after="40" w:before="40"/>
            </w:pPr>
            <w:r>
              <w:rPr>
                <w:sz w:val="20"/>
              </w:rPr>
              <w:t>Yes</w:t>
            </w:r>
          </w:p>
        </w:tc>
      </w:tr>
      <w:tr>
        <w:tc>
          <w:tcPr>
            <w:tcW w:type="dxa" w:w="2160"/>
          </w:tcPr>
          <w:p>
            <w:pPr>
              <w:spacing w:after="40" w:before="40"/>
            </w:pPr>
            <w:r>
              <w:rPr>
                <w:sz w:val="20"/>
              </w:rPr>
              <w:t>March 12, 2027, 5:00 p.m.</w:t>
            </w:r>
          </w:p>
        </w:tc>
        <w:tc>
          <w:tcPr>
            <w:tcW w:type="dxa" w:w="3888"/>
          </w:tcPr>
          <w:p>
            <w:pPr>
              <w:spacing w:after="40" w:before="40"/>
            </w:pPr>
            <w:r>
              <w:rPr>
                <w:sz w:val="20"/>
              </w:rPr>
              <w:t>Application closes</w:t>
            </w:r>
          </w:p>
        </w:tc>
        <w:tc>
          <w:tcPr>
            <w:tcW w:type="dxa" w:w="1872"/>
          </w:tcPr>
          <w:p>
            <w:pPr>
              <w:spacing w:after="40" w:before="40"/>
            </w:pPr>
            <w:r>
              <w:rPr>
                <w:sz w:val="20"/>
              </w:rPr>
              <w:t>Program coordinator</w:t>
            </w:r>
          </w:p>
        </w:tc>
        <w:tc>
          <w:tcPr>
            <w:tcW w:type="dxa" w:w="1440"/>
          </w:tcPr>
          <w:p>
            <w:pPr>
              <w:spacing w:after="40" w:before="40"/>
            </w:pPr>
            <w:r>
              <w:rPr>
                <w:sz w:val="20"/>
              </w:rPr>
              <w:t>Yes</w:t>
            </w:r>
          </w:p>
        </w:tc>
      </w:tr>
      <w:tr>
        <w:tc>
          <w:tcPr>
            <w:tcW w:type="dxa" w:w="2160"/>
          </w:tcPr>
          <w:p>
            <w:pPr>
              <w:spacing w:after="40" w:before="40"/>
            </w:pPr>
            <w:r>
              <w:rPr>
                <w:sz w:val="20"/>
              </w:rPr>
              <w:t>March 15 to 20, 2027</w:t>
            </w:r>
          </w:p>
        </w:tc>
        <w:tc>
          <w:tcPr>
            <w:tcW w:type="dxa" w:w="3888"/>
          </w:tcPr>
          <w:p>
            <w:pPr>
              <w:spacing w:after="40" w:before="40"/>
            </w:pPr>
            <w:r>
              <w:rPr>
                <w:sz w:val="20"/>
              </w:rPr>
              <w:t>Completeness and eligibility screening; applicants given 5 days to cure a missing document</w:t>
            </w:r>
          </w:p>
        </w:tc>
        <w:tc>
          <w:tcPr>
            <w:tcW w:type="dxa" w:w="1872"/>
          </w:tcPr>
          <w:p>
            <w:pPr>
              <w:spacing w:after="40" w:before="40"/>
            </w:pPr>
            <w:r>
              <w:rPr>
                <w:sz w:val="20"/>
              </w:rPr>
              <w:t>Program coordinator</w:t>
            </w:r>
          </w:p>
        </w:tc>
        <w:tc>
          <w:tcPr>
            <w:tcW w:type="dxa" w:w="1440"/>
          </w:tcPr>
          <w:p>
            <w:pPr>
              <w:spacing w:after="40" w:before="40"/>
            </w:pPr>
            <w:r>
              <w:rPr>
                <w:sz w:val="20"/>
              </w:rPr>
              <w:t>Yes</w:t>
            </w:r>
          </w:p>
        </w:tc>
      </w:tr>
      <w:tr>
        <w:tc>
          <w:tcPr>
            <w:tcW w:type="dxa" w:w="2160"/>
          </w:tcPr>
          <w:p>
            <w:pPr>
              <w:spacing w:after="40" w:before="40"/>
            </w:pPr>
            <w:r>
              <w:rPr>
                <w:sz w:val="20"/>
              </w:rPr>
              <w:t>March 23 to April 6, 2027</w:t>
            </w:r>
          </w:p>
        </w:tc>
        <w:tc>
          <w:tcPr>
            <w:tcW w:type="dxa" w:w="3888"/>
          </w:tcPr>
          <w:p>
            <w:pPr>
              <w:spacing w:after="40" w:before="40"/>
            </w:pPr>
            <w:r>
              <w:rPr>
                <w:sz w:val="20"/>
              </w:rPr>
              <w:t>Blind scoring of written responses by two reviewers per file</w:t>
            </w:r>
          </w:p>
        </w:tc>
        <w:tc>
          <w:tcPr>
            <w:tcW w:type="dxa" w:w="1872"/>
          </w:tcPr>
          <w:p>
            <w:pPr>
              <w:spacing w:after="40" w:before="40"/>
            </w:pPr>
            <w:r>
              <w:rPr>
                <w:sz w:val="20"/>
              </w:rPr>
              <w:t>Selection committee</w:t>
            </w:r>
          </w:p>
        </w:tc>
        <w:tc>
          <w:tcPr>
            <w:tcW w:type="dxa" w:w="1440"/>
          </w:tcPr>
          <w:p>
            <w:pPr>
              <w:spacing w:after="40" w:before="40"/>
            </w:pPr>
            <w:r>
              <w:rPr>
                <w:sz w:val="20"/>
              </w:rPr>
              <w:t>No</w:t>
            </w:r>
          </w:p>
        </w:tc>
      </w:tr>
      <w:tr>
        <w:tc>
          <w:tcPr>
            <w:tcW w:type="dxa" w:w="2160"/>
          </w:tcPr>
          <w:p>
            <w:pPr>
              <w:spacing w:after="40" w:before="40"/>
            </w:pPr>
            <w:r>
              <w:rPr>
                <w:sz w:val="20"/>
              </w:rPr>
              <w:t>April 13, 2027</w:t>
            </w:r>
          </w:p>
        </w:tc>
        <w:tc>
          <w:tcPr>
            <w:tcW w:type="dxa" w:w="3888"/>
          </w:tcPr>
          <w:p>
            <w:pPr>
              <w:spacing w:after="40" w:before="40"/>
            </w:pPr>
            <w:r>
              <w:rPr>
                <w:sz w:val="20"/>
              </w:rPr>
              <w:t>Committee convenes, reconciles scores, applies tie-break, votes awards</w:t>
            </w:r>
          </w:p>
        </w:tc>
        <w:tc>
          <w:tcPr>
            <w:tcW w:type="dxa" w:w="1872"/>
          </w:tcPr>
          <w:p>
            <w:pPr>
              <w:spacing w:after="40" w:before="40"/>
            </w:pPr>
            <w:r>
              <w:rPr>
                <w:sz w:val="20"/>
              </w:rPr>
              <w:t>Committee chair</w:t>
            </w:r>
          </w:p>
        </w:tc>
        <w:tc>
          <w:tcPr>
            <w:tcW w:type="dxa" w:w="1440"/>
          </w:tcPr>
          <w:p>
            <w:pPr>
              <w:spacing w:after="40" w:before="40"/>
            </w:pPr>
            <w:r>
              <w:rPr>
                <w:sz w:val="20"/>
              </w:rPr>
              <w:t>No</w:t>
            </w:r>
          </w:p>
        </w:tc>
      </w:tr>
      <w:tr>
        <w:tc>
          <w:tcPr>
            <w:tcW w:type="dxa" w:w="2160"/>
          </w:tcPr>
          <w:p>
            <w:pPr>
              <w:spacing w:after="40" w:before="40"/>
            </w:pPr>
            <w:r>
              <w:rPr>
                <w:sz w:val="20"/>
              </w:rPr>
              <w:t>April 16, 2027</w:t>
            </w:r>
          </w:p>
        </w:tc>
        <w:tc>
          <w:tcPr>
            <w:tcW w:type="dxa" w:w="3888"/>
          </w:tcPr>
          <w:p>
            <w:pPr>
              <w:spacing w:after="40" w:before="40"/>
            </w:pPr>
            <w:r>
              <w:rPr>
                <w:sz w:val="20"/>
              </w:rPr>
              <w:t>Award and decline notifications sent; rubric totals released on request</w:t>
            </w:r>
          </w:p>
        </w:tc>
        <w:tc>
          <w:tcPr>
            <w:tcW w:type="dxa" w:w="1872"/>
          </w:tcPr>
          <w:p>
            <w:pPr>
              <w:spacing w:after="40" w:before="40"/>
            </w:pPr>
            <w:r>
              <w:rPr>
                <w:sz w:val="20"/>
              </w:rPr>
              <w:t>Executive director</w:t>
            </w:r>
          </w:p>
        </w:tc>
        <w:tc>
          <w:tcPr>
            <w:tcW w:type="dxa" w:w="1440"/>
          </w:tcPr>
          <w:p>
            <w:pPr>
              <w:spacing w:after="40" w:before="40"/>
            </w:pPr>
            <w:r>
              <w:rPr>
                <w:sz w:val="20"/>
              </w:rPr>
              <w:t>Yes</w:t>
            </w:r>
          </w:p>
        </w:tc>
      </w:tr>
      <w:tr>
        <w:tc>
          <w:tcPr>
            <w:tcW w:type="dxa" w:w="2160"/>
          </w:tcPr>
          <w:p>
            <w:pPr>
              <w:spacing w:after="40" w:before="40"/>
            </w:pPr>
            <w:r>
              <w:rPr>
                <w:sz w:val="20"/>
              </w:rPr>
              <w:t>May 7, 2027</w:t>
            </w:r>
          </w:p>
        </w:tc>
        <w:tc>
          <w:tcPr>
            <w:tcW w:type="dxa" w:w="3888"/>
          </w:tcPr>
          <w:p>
            <w:pPr>
              <w:spacing w:after="40" w:before="40"/>
            </w:pPr>
            <w:r>
              <w:rPr>
                <w:sz w:val="20"/>
              </w:rPr>
              <w:t>Signed terms letter, verification consent, and transcript release due</w:t>
            </w:r>
          </w:p>
        </w:tc>
        <w:tc>
          <w:tcPr>
            <w:tcW w:type="dxa" w:w="1872"/>
          </w:tcPr>
          <w:p>
            <w:pPr>
              <w:spacing w:after="40" w:before="40"/>
            </w:pPr>
            <w:r>
              <w:rPr>
                <w:sz w:val="20"/>
              </w:rPr>
              <w:t>Recipient</w:t>
            </w:r>
          </w:p>
        </w:tc>
        <w:tc>
          <w:tcPr>
            <w:tcW w:type="dxa" w:w="1440"/>
          </w:tcPr>
          <w:p>
            <w:pPr>
              <w:spacing w:after="40" w:before="40"/>
            </w:pPr>
            <w:r>
              <w:rPr>
                <w:sz w:val="20"/>
              </w:rPr>
              <w:t>Yes</w:t>
            </w:r>
          </w:p>
        </w:tc>
      </w:tr>
      <w:tr>
        <w:tc>
          <w:tcPr>
            <w:tcW w:type="dxa" w:w="2160"/>
          </w:tcPr>
          <w:p>
            <w:pPr>
              <w:spacing w:after="40" w:before="40"/>
            </w:pPr>
            <w:r>
              <w:rPr>
                <w:sz w:val="20"/>
              </w:rPr>
              <w:t>August 3 to 14, 2027</w:t>
            </w:r>
          </w:p>
        </w:tc>
        <w:tc>
          <w:tcPr>
            <w:tcW w:type="dxa" w:w="3888"/>
          </w:tcPr>
          <w:p>
            <w:pPr>
              <w:spacing w:after="40" w:before="40"/>
            </w:pPr>
            <w:r>
              <w:rPr>
                <w:sz w:val="20"/>
              </w:rPr>
              <w:t>Fall enrollment verification collected from each institution</w:t>
            </w:r>
          </w:p>
        </w:tc>
        <w:tc>
          <w:tcPr>
            <w:tcW w:type="dxa" w:w="1872"/>
          </w:tcPr>
          <w:p>
            <w:pPr>
              <w:spacing w:after="40" w:before="40"/>
            </w:pPr>
            <w:r>
              <w:rPr>
                <w:sz w:val="20"/>
              </w:rPr>
              <w:t>Finance associate</w:t>
            </w:r>
          </w:p>
        </w:tc>
        <w:tc>
          <w:tcPr>
            <w:tcW w:type="dxa" w:w="1440"/>
          </w:tcPr>
          <w:p>
            <w:pPr>
              <w:spacing w:after="40" w:before="40"/>
            </w:pPr>
            <w:r>
              <w:rPr>
                <w:sz w:val="20"/>
              </w:rPr>
              <w:t>No</w:t>
            </w:r>
          </w:p>
        </w:tc>
      </w:tr>
      <w:tr>
        <w:tc>
          <w:tcPr>
            <w:tcW w:type="dxa" w:w="2160"/>
          </w:tcPr>
          <w:p>
            <w:pPr>
              <w:spacing w:after="40" w:before="40"/>
            </w:pPr>
            <w:r>
              <w:rPr>
                <w:sz w:val="20"/>
              </w:rPr>
              <w:t>August 21, 2027</w:t>
            </w:r>
          </w:p>
        </w:tc>
        <w:tc>
          <w:tcPr>
            <w:tcW w:type="dxa" w:w="3888"/>
          </w:tcPr>
          <w:p>
            <w:pPr>
              <w:spacing w:after="40" w:before="40"/>
            </w:pPr>
            <w:r>
              <w:rPr>
                <w:sz w:val="20"/>
              </w:rPr>
              <w:t>Fall term payments issued to student accounts offices</w:t>
            </w:r>
          </w:p>
        </w:tc>
        <w:tc>
          <w:tcPr>
            <w:tcW w:type="dxa" w:w="1872"/>
          </w:tcPr>
          <w:p>
            <w:pPr>
              <w:spacing w:after="40" w:before="40"/>
            </w:pPr>
            <w:r>
              <w:rPr>
                <w:sz w:val="20"/>
              </w:rPr>
              <w:t>Finance associate</w:t>
            </w:r>
          </w:p>
        </w:tc>
        <w:tc>
          <w:tcPr>
            <w:tcW w:type="dxa" w:w="1440"/>
          </w:tcPr>
          <w:p>
            <w:pPr>
              <w:spacing w:after="40" w:before="40"/>
            </w:pPr>
            <w:r>
              <w:rPr>
                <w:sz w:val="20"/>
              </w:rPr>
              <w:t>No</w:t>
            </w:r>
          </w:p>
        </w:tc>
      </w:tr>
      <w:tr>
        <w:tc>
          <w:tcPr>
            <w:tcW w:type="dxa" w:w="2160"/>
          </w:tcPr>
          <w:p>
            <w:pPr>
              <w:spacing w:after="40" w:before="40"/>
            </w:pPr>
            <w:r>
              <w:rPr>
                <w:sz w:val="20"/>
              </w:rPr>
              <w:t>September 2027</w:t>
            </w:r>
          </w:p>
        </w:tc>
        <w:tc>
          <w:tcPr>
            <w:tcW w:type="dxa" w:w="3888"/>
          </w:tcPr>
          <w:p>
            <w:pPr>
              <w:spacing w:after="40" w:before="40"/>
            </w:pPr>
            <w:r>
              <w:rPr>
                <w:sz w:val="20"/>
              </w:rPr>
              <w:t>First coaching contact with every recipient</w:t>
            </w:r>
          </w:p>
        </w:tc>
        <w:tc>
          <w:tcPr>
            <w:tcW w:type="dxa" w:w="1872"/>
          </w:tcPr>
          <w:p>
            <w:pPr>
              <w:spacing w:after="40" w:before="40"/>
            </w:pPr>
            <w:r>
              <w:rPr>
                <w:sz w:val="20"/>
              </w:rPr>
              <w:t>Completion advisor</w:t>
            </w:r>
          </w:p>
        </w:tc>
        <w:tc>
          <w:tcPr>
            <w:tcW w:type="dxa" w:w="1440"/>
          </w:tcPr>
          <w:p>
            <w:pPr>
              <w:spacing w:after="40" w:before="40"/>
            </w:pPr>
            <w:r>
              <w:rPr>
                <w:sz w:val="20"/>
              </w:rPr>
              <w:t>Yes</w:t>
            </w:r>
          </w:p>
        </w:tc>
      </w:tr>
      <w:tr>
        <w:tc>
          <w:tcPr>
            <w:tcW w:type="dxa" w:w="2160"/>
          </w:tcPr>
          <w:p>
            <w:pPr>
              <w:spacing w:after="40" w:before="40"/>
            </w:pPr>
            <w:r>
              <w:rPr>
                <w:sz w:val="20"/>
              </w:rPr>
              <w:t>September 30, 2027</w:t>
            </w:r>
          </w:p>
        </w:tc>
        <w:tc>
          <w:tcPr>
            <w:tcW w:type="dxa" w:w="3888"/>
          </w:tcPr>
          <w:p>
            <w:pPr>
              <w:spacing w:after="40" w:before="40"/>
            </w:pPr>
            <w:r>
              <w:rPr>
                <w:sz w:val="20"/>
              </w:rPr>
              <w:t>Interim report to funder: awards made, disbursed, and posted</w:t>
            </w:r>
          </w:p>
        </w:tc>
        <w:tc>
          <w:tcPr>
            <w:tcW w:type="dxa" w:w="1872"/>
          </w:tcPr>
          <w:p>
            <w:pPr>
              <w:spacing w:after="40" w:before="40"/>
            </w:pPr>
            <w:r>
              <w:rPr>
                <w:sz w:val="20"/>
              </w:rPr>
              <w:t>Executive director</w:t>
            </w:r>
          </w:p>
        </w:tc>
        <w:tc>
          <w:tcPr>
            <w:tcW w:type="dxa" w:w="1440"/>
          </w:tcPr>
          <w:p>
            <w:pPr>
              <w:spacing w:after="40" w:before="40"/>
            </w:pPr>
            <w:r>
              <w:rPr>
                <w:sz w:val="20"/>
              </w:rPr>
              <w:t>No</w:t>
            </w:r>
          </w:p>
        </w:tc>
      </w:tr>
      <w:tr>
        <w:tc>
          <w:tcPr>
            <w:tcW w:type="dxa" w:w="2160"/>
          </w:tcPr>
          <w:p>
            <w:pPr>
              <w:spacing w:after="40" w:before="40"/>
            </w:pPr>
            <w:r>
              <w:rPr>
                <w:sz w:val="20"/>
              </w:rPr>
              <w:t>November 9 to 20, 2027</w:t>
            </w:r>
          </w:p>
        </w:tc>
        <w:tc>
          <w:tcPr>
            <w:tcW w:type="dxa" w:w="3888"/>
          </w:tcPr>
          <w:p>
            <w:pPr>
              <w:spacing w:after="40" w:before="40"/>
            </w:pPr>
            <w:r>
              <w:rPr>
                <w:sz w:val="20"/>
              </w:rPr>
              <w:t>Fall credit completion and spring registration confirmed</w:t>
            </w:r>
          </w:p>
        </w:tc>
        <w:tc>
          <w:tcPr>
            <w:tcW w:type="dxa" w:w="1872"/>
          </w:tcPr>
          <w:p>
            <w:pPr>
              <w:spacing w:after="40" w:before="40"/>
            </w:pPr>
            <w:r>
              <w:rPr>
                <w:sz w:val="20"/>
              </w:rPr>
              <w:t>Finance associate</w:t>
            </w:r>
          </w:p>
        </w:tc>
        <w:tc>
          <w:tcPr>
            <w:tcW w:type="dxa" w:w="1440"/>
          </w:tcPr>
          <w:p>
            <w:pPr>
              <w:spacing w:after="40" w:before="40"/>
            </w:pPr>
            <w:r>
              <w:rPr>
                <w:sz w:val="20"/>
              </w:rPr>
              <w:t>No</w:t>
            </w:r>
          </w:p>
        </w:tc>
      </w:tr>
      <w:tr>
        <w:tc>
          <w:tcPr>
            <w:tcW w:type="dxa" w:w="2160"/>
          </w:tcPr>
          <w:p>
            <w:pPr>
              <w:spacing w:after="40" w:before="40"/>
            </w:pPr>
            <w:r>
              <w:rPr>
                <w:sz w:val="20"/>
              </w:rPr>
              <w:t>December 8, 2027</w:t>
            </w:r>
          </w:p>
        </w:tc>
        <w:tc>
          <w:tcPr>
            <w:tcW w:type="dxa" w:w="3888"/>
          </w:tcPr>
          <w:p>
            <w:pPr>
              <w:spacing w:after="40" w:before="40"/>
            </w:pPr>
            <w:r>
              <w:rPr>
                <w:sz w:val="20"/>
              </w:rPr>
              <w:t>Spring term payments issued to student accounts offices</w:t>
            </w:r>
          </w:p>
        </w:tc>
        <w:tc>
          <w:tcPr>
            <w:tcW w:type="dxa" w:w="1872"/>
          </w:tcPr>
          <w:p>
            <w:pPr>
              <w:spacing w:after="40" w:before="40"/>
            </w:pPr>
            <w:r>
              <w:rPr>
                <w:sz w:val="20"/>
              </w:rPr>
              <w:t>Finance associate</w:t>
            </w:r>
          </w:p>
        </w:tc>
        <w:tc>
          <w:tcPr>
            <w:tcW w:type="dxa" w:w="1440"/>
          </w:tcPr>
          <w:p>
            <w:pPr>
              <w:spacing w:after="40" w:before="40"/>
            </w:pPr>
            <w:r>
              <w:rPr>
                <w:sz w:val="20"/>
              </w:rPr>
              <w:t>No</w:t>
            </w:r>
          </w:p>
        </w:tc>
      </w:tr>
      <w:tr>
        <w:tc>
          <w:tcPr>
            <w:tcW w:type="dxa" w:w="2160"/>
          </w:tcPr>
          <w:p>
            <w:pPr>
              <w:spacing w:after="40" w:before="40"/>
            </w:pPr>
            <w:r>
              <w:rPr>
                <w:sz w:val="20"/>
              </w:rPr>
              <w:t>February 28, 2028</w:t>
            </w:r>
          </w:p>
        </w:tc>
        <w:tc>
          <w:tcPr>
            <w:tcW w:type="dxa" w:w="3888"/>
          </w:tcPr>
          <w:p>
            <w:pPr>
              <w:spacing w:after="40" w:before="40"/>
            </w:pPr>
            <w:r>
              <w:rPr>
                <w:sz w:val="20"/>
              </w:rPr>
              <w:t>Final grant report, with bursar receipts for all 60 term payments</w:t>
            </w:r>
          </w:p>
        </w:tc>
        <w:tc>
          <w:tcPr>
            <w:tcW w:type="dxa" w:w="1872"/>
          </w:tcPr>
          <w:p>
            <w:pPr>
              <w:spacing w:after="40" w:before="40"/>
            </w:pPr>
            <w:r>
              <w:rPr>
                <w:sz w:val="20"/>
              </w:rPr>
              <w:t>Executive director</w:t>
            </w:r>
          </w:p>
        </w:tc>
        <w:tc>
          <w:tcPr>
            <w:tcW w:type="dxa" w:w="1440"/>
          </w:tcPr>
          <w:p>
            <w:pPr>
              <w:spacing w:after="40" w:before="40"/>
            </w:pPr>
            <w:r>
              <w:rPr>
                <w:sz w:val="20"/>
              </w:rPr>
              <w:t>No</w:t>
            </w:r>
          </w:p>
        </w:tc>
      </w:tr>
      <w:tr>
        <w:tc>
          <w:tcPr>
            <w:tcW w:type="dxa" w:w="2160"/>
          </w:tcPr>
          <w:p>
            <w:pPr>
              <w:spacing w:after="40" w:before="40"/>
            </w:pPr>
            <w:r>
              <w:rPr>
                <w:sz w:val="20"/>
              </w:rPr>
              <w:t>June 2028</w:t>
            </w:r>
          </w:p>
        </w:tc>
        <w:tc>
          <w:tcPr>
            <w:tcW w:type="dxa" w:w="3888"/>
          </w:tcPr>
          <w:p>
            <w:pPr>
              <w:spacing w:after="40" w:before="40"/>
            </w:pPr>
            <w:r>
              <w:rPr>
                <w:sz w:val="20"/>
              </w:rPr>
              <w:t>Renewal review; second-year eligibility confirmed for the next cycle</w:t>
            </w:r>
          </w:p>
        </w:tc>
        <w:tc>
          <w:tcPr>
            <w:tcW w:type="dxa" w:w="1872"/>
          </w:tcPr>
          <w:p>
            <w:pPr>
              <w:spacing w:after="40" w:before="40"/>
            </w:pPr>
            <w:r>
              <w:rPr>
                <w:sz w:val="20"/>
              </w:rPr>
              <w:t>Program coordinator</w:t>
            </w:r>
          </w:p>
        </w:tc>
        <w:tc>
          <w:tcPr>
            <w:tcW w:type="dxa" w:w="1440"/>
          </w:tcPr>
          <w:p>
            <w:pPr>
              <w:spacing w:after="40" w:before="40"/>
            </w:pPr>
            <w:r>
              <w:rPr>
                <w:sz w:val="20"/>
              </w:rPr>
              <w:t>Yes</w:t>
            </w:r>
          </w:p>
        </w:tc>
      </w:tr>
      <w:tr>
        <w:tc>
          <w:tcPr>
            <w:tcW w:type="dxa" w:w="2160"/>
          </w:tcPr>
          <w:p>
            <w:pPr>
              <w:spacing w:after="40" w:before="40"/>
            </w:pPr>
            <w:r>
              <w:rPr>
                <w:sz w:val="20"/>
              </w:rPr>
              <w:t>November 2028</w:t>
            </w:r>
          </w:p>
        </w:tc>
        <w:tc>
          <w:tcPr>
            <w:tcW w:type="dxa" w:w="3888"/>
          </w:tcPr>
          <w:p>
            <w:pPr>
              <w:spacing w:after="40" w:before="40"/>
            </w:pPr>
            <w:r>
              <w:rPr>
                <w:sz w:val="20"/>
              </w:rPr>
              <w:t>Fall-to-fall persistence reported for the cohort</w:t>
            </w:r>
          </w:p>
        </w:tc>
        <w:tc>
          <w:tcPr>
            <w:tcW w:type="dxa" w:w="1872"/>
          </w:tcPr>
          <w:p>
            <w:pPr>
              <w:spacing w:after="40" w:before="40"/>
            </w:pPr>
            <w:r>
              <w:rPr>
                <w:sz w:val="20"/>
              </w:rPr>
              <w:t>Executive director</w:t>
            </w:r>
          </w:p>
        </w:tc>
        <w:tc>
          <w:tcPr>
            <w:tcW w:type="dxa" w:w="1440"/>
          </w:tcPr>
          <w:p>
            <w:pPr>
              <w:spacing w:after="40" w:before="40"/>
            </w:pPr>
            <w:r>
              <w:rPr>
                <w:sz w:val="20"/>
              </w:rPr>
              <w:t>No</w:t>
            </w:r>
          </w:p>
        </w:tc>
      </w:tr>
    </w:tbl>
    <w:p/>
    <w:p>
      <w:pPr>
        <w:pStyle w:val="Heading2"/>
      </w:pPr>
      <w:r>
        <w:t>7.2 Completion coaching</w:t>
      </w:r>
    </w:p>
    <w:p>
      <w:r>
        <w:t>Coaching is the part of this program that is not money, and it is the line a reviewer will push on, so it is described here in contact hours rather than in adjectives. One 0.4 FTE completion advisor carries the current cohort of 30 recipients plus the 18 continuing recipients from the prior cohort, for a steady-state caseload of 48 students. Each student receives a scheduled contact once a month during the academic year, roughly 45 minutes, by phone, text, or video according to the student's preference recorded at intake.</w:t>
      </w:r>
    </w:p>
    <w:p>
      <w:r>
        <w:t>That is about 360 hours of direct contact a year. The remaining time in the position covers intake, contact notes, outreach to students who miss two consecutive check-ins, liaison with financial aid offices when an award posts incorrectly, and the August and November verification cycles. The total is close to 800 hours, which is 0.4 FTE.</w:t>
      </w:r>
    </w:p>
    <w:p>
      <w:r>
        <w:t>Coaching content is deliberately narrow. The advisor works on registration timing, financial aid renewal deadlines, the FAFSA refile each October, add and drop dates, and the specific administrative traps that end enrollment quietly: an unpaid balance blocking registration, a missing verification document, a schedule that collides with a work shift. The advisor does not tutor and does not counsel; when a student needs either, the advisor connects them to the service on their own campus and follows up to confirm the student used it.</w:t>
      </w:r>
    </w:p>
    <w:p>
      <w:pPr>
        <w:pStyle w:val="Heading2"/>
      </w:pPr>
      <w:r>
        <w:t>7.3 When a recipient stops out</w:t>
      </w:r>
    </w:p>
    <w:p>
      <w:r>
        <w:t>A promise about persistence invites the obvious question of what happens when persistence fails, so the Fund answers it in the proposal rather than in the report. If a recipient withdraws before the term census date, the institution returns the unused term payment and the Fund re-grants it in the same cycle to the highest-scoring applicant who did not receive an award. If a recipient withdraws after the census date, the payment stays applied to the term charges the student incurred, which is the honest treatment of a bill already owed.</w:t>
      </w:r>
    </w:p>
    <w:p>
      <w:r>
        <w:t>In either case the student stays on the coaching caseload for the remainder of the two-year coaching commitment. The advisor's job with a stopped-out student is to establish whether the exit is financial, academic, or personal, to document any balance owed that would block a later return, and to keep a re-entry path open. Six of the Fund's 11 stopped-out students since 2022 re-enrolled within four terms.</w:t>
      </w:r>
    </w:p>
    <w:p>
      <w:pPr>
        <w:pStyle w:val="Heading1"/>
      </w:pPr>
      <w:r>
        <w:t>8. Selection Criteria and Procedure</w:t>
      </w:r>
    </w:p>
    <w:p>
      <w:pPr>
        <w:pStyle w:val="AdaptationNote"/>
      </w:pPr>
      <w:r>
        <w:t>Adapt this section: This is the section that decides a scholarship proposal, and the one most applicants leave vague. Keep the structure and replace the specifics. A reviewer is checking whether your process is objective, documented, repeatable, and auditable by someone who was not in the room.</w:t>
      </w:r>
    </w:p>
    <w:p>
      <w:r>
        <w:t>Recipients are selected by the Fund's volunteer selection committee under the written procedure set out here. The procedure is approved annually by the board before the application opens and cannot be amended mid-cycle. Every element below is applied to every applicant in the cycle.</w:t>
      </w:r>
    </w:p>
    <w:p>
      <w:pPr>
        <w:pStyle w:val="Heading2"/>
      </w:pPr>
      <w:r>
        <w:t>8.1 Eligibility, stated so it can be tested</w:t>
      </w:r>
    </w:p>
    <w:p>
      <w:r>
        <w:t>Each criterion below is checkable against a document. Language like committed to their community is not used, because no one can verify it and it invites a reviewer to substitute personal impressions for a rule.</w:t>
      </w:r>
    </w:p>
    <w:p>
      <w:pPr>
        <w:pStyle w:val="ListNumber"/>
      </w:pPr>
      <w:r>
        <w:t>Graduation from one of the three Two Rivers Area School District high schools in the class of 2027, or a district-issued equivalency completed within the previous 12 months. Verified by transcript.</w:t>
      </w:r>
    </w:p>
    <w:p>
      <w:pPr>
        <w:pStyle w:val="ListNumber"/>
      </w:pPr>
      <w:r>
        <w:t>Enrollment or acceptance at least half time at a Title IV eligible institution for a term beginning in the 2027-28 academic year. Verified by acceptance letter at application and by an enrollment verification before each disbursement.</w:t>
      </w:r>
    </w:p>
    <w:p>
      <w:pPr>
        <w:pStyle w:val="ListNumber"/>
      </w:pPr>
      <w:r>
        <w:t>A submitted 2027-28 FAFSA and a FAFSA Submission Summary showing the Student Aid Index. Applicants who are not eligible to file a FAFSA may substitute an institutional aid determination or a state alternative aid application; this substitution does not affect scoring.</w:t>
      </w:r>
    </w:p>
    <w:p>
      <w:pPr>
        <w:pStyle w:val="ListNumber"/>
      </w:pPr>
      <w:r>
        <w:t>A documented unmet cost of at least $1,000 after all committed grant, scholarship, and aid dollars at the institution named on the application. Verified by the institutional award letter.</w:t>
      </w:r>
    </w:p>
    <w:p>
      <w:pPr>
        <w:pStyle w:val="ListNumber"/>
      </w:pPr>
      <w:r>
        <w:t>Cumulative high school grade point average of 2.5 or higher on a 4.0 scale at the time of application. Verified by transcript.</w:t>
      </w:r>
    </w:p>
    <w:p>
      <w:pPr>
        <w:pStyle w:val="ListNumber"/>
      </w:pPr>
      <w:r>
        <w:t>Residency in the district attendance area for at least the two academic years preceding graduation. Verified by the district enrollment record.</w:t>
      </w:r>
    </w:p>
    <w:p>
      <w:r>
        <w:t>An application missing a required document is not scored and is not declined. The coordinator notifies the applicant and allows five business days to cure. In the 2026 cycle, 19 of 166 submitted applications were incomplete at the deadline and 13 of those cured within the window, leaving 147 complete at the deadline and 160 after the cure window. The median unmet gap below is computed on the 160.</w:t>
      </w:r>
    </w:p>
    <w:p>
      <w:pPr>
        <w:pStyle w:val="Heading2"/>
      </w:pPr>
      <w:r>
        <w:t>8.2 The scoring rubric</w:t>
      </w:r>
    </w:p>
    <w:p>
      <w:r>
        <w:t>Every complete application is scored out of 100 points on the rubric below. The rubric is published in the application itself, so applicants know what is being measured before they write anything.</w:t>
      </w:r>
    </w:p>
    <w:tbl>
      <w:tblPr>
        <w:tblStyle w:val="LightGrid-Accent1"/>
        <w:tblW w:type="auto" w:w="0"/>
        <w:jc w:val="left"/>
        <w:tblLayout w:type="fixed"/>
        <w:tblLook w:firstColumn="1" w:firstRow="1" w:lastColumn="0" w:lastRow="0" w:noHBand="0" w:noVBand="1" w:val="04A0"/>
      </w:tblPr>
      <w:tblGrid>
        <w:gridCol w:w="3120"/>
        <w:gridCol w:w="3120"/>
        <w:gridCol w:w="3120"/>
      </w:tblGrid>
      <w:tr>
        <w:trPr>
          <w:tblHeader w:val="true"/>
        </w:trPr>
        <w:tc>
          <w:tcPr>
            <w:tcW w:type="dxa" w:w="4032"/>
          </w:tcPr>
          <w:p>
            <w:pPr>
              <w:spacing w:after="40" w:before="40"/>
            </w:pPr>
            <w:r>
              <w:rPr>
                <w:sz w:val="20"/>
              </w:rPr>
              <w:t>Criterion</w:t>
            </w:r>
          </w:p>
        </w:tc>
        <w:tc>
          <w:tcPr>
            <w:tcW w:type="dxa" w:w="1152"/>
          </w:tcPr>
          <w:p>
            <w:pPr>
              <w:spacing w:after="40" w:before="40"/>
            </w:pPr>
            <w:r>
              <w:rPr>
                <w:sz w:val="20"/>
              </w:rPr>
              <w:t>Points</w:t>
            </w:r>
          </w:p>
        </w:tc>
        <w:tc>
          <w:tcPr>
            <w:tcW w:type="dxa" w:w="4176"/>
          </w:tcPr>
          <w:p>
            <w:pPr>
              <w:spacing w:after="40" w:before="40"/>
            </w:pPr>
            <w:r>
              <w:rPr>
                <w:sz w:val="20"/>
              </w:rPr>
              <w:t>Evidence reviewed</w:t>
            </w:r>
          </w:p>
        </w:tc>
      </w:tr>
      <w:tr>
        <w:tc>
          <w:tcPr>
            <w:tcW w:type="dxa" w:w="4032"/>
          </w:tcPr>
          <w:p>
            <w:pPr>
              <w:spacing w:after="40" w:before="40"/>
            </w:pPr>
            <w:r>
              <w:rPr>
                <w:sz w:val="20"/>
              </w:rPr>
              <w:t>Unmet need after all other aid</w:t>
            </w:r>
          </w:p>
        </w:tc>
        <w:tc>
          <w:tcPr>
            <w:tcW w:type="dxa" w:w="1152"/>
          </w:tcPr>
          <w:p>
            <w:pPr>
              <w:spacing w:after="40" w:before="40"/>
            </w:pPr>
            <w:r>
              <w:rPr>
                <w:sz w:val="20"/>
              </w:rPr>
              <w:t>40</w:t>
            </w:r>
          </w:p>
        </w:tc>
        <w:tc>
          <w:tcPr>
            <w:tcW w:type="dxa" w:w="4176"/>
          </w:tcPr>
          <w:p>
            <w:pPr>
              <w:spacing w:after="40" w:before="40"/>
            </w:pPr>
            <w:r>
              <w:rPr>
                <w:sz w:val="20"/>
              </w:rPr>
              <w:t>Institutional award letter, Student Aid Index</w:t>
            </w:r>
          </w:p>
        </w:tc>
      </w:tr>
      <w:tr>
        <w:tc>
          <w:tcPr>
            <w:tcW w:type="dxa" w:w="4032"/>
          </w:tcPr>
          <w:p>
            <w:pPr>
              <w:spacing w:after="40" w:before="40"/>
            </w:pPr>
            <w:r>
              <w:rPr>
                <w:sz w:val="20"/>
              </w:rPr>
              <w:t>Academic readiness</w:t>
            </w:r>
          </w:p>
        </w:tc>
        <w:tc>
          <w:tcPr>
            <w:tcW w:type="dxa" w:w="1152"/>
          </w:tcPr>
          <w:p>
            <w:pPr>
              <w:spacing w:after="40" w:before="40"/>
            </w:pPr>
            <w:r>
              <w:rPr>
                <w:sz w:val="20"/>
              </w:rPr>
              <w:t>20</w:t>
            </w:r>
          </w:p>
        </w:tc>
        <w:tc>
          <w:tcPr>
            <w:tcW w:type="dxa" w:w="4176"/>
          </w:tcPr>
          <w:p>
            <w:pPr>
              <w:spacing w:after="40" w:before="40"/>
            </w:pPr>
            <w:r>
              <w:rPr>
                <w:sz w:val="20"/>
              </w:rPr>
              <w:t>Transcript and cumulative GPA at application</w:t>
            </w:r>
          </w:p>
        </w:tc>
      </w:tr>
      <w:tr>
        <w:tc>
          <w:tcPr>
            <w:tcW w:type="dxa" w:w="4032"/>
          </w:tcPr>
          <w:p>
            <w:pPr>
              <w:spacing w:after="40" w:before="40"/>
            </w:pPr>
            <w:r>
              <w:rPr>
                <w:sz w:val="20"/>
              </w:rPr>
              <w:t>Persistence plan</w:t>
            </w:r>
          </w:p>
        </w:tc>
        <w:tc>
          <w:tcPr>
            <w:tcW w:type="dxa" w:w="1152"/>
          </w:tcPr>
          <w:p>
            <w:pPr>
              <w:spacing w:after="40" w:before="40"/>
            </w:pPr>
            <w:r>
              <w:rPr>
                <w:sz w:val="20"/>
              </w:rPr>
              <w:t>20</w:t>
            </w:r>
          </w:p>
        </w:tc>
        <w:tc>
          <w:tcPr>
            <w:tcW w:type="dxa" w:w="4176"/>
          </w:tcPr>
          <w:p>
            <w:pPr>
              <w:spacing w:after="40" w:before="40"/>
            </w:pPr>
            <w:r>
              <w:rPr>
                <w:sz w:val="20"/>
              </w:rPr>
              <w:t>Written responses on obstacles and available supports</w:t>
            </w:r>
          </w:p>
        </w:tc>
      </w:tr>
      <w:tr>
        <w:tc>
          <w:tcPr>
            <w:tcW w:type="dxa" w:w="4032"/>
          </w:tcPr>
          <w:p>
            <w:pPr>
              <w:spacing w:after="40" w:before="40"/>
            </w:pPr>
            <w:r>
              <w:rPr>
                <w:sz w:val="20"/>
              </w:rPr>
              <w:t>First-generation status or district residency</w:t>
            </w:r>
          </w:p>
        </w:tc>
        <w:tc>
          <w:tcPr>
            <w:tcW w:type="dxa" w:w="1152"/>
          </w:tcPr>
          <w:p>
            <w:pPr>
              <w:spacing w:after="40" w:before="40"/>
            </w:pPr>
            <w:r>
              <w:rPr>
                <w:sz w:val="20"/>
              </w:rPr>
              <w:t>10</w:t>
            </w:r>
          </w:p>
        </w:tc>
        <w:tc>
          <w:tcPr>
            <w:tcW w:type="dxa" w:w="4176"/>
          </w:tcPr>
          <w:p>
            <w:pPr>
              <w:spacing w:after="40" w:before="40"/>
            </w:pPr>
            <w:r>
              <w:rPr>
                <w:sz w:val="20"/>
              </w:rPr>
              <w:t>Application attestation, proof of address</w:t>
            </w:r>
          </w:p>
        </w:tc>
      </w:tr>
      <w:tr>
        <w:tc>
          <w:tcPr>
            <w:tcW w:type="dxa" w:w="4032"/>
          </w:tcPr>
          <w:p>
            <w:pPr>
              <w:spacing w:after="40" w:before="40"/>
            </w:pPr>
            <w:r>
              <w:rPr>
                <w:sz w:val="20"/>
              </w:rPr>
              <w:t>Recommendation</w:t>
            </w:r>
          </w:p>
        </w:tc>
        <w:tc>
          <w:tcPr>
            <w:tcW w:type="dxa" w:w="1152"/>
          </w:tcPr>
          <w:p>
            <w:pPr>
              <w:spacing w:after="40" w:before="40"/>
            </w:pPr>
            <w:r>
              <w:rPr>
                <w:sz w:val="20"/>
              </w:rPr>
              <w:t>10</w:t>
            </w:r>
          </w:p>
        </w:tc>
        <w:tc>
          <w:tcPr>
            <w:tcW w:type="dxa" w:w="4176"/>
          </w:tcPr>
          <w:p>
            <w:pPr>
              <w:spacing w:after="40" w:before="40"/>
            </w:pPr>
            <w:r>
              <w:rPr>
                <w:sz w:val="20"/>
              </w:rPr>
              <w:t>One structured recommender form</w:t>
            </w:r>
          </w:p>
        </w:tc>
      </w:tr>
      <w:tr>
        <w:tc>
          <w:tcPr>
            <w:tcW w:type="dxa" w:w="4032"/>
          </w:tcPr>
          <w:p>
            <w:pPr>
              <w:spacing w:after="40" w:before="40"/>
            </w:pPr>
            <w:r>
              <w:rPr>
                <w:b/>
                <w:sz w:val="20"/>
              </w:rPr>
              <w:t>Total</w:t>
            </w:r>
          </w:p>
        </w:tc>
        <w:tc>
          <w:tcPr>
            <w:tcW w:type="dxa" w:w="1152"/>
          </w:tcPr>
          <w:p>
            <w:pPr>
              <w:spacing w:after="40" w:before="40"/>
            </w:pPr>
            <w:r>
              <w:rPr>
                <w:b/>
                <w:sz w:val="20"/>
              </w:rPr>
              <w:t>100</w:t>
            </w:r>
          </w:p>
        </w:tc>
        <w:tc>
          <w:tcPr>
            <w:tcW w:type="dxa" w:w="4176"/>
          </w:tcPr>
          <w:p>
            <w:pPr>
              <w:spacing w:after="40" w:before="40"/>
            </w:pPr>
            <w:r>
              <w:rPr>
                <w:b/>
                <w:sz w:val="20"/>
              </w:rPr>
            </w:r>
          </w:p>
        </w:tc>
      </w:tr>
    </w:tbl>
    <w:p/>
    <w:p>
      <w:r>
        <w:t>Documented unmet need carries 40 of the 100 points on purpose. The Fund exists to close a cost gap, and a rubric that weighted academic performance more heavily would systematically redirect the award toward students who were already going to enroll.</w:t>
      </w:r>
    </w:p>
    <w:p>
      <w:pPr>
        <w:pStyle w:val="Heading2"/>
      </w:pPr>
      <w:r>
        <w:t>8.3 Scoring anchors</w:t>
      </w:r>
    </w:p>
    <w:p>
      <w:r>
        <w:t>Anchors are what make a rubric repeatable. Without them, two reviewers reading the same file produce two different scores and neither can say why. The need and academic bands are arithmetic and are applied by staff before review; the written response and recommendation are scored by reviewers against the anchors below.</w:t>
      </w:r>
    </w:p>
    <w:p>
      <w:pPr>
        <w:pStyle w:val="Heading3"/>
      </w:pPr>
      <w:r>
        <w:t>Unmet need after all other aid (40 points, applied by staff from documents)</w:t>
      </w:r>
    </w:p>
    <w:tbl>
      <w:tblPr>
        <w:tblStyle w:val="LightGrid-Accent1"/>
        <w:tblW w:type="auto" w:w="0"/>
        <w:jc w:val="left"/>
        <w:tblLayout w:type="fixed"/>
        <w:tblLook w:firstColumn="1" w:firstRow="1" w:lastColumn="0" w:lastRow="0" w:noHBand="0" w:noVBand="1" w:val="04A0"/>
      </w:tblPr>
      <w:tblGrid>
        <w:gridCol w:w="4680"/>
        <w:gridCol w:w="4680"/>
      </w:tblGrid>
      <w:tr>
        <w:trPr>
          <w:tblHeader w:val="true"/>
        </w:trPr>
        <w:tc>
          <w:tcPr>
            <w:tcW w:type="dxa" w:w="6336"/>
          </w:tcPr>
          <w:p>
            <w:pPr>
              <w:spacing w:after="40" w:before="40"/>
            </w:pPr>
            <w:r>
              <w:rPr>
                <w:sz w:val="20"/>
              </w:rPr>
              <w:t>Documented unmet gap at the named institution</w:t>
            </w:r>
          </w:p>
        </w:tc>
        <w:tc>
          <w:tcPr>
            <w:tcW w:type="dxa" w:w="3024"/>
          </w:tcPr>
          <w:p>
            <w:pPr>
              <w:spacing w:after="40" w:before="40"/>
            </w:pPr>
            <w:r>
              <w:rPr>
                <w:sz w:val="20"/>
              </w:rPr>
              <w:t>Points</w:t>
            </w:r>
          </w:p>
        </w:tc>
      </w:tr>
      <w:tr>
        <w:tc>
          <w:tcPr>
            <w:tcW w:type="dxa" w:w="6336"/>
          </w:tcPr>
          <w:p>
            <w:pPr>
              <w:spacing w:after="40" w:before="40"/>
            </w:pPr>
            <w:r>
              <w:rPr>
                <w:sz w:val="20"/>
              </w:rPr>
              <w:t>$6,000 or more</w:t>
            </w:r>
          </w:p>
        </w:tc>
        <w:tc>
          <w:tcPr>
            <w:tcW w:type="dxa" w:w="3024"/>
          </w:tcPr>
          <w:p>
            <w:pPr>
              <w:spacing w:after="40" w:before="40"/>
            </w:pPr>
            <w:r>
              <w:rPr>
                <w:sz w:val="20"/>
              </w:rPr>
              <w:t>40</w:t>
            </w:r>
          </w:p>
        </w:tc>
      </w:tr>
      <w:tr>
        <w:tc>
          <w:tcPr>
            <w:tcW w:type="dxa" w:w="6336"/>
          </w:tcPr>
          <w:p>
            <w:pPr>
              <w:spacing w:after="40" w:before="40"/>
            </w:pPr>
            <w:r>
              <w:rPr>
                <w:sz w:val="20"/>
              </w:rPr>
              <w:t>$4,500 to $5,999</w:t>
            </w:r>
          </w:p>
        </w:tc>
        <w:tc>
          <w:tcPr>
            <w:tcW w:type="dxa" w:w="3024"/>
          </w:tcPr>
          <w:p>
            <w:pPr>
              <w:spacing w:after="40" w:before="40"/>
            </w:pPr>
            <w:r>
              <w:rPr>
                <w:sz w:val="20"/>
              </w:rPr>
              <w:t>32</w:t>
            </w:r>
          </w:p>
        </w:tc>
      </w:tr>
      <w:tr>
        <w:tc>
          <w:tcPr>
            <w:tcW w:type="dxa" w:w="6336"/>
          </w:tcPr>
          <w:p>
            <w:pPr>
              <w:spacing w:after="40" w:before="40"/>
            </w:pPr>
            <w:r>
              <w:rPr>
                <w:sz w:val="20"/>
              </w:rPr>
              <w:t>$3,000 to $4,499</w:t>
            </w:r>
          </w:p>
        </w:tc>
        <w:tc>
          <w:tcPr>
            <w:tcW w:type="dxa" w:w="3024"/>
          </w:tcPr>
          <w:p>
            <w:pPr>
              <w:spacing w:after="40" w:before="40"/>
            </w:pPr>
            <w:r>
              <w:rPr>
                <w:sz w:val="20"/>
              </w:rPr>
              <w:t>24</w:t>
            </w:r>
          </w:p>
        </w:tc>
      </w:tr>
      <w:tr>
        <w:tc>
          <w:tcPr>
            <w:tcW w:type="dxa" w:w="6336"/>
          </w:tcPr>
          <w:p>
            <w:pPr>
              <w:spacing w:after="40" w:before="40"/>
            </w:pPr>
            <w:r>
              <w:rPr>
                <w:sz w:val="20"/>
              </w:rPr>
              <w:t>$1,500 to $2,999</w:t>
            </w:r>
          </w:p>
        </w:tc>
        <w:tc>
          <w:tcPr>
            <w:tcW w:type="dxa" w:w="3024"/>
          </w:tcPr>
          <w:p>
            <w:pPr>
              <w:spacing w:after="40" w:before="40"/>
            </w:pPr>
            <w:r>
              <w:rPr>
                <w:sz w:val="20"/>
              </w:rPr>
              <w:t>16</w:t>
            </w:r>
          </w:p>
        </w:tc>
      </w:tr>
      <w:tr>
        <w:tc>
          <w:tcPr>
            <w:tcW w:type="dxa" w:w="6336"/>
          </w:tcPr>
          <w:p>
            <w:pPr>
              <w:spacing w:after="40" w:before="40"/>
            </w:pPr>
            <w:r>
              <w:rPr>
                <w:sz w:val="20"/>
              </w:rPr>
              <w:t>$1,000 to $1,499</w:t>
            </w:r>
          </w:p>
        </w:tc>
        <w:tc>
          <w:tcPr>
            <w:tcW w:type="dxa" w:w="3024"/>
          </w:tcPr>
          <w:p>
            <w:pPr>
              <w:spacing w:after="40" w:before="40"/>
            </w:pPr>
            <w:r>
              <w:rPr>
                <w:sz w:val="20"/>
              </w:rPr>
              <w:t>8</w:t>
            </w:r>
          </w:p>
        </w:tc>
      </w:tr>
    </w:tbl>
    <w:p/>
    <w:p>
      <w:pPr>
        <w:pStyle w:val="Heading3"/>
      </w:pPr>
      <w:r>
        <w:t>Academic readiness (20 points, applied by staff from the transcript)</w:t>
      </w:r>
    </w:p>
    <w:tbl>
      <w:tblPr>
        <w:tblStyle w:val="LightGrid-Accent1"/>
        <w:tblW w:type="auto" w:w="0"/>
        <w:jc w:val="left"/>
        <w:tblLayout w:type="fixed"/>
        <w:tblLook w:firstColumn="1" w:firstRow="1" w:lastColumn="0" w:lastRow="0" w:noHBand="0" w:noVBand="1" w:val="04A0"/>
      </w:tblPr>
      <w:tblGrid>
        <w:gridCol w:w="4680"/>
        <w:gridCol w:w="4680"/>
      </w:tblGrid>
      <w:tr>
        <w:trPr>
          <w:tblHeader w:val="true"/>
        </w:trPr>
        <w:tc>
          <w:tcPr>
            <w:tcW w:type="dxa" w:w="6336"/>
          </w:tcPr>
          <w:p>
            <w:pPr>
              <w:spacing w:after="40" w:before="40"/>
            </w:pPr>
            <w:r>
              <w:rPr>
                <w:sz w:val="20"/>
              </w:rPr>
              <w:t>Cumulative GPA at application</w:t>
            </w:r>
          </w:p>
        </w:tc>
        <w:tc>
          <w:tcPr>
            <w:tcW w:type="dxa" w:w="3024"/>
          </w:tcPr>
          <w:p>
            <w:pPr>
              <w:spacing w:after="40" w:before="40"/>
            </w:pPr>
            <w:r>
              <w:rPr>
                <w:sz w:val="20"/>
              </w:rPr>
              <w:t>Points</w:t>
            </w:r>
          </w:p>
        </w:tc>
      </w:tr>
      <w:tr>
        <w:tc>
          <w:tcPr>
            <w:tcW w:type="dxa" w:w="6336"/>
          </w:tcPr>
          <w:p>
            <w:pPr>
              <w:spacing w:after="40" w:before="40"/>
            </w:pPr>
            <w:r>
              <w:rPr>
                <w:sz w:val="20"/>
              </w:rPr>
              <w:t>3.50 and above</w:t>
            </w:r>
          </w:p>
        </w:tc>
        <w:tc>
          <w:tcPr>
            <w:tcW w:type="dxa" w:w="3024"/>
          </w:tcPr>
          <w:p>
            <w:pPr>
              <w:spacing w:after="40" w:before="40"/>
            </w:pPr>
            <w:r>
              <w:rPr>
                <w:sz w:val="20"/>
              </w:rPr>
              <w:t>20</w:t>
            </w:r>
          </w:p>
        </w:tc>
      </w:tr>
      <w:tr>
        <w:tc>
          <w:tcPr>
            <w:tcW w:type="dxa" w:w="6336"/>
          </w:tcPr>
          <w:p>
            <w:pPr>
              <w:spacing w:after="40" w:before="40"/>
            </w:pPr>
            <w:r>
              <w:rPr>
                <w:sz w:val="20"/>
              </w:rPr>
              <w:t>3.00 to 3.49</w:t>
            </w:r>
          </w:p>
        </w:tc>
        <w:tc>
          <w:tcPr>
            <w:tcW w:type="dxa" w:w="3024"/>
          </w:tcPr>
          <w:p>
            <w:pPr>
              <w:spacing w:after="40" w:before="40"/>
            </w:pPr>
            <w:r>
              <w:rPr>
                <w:sz w:val="20"/>
              </w:rPr>
              <w:t>16</w:t>
            </w:r>
          </w:p>
        </w:tc>
      </w:tr>
      <w:tr>
        <w:tc>
          <w:tcPr>
            <w:tcW w:type="dxa" w:w="6336"/>
          </w:tcPr>
          <w:p>
            <w:pPr>
              <w:spacing w:after="40" w:before="40"/>
            </w:pPr>
            <w:r>
              <w:rPr>
                <w:sz w:val="20"/>
              </w:rPr>
              <w:t>2.75 to 2.99</w:t>
            </w:r>
          </w:p>
        </w:tc>
        <w:tc>
          <w:tcPr>
            <w:tcW w:type="dxa" w:w="3024"/>
          </w:tcPr>
          <w:p>
            <w:pPr>
              <w:spacing w:after="40" w:before="40"/>
            </w:pPr>
            <w:r>
              <w:rPr>
                <w:sz w:val="20"/>
              </w:rPr>
              <w:t>12</w:t>
            </w:r>
          </w:p>
        </w:tc>
      </w:tr>
      <w:tr>
        <w:tc>
          <w:tcPr>
            <w:tcW w:type="dxa" w:w="6336"/>
          </w:tcPr>
          <w:p>
            <w:pPr>
              <w:spacing w:after="40" w:before="40"/>
            </w:pPr>
            <w:r>
              <w:rPr>
                <w:sz w:val="20"/>
              </w:rPr>
              <w:t>2.50 to 2.74</w:t>
            </w:r>
          </w:p>
        </w:tc>
        <w:tc>
          <w:tcPr>
            <w:tcW w:type="dxa" w:w="3024"/>
          </w:tcPr>
          <w:p>
            <w:pPr>
              <w:spacing w:after="40" w:before="40"/>
            </w:pPr>
            <w:r>
              <w:rPr>
                <w:sz w:val="20"/>
              </w:rPr>
              <w:t>8</w:t>
            </w:r>
          </w:p>
        </w:tc>
      </w:tr>
    </w:tbl>
    <w:p/>
    <w:p>
      <w:r>
        <w:t>One adjustment applies: an applicant whose grade point average rose by 0.4 or more across the final three semesters moves up one band, capped at 20. The trend is computed from the transcript by staff, not judged by reviewers.</w:t>
      </w:r>
    </w:p>
    <w:p>
      <w:pPr>
        <w:pStyle w:val="Heading3"/>
      </w:pPr>
      <w:r>
        <w:t>Persistence plan (20 points, scored blind by two reviewers, averaged)</w:t>
      </w:r>
    </w:p>
    <w:tbl>
      <w:tblPr>
        <w:tblStyle w:val="LightGrid-Accent1"/>
        <w:tblW w:type="auto" w:w="0"/>
        <w:jc w:val="left"/>
        <w:tblLayout w:type="fixed"/>
        <w:tblLook w:firstColumn="1" w:firstRow="1" w:lastColumn="0" w:lastRow="0" w:noHBand="0" w:noVBand="1" w:val="04A0"/>
      </w:tblPr>
      <w:tblGrid>
        <w:gridCol w:w="4680"/>
        <w:gridCol w:w="4680"/>
      </w:tblGrid>
      <w:tr>
        <w:trPr>
          <w:tblHeader w:val="true"/>
        </w:trPr>
        <w:tc>
          <w:tcPr>
            <w:tcW w:type="dxa" w:w="1440"/>
          </w:tcPr>
          <w:p>
            <w:pPr>
              <w:spacing w:after="40" w:before="40"/>
            </w:pPr>
            <w:r>
              <w:rPr>
                <w:sz w:val="20"/>
              </w:rPr>
              <w:t>Band</w:t>
            </w:r>
          </w:p>
        </w:tc>
        <w:tc>
          <w:tcPr>
            <w:tcW w:type="dxa" w:w="7920"/>
          </w:tcPr>
          <w:p>
            <w:pPr>
              <w:spacing w:after="40" w:before="40"/>
            </w:pPr>
            <w:r>
              <w:rPr>
                <w:sz w:val="20"/>
              </w:rPr>
              <w:t>What the response contains</w:t>
            </w:r>
          </w:p>
        </w:tc>
      </w:tr>
      <w:tr>
        <w:tc>
          <w:tcPr>
            <w:tcW w:type="dxa" w:w="1440"/>
          </w:tcPr>
          <w:p>
            <w:pPr>
              <w:spacing w:after="40" w:before="40"/>
            </w:pPr>
            <w:r>
              <w:rPr>
                <w:sz w:val="20"/>
              </w:rPr>
              <w:t>17 to 20</w:t>
            </w:r>
          </w:p>
        </w:tc>
        <w:tc>
          <w:tcPr>
            <w:tcW w:type="dxa" w:w="7920"/>
          </w:tcPr>
          <w:p>
            <w:pPr>
              <w:spacing w:after="40" w:before="40"/>
            </w:pPr>
            <w:r>
              <w:rPr>
                <w:sz w:val="20"/>
              </w:rPr>
              <w:t>Names a specific obstacle, a specific support already identified at the named institution, and a concrete first step with a date.</w:t>
            </w:r>
          </w:p>
        </w:tc>
      </w:tr>
      <w:tr>
        <w:tc>
          <w:tcPr>
            <w:tcW w:type="dxa" w:w="1440"/>
          </w:tcPr>
          <w:p>
            <w:pPr>
              <w:spacing w:after="40" w:before="40"/>
            </w:pPr>
            <w:r>
              <w:rPr>
                <w:sz w:val="20"/>
              </w:rPr>
              <w:t>12 to 16</w:t>
            </w:r>
          </w:p>
        </w:tc>
        <w:tc>
          <w:tcPr>
            <w:tcW w:type="dxa" w:w="7920"/>
          </w:tcPr>
          <w:p>
            <w:pPr>
              <w:spacing w:after="40" w:before="40"/>
            </w:pPr>
            <w:r>
              <w:rPr>
                <w:sz w:val="20"/>
              </w:rPr>
              <w:t>Names a specific obstacle and a general plan, without a named campus support or a date.</w:t>
            </w:r>
          </w:p>
        </w:tc>
      </w:tr>
      <w:tr>
        <w:tc>
          <w:tcPr>
            <w:tcW w:type="dxa" w:w="1440"/>
          </w:tcPr>
          <w:p>
            <w:pPr>
              <w:spacing w:after="40" w:before="40"/>
            </w:pPr>
            <w:r>
              <w:rPr>
                <w:sz w:val="20"/>
              </w:rPr>
              <w:t>6 to 11</w:t>
            </w:r>
          </w:p>
        </w:tc>
        <w:tc>
          <w:tcPr>
            <w:tcW w:type="dxa" w:w="7920"/>
          </w:tcPr>
          <w:p>
            <w:pPr>
              <w:spacing w:after="40" w:before="40"/>
            </w:pPr>
            <w:r>
              <w:rPr>
                <w:sz w:val="20"/>
              </w:rPr>
              <w:t>General statement of determination with no named obstacle and no identified support.</w:t>
            </w:r>
          </w:p>
        </w:tc>
      </w:tr>
      <w:tr>
        <w:tc>
          <w:tcPr>
            <w:tcW w:type="dxa" w:w="1440"/>
          </w:tcPr>
          <w:p>
            <w:pPr>
              <w:spacing w:after="40" w:before="40"/>
            </w:pPr>
            <w:r>
              <w:rPr>
                <w:sz w:val="20"/>
              </w:rPr>
              <w:t>0 to 5</w:t>
            </w:r>
          </w:p>
        </w:tc>
        <w:tc>
          <w:tcPr>
            <w:tcW w:type="dxa" w:w="7920"/>
          </w:tcPr>
          <w:p>
            <w:pPr>
              <w:spacing w:after="40" w:before="40"/>
            </w:pPr>
            <w:r>
              <w:rPr>
                <w:sz w:val="20"/>
              </w:rPr>
              <w:t>Incomplete, off-topic, or non-responsive.</w:t>
            </w:r>
          </w:p>
        </w:tc>
      </w:tr>
    </w:tbl>
    <w:p/>
    <w:p>
      <w:pPr>
        <w:pStyle w:val="Heading3"/>
      </w:pPr>
      <w:r>
        <w:t>First-generation status or district residency (10 points)</w:t>
      </w:r>
    </w:p>
    <w:p>
      <w:r>
        <w:t>Ten points where neither parent or guardian has completed a postsecondary credential, attested on the application. Five points where the applicant meets district residency but not first-generation status. The two are not additive.</w:t>
      </w:r>
    </w:p>
    <w:p>
      <w:pPr>
        <w:pStyle w:val="Heading3"/>
      </w:pPr>
      <w:r>
        <w:t>Recommendation (10 points)</w:t>
      </w:r>
    </w:p>
    <w:p>
      <w:r>
        <w:t>One structured recommender form, scored on five items worth two points each: attendance and follow-through, response to a documented setback, self-advocacy, preparation for the specific program named, and knowledge of the applicant over time. The form is reproduced in Appendix B. Free-text letters are accepted but are not scored, because unstructured letters reward applicants who know adults practiced at writing them.</w:t>
      </w:r>
    </w:p>
    <w:p>
      <w:pPr>
        <w:pStyle w:val="Heading2"/>
      </w:pPr>
      <w:r>
        <w:t>8.4 The committee and the conflict rule</w:t>
      </w:r>
    </w:p>
    <w:p>
      <w:r>
        <w:t>The selection committee has four voting reviewers, named by role rather than by person: one current or retired secondary educator from outside the district's counseling department; one postsecondary financial aid or advising professional; one community member with no employment relationship to either school system; and one committee chair drawn from the Fund's board. A finance reviewer participates without a vote to confirm eligibility documentation and the arithmetic of the need score. The program coordinator facilitates and does not score.</w:t>
      </w:r>
    </w:p>
    <w:p>
      <w:r>
        <w:t>No board member with a family applicant serves on the committee or observes the meeting. Any reviewer with a family relationship, an employment relationship, a mentoring or coaching relationship, or a household connection to an applicant within the previous three years discloses it on the form in Appendix C and recuses from that file completely. The recusal is recorded in the minutes. A recused file is scored by the remaining reviewers and the score is prorated to the same 100-point scale, so that recusal neither advantages nor disadvantages the applicant.</w:t>
      </w:r>
    </w:p>
    <w:p>
      <w:r>
        <w:t>Reviewers sign the conflict form before receiving any files and confirm at the meeting that nothing has changed. Reviewers serve two-year terms with staggered rotation, so that no cycle is scored entirely by people who scored the previous one.</w:t>
      </w:r>
    </w:p>
    <w:p>
      <w:pPr>
        <w:pStyle w:val="Heading2"/>
      </w:pPr>
      <w:r>
        <w:t>8.5 Blind review</w:t>
      </w:r>
    </w:p>
    <w:p>
      <w:r>
        <w:t>Before the written-response round, staff remove the applicant's name, high school, address, recommender name, and the name of the institution from the file, and replace them with a cycle identification number. Reviewers score the written responses from the redacted text alone. The institution name is restored only after written-response scores are recorded, because knowing that an applicant is heading to a four-year residential campus rather than the community college changes how a reviewer reads the same sentence.</w:t>
      </w:r>
    </w:p>
    <w:p>
      <w:r>
        <w:t>The need score and the academic score are computed by staff from documents and are not affected by blinding. The recommendation score is taken from the structured form with the recommender's name and title removed.</w:t>
      </w:r>
    </w:p>
    <w:p>
      <w:pPr>
        <w:pStyle w:val="Heading2"/>
      </w:pPr>
      <w:r>
        <w:t>8.6 Tie-break, fixed in advance</w:t>
      </w:r>
    </w:p>
    <w:p>
      <w:r>
        <w:t>Ties at the funding line are broken by the highest need score. If the need scores are also equal, the earlier complete-application timestamp prevails. The rule is written into the procedure before the cycle opens, so that the committee applies a rule rather than negotiating one in the room with two named students in front of it.</w:t>
      </w:r>
    </w:p>
    <w:p>
      <w:pPr>
        <w:pStyle w:val="Heading2"/>
      </w:pPr>
      <w:r>
        <w:t>8.7 Notification, feedback, and appeal</w:t>
      </w:r>
    </w:p>
    <w:p>
      <w:r>
        <w:t>Award and decline notifications go out within three business days of the committee meeting, on April 16, 2027 for this cycle, ahead of the May 1 enrollment commitment deadline most institutions use. A declined applicant may request their rubric total and their band on each criterion. Reviewer notes are not released.</w:t>
      </w:r>
    </w:p>
    <w:p>
      <w:r>
        <w:t>Appeals are limited to two grounds: a procedural error in how the file was handled, or a documented factual error in the file, such as an aid figure transcribed incorrectly. Disagreement with a score is not a ground for appeal. Appeals are filed within ten business days and decided by the board chair together with one reviewer who did not score the file. The Fund has received three appeals since 2019 and upheld one, which involved an award letter dated after the deadline that had not been added to the file.</w:t>
      </w:r>
    </w:p>
    <w:p>
      <w:pPr>
        <w:pStyle w:val="Heading2"/>
      </w:pPr>
      <w:r>
        <w:t>8.8 The audit file</w:t>
      </w:r>
    </w:p>
    <w:p>
      <w:r>
        <w:t>Each application is kept as a single file containing the application, all required documents, every scoring sheet with the reviewer identified, reviewer notes, the signed conflict forms for that cycle, the committee minutes, the notification letter, the signed terms letter, every disbursement record, and every verification record. Files are retained for seven years after the final disbursement. Award records are retained whether the applicant was funded or declined, because a selection procedure can only be evaluated against the pool it chose from.</w:t>
      </w:r>
    </w:p>
    <w:p>
      <w:pPr>
        <w:pStyle w:val="Heading2"/>
      </w:pPr>
      <w:r>
        <w:t>8.9 Nondiscrimination and the tax framing</w:t>
      </w:r>
    </w:p>
    <w:p>
      <w:r>
        <w:t>Awards are made without regard to race, color, national origin, religion, sex, sexual orientation, gender identity, age, or disability, under the Fund's board-adopted nondiscrimination policy. Selection is limited to the criteria in Section 8.2. No reviewer may introduce a criterion that is not on the rubric.</w:t>
      </w:r>
    </w:p>
    <w:p>
      <w:r>
        <w:t>One paragraph in a scholarship proposal answers a question a private foundation program officer would otherwise have to raise. Under Internal Revenue Code section 4945(g), a private foundation's grants to individuals for study are taxable expenditures unless the grant is awarded on an objective and nondiscriminatory basis under a procedure approved in advance by the Service, requested on Form 8940 (IRS, Grants to Individuals; IRS, Advance Approval of Grant-Making Procedures). A foundation's grant to a public charity is not treated as a grant to an individual when the grant funds a project undertaken and controlled by the charity and the charity controls the selection of recipients, and that selection need not be completely independent of the foundation (IRS, Certain Private Foundation Grants to Public Charities Not Treated as Grants to Individuals).</w:t>
      </w:r>
    </w:p>
    <w:tbl>
      <w:tblPr>
        <w:tblStyle w:val="TableGrid"/>
        <w:tblW w:type="auto" w:w="0"/>
        <w:tblLook w:firstColumn="1" w:firstRow="1" w:lastColumn="0" w:lastRow="0" w:noHBand="0" w:noVBand="1" w:val="04A0"/>
      </w:tblPr>
      <w:tblGrid>
        <w:gridCol w:w="9360"/>
      </w:tblGrid>
      <w:tr>
        <w:tc>
          <w:tcPr>
            <w:tcW w:type="dxa" w:w="9360"/>
            <w:shd w:val="clear" w:color="auto" w:fill="EEF2F8"/>
          </w:tcPr>
          <w:p>
            <w:pPr>
              <w:spacing w:after="40"/>
            </w:pPr>
            <w:r/>
            <w:r>
              <w:rPr>
                <w:color w:val="333333"/>
                <w:sz w:val="20"/>
              </w:rPr>
              <w:t>Language to include verbatim in your own proposal, adjusted for your organization: "The Foundation's grant is made to Two Rivers Scholarship Fund, a 501(c)(3) public charity, which undertakes and controls the scholarship program and retains full control over the selection of recipients under the written procedure described in Section 8 of this proposal. The Fund does not act as an agent or conduit for the Foundation in the selection of any recipient." Nothing in this document is legal or tax advice; confirm the framing with your own counsel and give the funder's counsel what they ask for.</w:t>
            </w:r>
          </w:p>
        </w:tc>
      </w:tr>
    </w:tbl>
    <w:p/>
    <w:p>
      <w:pPr>
        <w:pStyle w:val="Heading1"/>
      </w:pPr>
      <w:r>
        <w:t>9. Application Question Set and Required Documents</w:t>
      </w:r>
    </w:p>
    <w:p>
      <w:pPr>
        <w:pStyle w:val="AdaptationNote"/>
      </w:pPr>
      <w:r>
        <w:t>Adapt this section: Attach this as an appendix, or paste it into your online form. Keep the written responses short and specific. Long open-ended essays reward polish rather than need, and they take reviewer time that is better spent on the files at the funding line.</w:t>
      </w:r>
    </w:p>
    <w:p>
      <w:pPr>
        <w:pStyle w:val="Heading2"/>
      </w:pPr>
      <w:r>
        <w:t>9.1 Section one, identity and eligibility</w:t>
      </w:r>
    </w:p>
    <w:p>
      <w:pPr>
        <w:pStyle w:val="ListBullet"/>
      </w:pPr>
      <w:r>
        <w:t>Legal name, preferred name, date of birth, mailing address, phone, and an email address the applicant will still have in August.</w:t>
      </w:r>
    </w:p>
    <w:p>
      <w:pPr>
        <w:pStyle w:val="ListBullet"/>
      </w:pPr>
      <w:r>
        <w:t>High school and expected graduation date.</w:t>
      </w:r>
    </w:p>
    <w:p>
      <w:pPr>
        <w:pStyle w:val="ListBullet"/>
      </w:pPr>
      <w:r>
        <w:t>Years of continuous district residency.</w:t>
      </w:r>
    </w:p>
    <w:p>
      <w:pPr>
        <w:pStyle w:val="ListBullet"/>
      </w:pPr>
      <w:r>
        <w:t>First-generation attestation: has either parent or guardian completed a postsecondary credential? Yes, no, or unknown.</w:t>
      </w:r>
    </w:p>
    <w:p>
      <w:pPr>
        <w:pStyle w:val="ListBullet"/>
      </w:pPr>
      <w:r>
        <w:t>A second contact who will know how to reach the applicant after graduation.</w:t>
      </w:r>
    </w:p>
    <w:p>
      <w:pPr>
        <w:pStyle w:val="Heading2"/>
      </w:pPr>
      <w:r>
        <w:t>9.2 Section two, institution and program</w:t>
      </w:r>
    </w:p>
    <w:p>
      <w:pPr>
        <w:pStyle w:val="ListBullet"/>
      </w:pPr>
      <w:r>
        <w:t>Institution name and campus.</w:t>
      </w:r>
    </w:p>
    <w:p>
      <w:pPr>
        <w:pStyle w:val="ListBullet"/>
      </w:pPr>
      <w:r>
        <w:t>Program of study and credential sought.</w:t>
      </w:r>
    </w:p>
    <w:p>
      <w:pPr>
        <w:pStyle w:val="ListBullet"/>
      </w:pPr>
      <w:r>
        <w:t>Enrollment intensity: full time, three-quarter time, or half time.</w:t>
      </w:r>
    </w:p>
    <w:p>
      <w:pPr>
        <w:pStyle w:val="ListBullet"/>
      </w:pPr>
      <w:r>
        <w:t>First term of enrollment.</w:t>
      </w:r>
    </w:p>
    <w:p>
      <w:pPr>
        <w:pStyle w:val="ListBullet"/>
      </w:pPr>
      <w:r>
        <w:t>Student identification number, if the institution has issued one.</w:t>
      </w:r>
    </w:p>
    <w:p>
      <w:pPr>
        <w:pStyle w:val="ListBullet"/>
      </w:pPr>
      <w:r>
        <w:t>Whether the applicant has committed to this institution, and the commitment deadline.</w:t>
      </w:r>
    </w:p>
    <w:p>
      <w:pPr>
        <w:pStyle w:val="Heading2"/>
      </w:pPr>
      <w:r>
        <w:t>9.3 Section three, cost and aid</w:t>
      </w:r>
    </w:p>
    <w:p>
      <w:pPr>
        <w:pStyle w:val="ListBullet"/>
      </w:pPr>
      <w:r>
        <w:t>Published cost of attendance from the institutional award letter.</w:t>
      </w:r>
    </w:p>
    <w:p>
      <w:pPr>
        <w:pStyle w:val="ListBullet"/>
      </w:pPr>
      <w:r>
        <w:t>Itemized committed aid: federal and state grants, institutional grants and scholarships, outside scholarships already awarded, and work-study.</w:t>
      </w:r>
    </w:p>
    <w:p>
      <w:pPr>
        <w:pStyle w:val="ListBullet"/>
      </w:pPr>
      <w:r>
        <w:t>Student Aid Index from the FAFSA Submission Summary, or the institutional aid determination if the applicant cannot file a FAFSA.</w:t>
      </w:r>
    </w:p>
    <w:p>
      <w:pPr>
        <w:pStyle w:val="ListBullet"/>
      </w:pPr>
      <w:r>
        <w:t>Loans offered, listed separately, and whether the applicant intends to accept them.</w:t>
      </w:r>
    </w:p>
    <w:p>
      <w:pPr>
        <w:pStyle w:val="ListBullet"/>
      </w:pPr>
      <w:r>
        <w:t>Expected family contribution toward the year, in dollars.</w:t>
      </w:r>
    </w:p>
    <w:p>
      <w:pPr>
        <w:pStyle w:val="ListBullet"/>
      </w:pPr>
      <w:r>
        <w:t>Remaining unmet cost, computed by the applicant and re-computed by staff from the documents.</w:t>
      </w:r>
    </w:p>
    <w:p>
      <w:pPr>
        <w:pStyle w:val="Heading2"/>
      </w:pPr>
      <w:r>
        <w:t>9.4 Section four, persistence plan</w:t>
      </w:r>
    </w:p>
    <w:p>
      <w:r>
        <w:t>Three written responses, 250 words each, scored blind against the anchors in Section 8.3. The prompts are deliberately concrete.</w:t>
      </w:r>
    </w:p>
    <w:p>
      <w:pPr>
        <w:pStyle w:val="ListNumber"/>
      </w:pPr>
      <w:r>
        <w:t>Name one specific thing that could stop you from finishing your first year, and describe what you would do about it.</w:t>
      </w:r>
    </w:p>
    <w:p>
      <w:pPr>
        <w:pStyle w:val="ListNumber"/>
      </w:pPr>
      <w:r>
        <w:t>Name one support at your institution that you have already identified, describe how you found it, and say when you will first use it.</w:t>
      </w:r>
    </w:p>
    <w:p>
      <w:pPr>
        <w:pStyle w:val="ListNumber"/>
      </w:pPr>
      <w:r>
        <w:t>Describe what you will do in the first two weeks of your first term to set up your class schedule, your transportation, and your work hours.</w:t>
      </w:r>
    </w:p>
    <w:p>
      <w:pPr>
        <w:pStyle w:val="Heading2"/>
      </w:pPr>
      <w:r>
        <w:t>9.5 Section five, required documents</w:t>
      </w:r>
    </w:p>
    <w:p>
      <w:pPr>
        <w:pStyle w:val="ListBullet"/>
      </w:pPr>
      <w:r>
        <w:t>Official or counselor-certified high school transcript with cumulative grade point average.</w:t>
      </w:r>
    </w:p>
    <w:p>
      <w:pPr>
        <w:pStyle w:val="ListBullet"/>
      </w:pPr>
      <w:r>
        <w:t>Institutional financial aid award letter for the 2027-28 year.</w:t>
      </w:r>
    </w:p>
    <w:p>
      <w:pPr>
        <w:pStyle w:val="ListBullet"/>
      </w:pPr>
      <w:r>
        <w:t>FAFSA Submission Summary showing the Student Aid Index, or an institutional aid determination or state alternative aid application.</w:t>
      </w:r>
    </w:p>
    <w:p>
      <w:pPr>
        <w:pStyle w:val="ListBullet"/>
      </w:pPr>
      <w:r>
        <w:t>Proof of district address, such as a district enrollment record or a utility bill.</w:t>
      </w:r>
    </w:p>
    <w:p>
      <w:pPr>
        <w:pStyle w:val="ListBullet"/>
      </w:pPr>
      <w:r>
        <w:t>Acceptance letter or enrollment confirmation from the named institution.</w:t>
      </w:r>
    </w:p>
    <w:p>
      <w:pPr>
        <w:pStyle w:val="ListBullet"/>
      </w:pPr>
      <w:r>
        <w:t>One completed structured recommender form, submitted directly by the recommender (Appendix B).</w:t>
      </w:r>
    </w:p>
    <w:p>
      <w:pPr>
        <w:pStyle w:val="Heading2"/>
      </w:pPr>
      <w:r>
        <w:t>9.6 Section six, consents</w:t>
      </w:r>
    </w:p>
    <w:p>
      <w:pPr>
        <w:pStyle w:val="ListBullet"/>
      </w:pPr>
      <w:r>
        <w:t>Enrollment and degree verification consent, authorizing the Fund to verify enrollment, credits earned, and credential completion for four years after the first award (Appendix A, part 6).</w:t>
      </w:r>
    </w:p>
    <w:p>
      <w:pPr>
        <w:pStyle w:val="ListBullet"/>
      </w:pPr>
      <w:r>
        <w:t>Transcript release for the institution attended, limited to enrollment status and credits earned.</w:t>
      </w:r>
    </w:p>
    <w:p>
      <w:pPr>
        <w:pStyle w:val="ListBullet"/>
      </w:pPr>
      <w:r>
        <w:t>Authorization for the Fund to communicate with the institution's student accounts and financial aid offices about the award.</w:t>
      </w:r>
    </w:p>
    <w:p>
      <w:pPr>
        <w:pStyle w:val="ListBullet"/>
      </w:pPr>
      <w:r>
        <w:t>Optional media release for the applicant's name, photograph, or story. This is marked optional on the form, is not scored, and is never a condition of an award.</w:t>
      </w:r>
    </w:p>
    <w:p>
      <w:pPr>
        <w:pStyle w:val="Heading1"/>
      </w:pPr>
      <w:r>
        <w:t>10. Award Terms and Conditions</w:t>
      </w:r>
    </w:p>
    <w:p>
      <w:pPr>
        <w:pStyle w:val="AdaptationNote"/>
      </w:pPr>
      <w:r>
        <w:t>Adapt this section: Every standard here is a number, not an adjective. Replace the numbers, keep the grammar. The full terms letter that a recipient signs is reproduced in Appendix A; this section is the summary that belongs in the proposal itself.</w:t>
      </w:r>
    </w:p>
    <w:p>
      <w:pPr>
        <w:pStyle w:val="Heading2"/>
      </w:pPr>
      <w:r>
        <w:t>10.1 Amount, terms, and payee</w:t>
      </w:r>
    </w:p>
    <w:p>
      <w:r>
        <w:t>Each award is $4,000 for the 2027-28 academic year, covering two terms, paid as two payments of $2,000. Payment is made to the recipient's institution, addressed to the student accounts or bursar office and referenced to the student's identification number and the term, and applied against tuition and required fees. No portion of the award is paid to the recipient directly.</w:t>
      </w:r>
    </w:p>
    <w:p>
      <w:r>
        <w:t>Splitting the award into two term payments is a control, not an inconvenience. A recipient who withdraws in December carries no spring payment, and the unspent balance returns to the award pool and is re-granted in the same cycle.</w:t>
      </w:r>
    </w:p>
    <w:tbl>
      <w:tblPr>
        <w:tblStyle w:val="LightGrid-Accent1"/>
        <w:tblW w:type="auto" w:w="0"/>
        <w:jc w:val="left"/>
        <w:tblLayout w:type="fixed"/>
        <w:tblLook w:firstColumn="1" w:firstRow="1" w:lastColumn="0" w:lastRow="0" w:noHBand="0" w:noVBand="1" w:val="04A0"/>
      </w:tblPr>
      <w:tblGrid>
        <w:gridCol w:w="2340"/>
        <w:gridCol w:w="2340"/>
        <w:gridCol w:w="2340"/>
        <w:gridCol w:w="2340"/>
      </w:tblGrid>
      <w:tr>
        <w:trPr>
          <w:tblHeader w:val="true"/>
        </w:trPr>
        <w:tc>
          <w:tcPr>
            <w:tcW w:type="dxa" w:w="1872"/>
          </w:tcPr>
          <w:p>
            <w:pPr>
              <w:spacing w:after="40" w:before="40"/>
            </w:pPr>
            <w:r>
              <w:rPr>
                <w:sz w:val="20"/>
              </w:rPr>
              <w:t>Payment</w:t>
            </w:r>
          </w:p>
        </w:tc>
        <w:tc>
          <w:tcPr>
            <w:tcW w:type="dxa" w:w="1296"/>
          </w:tcPr>
          <w:p>
            <w:pPr>
              <w:spacing w:after="40" w:before="40"/>
            </w:pPr>
            <w:r>
              <w:rPr>
                <w:sz w:val="20"/>
              </w:rPr>
              <w:t>Amount</w:t>
            </w:r>
          </w:p>
        </w:tc>
        <w:tc>
          <w:tcPr>
            <w:tcW w:type="dxa" w:w="4464"/>
          </w:tcPr>
          <w:p>
            <w:pPr>
              <w:spacing w:after="40" w:before="40"/>
            </w:pPr>
            <w:r>
              <w:rPr>
                <w:sz w:val="20"/>
              </w:rPr>
              <w:t>Released after</w:t>
            </w:r>
          </w:p>
        </w:tc>
        <w:tc>
          <w:tcPr>
            <w:tcW w:type="dxa" w:w="1728"/>
          </w:tcPr>
          <w:p>
            <w:pPr>
              <w:spacing w:after="40" w:before="40"/>
            </w:pPr>
            <w:r>
              <w:rPr>
                <w:sz w:val="20"/>
              </w:rPr>
              <w:t>Target date</w:t>
            </w:r>
          </w:p>
        </w:tc>
      </w:tr>
      <w:tr>
        <w:tc>
          <w:tcPr>
            <w:tcW w:type="dxa" w:w="1872"/>
          </w:tcPr>
          <w:p>
            <w:pPr>
              <w:spacing w:after="40" w:before="40"/>
            </w:pPr>
            <w:r>
              <w:rPr>
                <w:sz w:val="20"/>
              </w:rPr>
              <w:t>Fall 2027 term</w:t>
            </w:r>
          </w:p>
        </w:tc>
        <w:tc>
          <w:tcPr>
            <w:tcW w:type="dxa" w:w="1296"/>
          </w:tcPr>
          <w:p>
            <w:pPr>
              <w:spacing w:after="40" w:before="40"/>
            </w:pPr>
            <w:r>
              <w:rPr>
                <w:sz w:val="20"/>
              </w:rPr>
              <w:t>$2,000</w:t>
            </w:r>
          </w:p>
        </w:tc>
        <w:tc>
          <w:tcPr>
            <w:tcW w:type="dxa" w:w="4464"/>
          </w:tcPr>
          <w:p>
            <w:pPr>
              <w:spacing w:after="40" w:before="40"/>
            </w:pPr>
            <w:r>
              <w:rPr>
                <w:sz w:val="20"/>
              </w:rPr>
              <w:t>Enrollment verification showing at least half-time enrollment for the fall term</w:t>
            </w:r>
          </w:p>
        </w:tc>
        <w:tc>
          <w:tcPr>
            <w:tcW w:type="dxa" w:w="1728"/>
          </w:tcPr>
          <w:p>
            <w:pPr>
              <w:spacing w:after="40" w:before="40"/>
            </w:pPr>
            <w:r>
              <w:rPr>
                <w:sz w:val="20"/>
              </w:rPr>
              <w:t>August 21, 2027</w:t>
            </w:r>
          </w:p>
        </w:tc>
      </w:tr>
      <w:tr>
        <w:tc>
          <w:tcPr>
            <w:tcW w:type="dxa" w:w="1872"/>
          </w:tcPr>
          <w:p>
            <w:pPr>
              <w:spacing w:after="40" w:before="40"/>
            </w:pPr>
            <w:r>
              <w:rPr>
                <w:sz w:val="20"/>
              </w:rPr>
              <w:t>Spring 2028 term</w:t>
            </w:r>
          </w:p>
        </w:tc>
        <w:tc>
          <w:tcPr>
            <w:tcW w:type="dxa" w:w="1296"/>
          </w:tcPr>
          <w:p>
            <w:pPr>
              <w:spacing w:after="40" w:before="40"/>
            </w:pPr>
            <w:r>
              <w:rPr>
                <w:sz w:val="20"/>
              </w:rPr>
              <w:t>$2,000</w:t>
            </w:r>
          </w:p>
        </w:tc>
        <w:tc>
          <w:tcPr>
            <w:tcW w:type="dxa" w:w="4464"/>
          </w:tcPr>
          <w:p>
            <w:pPr>
              <w:spacing w:after="40" w:before="40"/>
            </w:pPr>
            <w:r>
              <w:rPr>
                <w:sz w:val="20"/>
              </w:rPr>
              <w:t>Confirmation of at least 12 credits earned in fall, cumulative GPA at or above 2.0, and spring registration at least half time</w:t>
            </w:r>
          </w:p>
        </w:tc>
        <w:tc>
          <w:tcPr>
            <w:tcW w:type="dxa" w:w="1728"/>
          </w:tcPr>
          <w:p>
            <w:pPr>
              <w:spacing w:after="40" w:before="40"/>
            </w:pPr>
            <w:r>
              <w:rPr>
                <w:sz w:val="20"/>
              </w:rPr>
              <w:t>December 8, 2027</w:t>
            </w:r>
          </w:p>
        </w:tc>
      </w:tr>
      <w:tr>
        <w:tc>
          <w:tcPr>
            <w:tcW w:type="dxa" w:w="1872"/>
          </w:tcPr>
          <w:p>
            <w:pPr>
              <w:spacing w:after="40" w:before="40"/>
            </w:pPr>
            <w:r>
              <w:rPr>
                <w:b/>
                <w:sz w:val="20"/>
              </w:rPr>
              <w:t>Total per recipient</w:t>
            </w:r>
          </w:p>
        </w:tc>
        <w:tc>
          <w:tcPr>
            <w:tcW w:type="dxa" w:w="1296"/>
          </w:tcPr>
          <w:p>
            <w:pPr>
              <w:spacing w:after="40" w:before="40"/>
            </w:pPr>
            <w:r>
              <w:rPr>
                <w:b/>
                <w:sz w:val="20"/>
              </w:rPr>
              <w:t>$4,000</w:t>
            </w:r>
          </w:p>
        </w:tc>
        <w:tc>
          <w:tcPr>
            <w:tcW w:type="dxa" w:w="4464"/>
          </w:tcPr>
          <w:p>
            <w:pPr>
              <w:spacing w:after="40" w:before="40"/>
            </w:pPr>
            <w:r>
              <w:rPr>
                <w:b/>
                <w:sz w:val="20"/>
              </w:rPr>
            </w:r>
          </w:p>
        </w:tc>
        <w:tc>
          <w:tcPr>
            <w:tcW w:type="dxa" w:w="1728"/>
          </w:tcPr>
          <w:p>
            <w:pPr>
              <w:spacing w:after="40" w:before="40"/>
            </w:pPr>
            <w:r>
              <w:rPr>
                <w:b/>
                <w:sz w:val="20"/>
              </w:rPr>
            </w:r>
          </w:p>
        </w:tc>
      </w:tr>
    </w:tbl>
    <w:p/>
    <w:p>
      <w:pPr>
        <w:pStyle w:val="Heading2"/>
      </w:pPr>
      <w:r>
        <w:t>10.2 Renewal standard</w:t>
      </w:r>
    </w:p>
    <w:p>
      <w:r>
        <w:t>The standard for releasing the spring payment, and for eligibility to apply for a second-year award in a subsequent cycle, is stated in numbers so that no recipient has to guess and no staff member has to decide case by case.</w:t>
      </w:r>
    </w:p>
    <w:p>
      <w:pPr>
        <w:pStyle w:val="ListBullet"/>
      </w:pPr>
      <w:r>
        <w:t>Continuous enrollment at least half time, with no term of unapproved non-enrollment.</w:t>
      </w:r>
    </w:p>
    <w:p>
      <w:pPr>
        <w:pStyle w:val="ListBullet"/>
      </w:pPr>
      <w:r>
        <w:t>At least 12 credits earned in the fall term for a full-time recipient, or 6 credits for a half-time recipient.</w:t>
      </w:r>
    </w:p>
    <w:p>
      <w:pPr>
        <w:pStyle w:val="ListBullet"/>
      </w:pPr>
      <w:r>
        <w:t>Cumulative grade point average at or above 2.0 on a 4.0 scale.</w:t>
      </w:r>
    </w:p>
    <w:p>
      <w:pPr>
        <w:pStyle w:val="ListBullet"/>
      </w:pPr>
      <w:r>
        <w:t>For a second-year award: at least 24 credits earned across the academic year, cumulative grade point average at or above 2.0, and at least one completed coaching contact per term.</w:t>
      </w:r>
    </w:p>
    <w:p>
      <w:pPr>
        <w:pStyle w:val="ListBullet"/>
      </w:pPr>
      <w:r>
        <w:t>A recipient who falls below the standard is placed on one term of continued eligibility with a documented plan agreed with the completion advisor, rather than being removed immediately. Removal follows only a second consecutive term below the standard.</w:t>
      </w:r>
    </w:p>
    <w:p>
      <w:r>
        <w:t>The one-term grace provision exists because the most common cause of a first-term stumble in this population is a work schedule collision or a delayed aid disbursement, both of which are fixable, and neither of which is improved by removing the award.</w:t>
      </w:r>
    </w:p>
    <w:p>
      <w:pPr>
        <w:pStyle w:val="Heading2"/>
      </w:pPr>
      <w:r>
        <w:t>10.3 Displacement coordination</w:t>
      </w:r>
    </w:p>
    <w:p>
      <w:r>
        <w:t>An outside award that causes the institution to reduce its own grant aid leaves the student no better off. The Fund includes a written request with every disbursement, reproduced in Appendix D, asking the institution to apply the award first against unmet need and loan amounts before reducing any institutional grant aid, to the extent the institution's packaging policy and federal rules permit.</w:t>
      </w:r>
    </w:p>
    <w:p>
      <w:r>
        <w:t>The Fund also asks each recipient's financial aid office for a copy of its outside scholarship policy and keeps it in the file. Where an institution's policy displaces institutional grant aid dollar for dollar and will not vary, the Fund tells the applicant before they accept, so that the student can decide with full information.</w:t>
      </w:r>
    </w:p>
    <w:p>
      <w:pPr>
        <w:pStyle w:val="Heading2"/>
      </w:pPr>
      <w:r>
        <w:t>10.4 Changes, leave, and withdrawal</w:t>
      </w:r>
    </w:p>
    <w:p>
      <w:pPr>
        <w:pStyle w:val="ListBullet"/>
      </w:pPr>
      <w:r>
        <w:t>A recipient reports a change of institution, a change in enrollment intensity, or a withdrawal within 15 days.</w:t>
      </w:r>
    </w:p>
    <w:p>
      <w:pPr>
        <w:pStyle w:val="ListBullet"/>
      </w:pPr>
      <w:r>
        <w:t>The award transfers once with the recipient to another Title IV eligible institution within the same academic year, on written notice and re-verification of enrollment.</w:t>
      </w:r>
    </w:p>
    <w:p>
      <w:pPr>
        <w:pStyle w:val="ListBullet"/>
      </w:pPr>
      <w:r>
        <w:t>On written request, the board chair may hold an award for up to two consecutive terms for a documented medical or family emergency. The held award is paid on return, within the same grant period where possible.</w:t>
      </w:r>
    </w:p>
    <w:p>
      <w:pPr>
        <w:pStyle w:val="ListBullet"/>
      </w:pPr>
      <w:r>
        <w:t>Withdrawal before the term census date: the institution returns the unused term payment and the Fund re-grants it in the same cycle.</w:t>
      </w:r>
    </w:p>
    <w:p>
      <w:pPr>
        <w:pStyle w:val="ListBullet"/>
      </w:pPr>
      <w:r>
        <w:t>Withdrawal after the census date: the payment stays applied to charges the recipient has already incurred.</w:t>
      </w:r>
    </w:p>
    <w:p>
      <w:pPr>
        <w:pStyle w:val="Heading2"/>
      </w:pPr>
      <w:r>
        <w:t>10.5 What the award does not require, and the tax note</w:t>
      </w:r>
    </w:p>
    <w:p>
      <w:r>
        <w:t>The award carries no repayment obligation, no service requirement, no employment condition, and no requirement to participate in publicity. Coaching participation is expected and is a condition of a second-year award, but no term payment is withheld because a student missed a check-in.</w:t>
      </w:r>
    </w:p>
    <w:p>
      <w:r>
        <w:t>Where the money goes has a tax consequence for the recipient, and it is fairer to say so in the award letter than to leave the student to discover it. Scholarship money is tax free when the recipient is a candidate for a degree and the funds pay tuition and fees required for enrollment, or fees, books, supplies, and equipment required for courses. Amounts used for incidental expenses such as room and board, travel, and optional equipment are taxable to the student (IRS, Topic no. 421). Because this award is paid to the institution and applied against tuition and required fees, it is structured to fall on the tax-free side. The Fund tells each recipient to keep the bursar receipt and to consult a tax preparer, and does not give tax advice.</w:t>
      </w:r>
    </w:p>
    <w:p>
      <w:pPr>
        <w:pStyle w:val="Heading1"/>
      </w:pPr>
      <w:r>
        <w:t>11. Disbursement Plan: How the Money Reaches a Student</w:t>
      </w:r>
    </w:p>
    <w:p>
      <w:pPr>
        <w:pStyle w:val="AdaptationNote"/>
      </w:pPr>
      <w:r>
        <w:t>Adapt this section: If your funder asks only one operational question, it will be this one. Describe the path the money takes and the evidence retained at each handoff. Replace the payment mechanics with whatever your fiscal process actually is.</w:t>
      </w:r>
    </w:p>
    <w:p>
      <w:r>
        <w:t>Money moves in four steps: the funder pays the Fund; the Fund holds award dollars in a restricted award pool; the Fund pays each institution's student accounts office; the institution applies the payment to the student's account against tuition and required fees. The student never receives a check, and no award dollar leaves the Fund without an enrollment verification for the term it pays.</w:t>
      </w:r>
    </w:p>
    <w:p>
      <w:r>
        <w:t>Each payment carries a remittance advice naming the recipient, the student identification number, the term, the amount, and the instruction that the payment be applied to tuition and required fees. Payments go by ACH where the institution supports it and by check where it does not. The Fund reconciles each payment against a bursar receipt or account statement showing the line the payment was applied to, and follows up within ten business days on any payment that has not posted.</w:t>
      </w:r>
    </w:p>
    <w:tbl>
      <w:tblPr>
        <w:tblStyle w:val="LightGrid-Accent1"/>
        <w:tblW w:type="auto" w:w="0"/>
        <w:jc w:val="left"/>
        <w:tblLayout w:type="fixed"/>
        <w:tblLook w:firstColumn="1" w:firstRow="1" w:lastColumn="0" w:lastRow="0" w:noHBand="0" w:noVBand="1" w:val="04A0"/>
      </w:tblPr>
      <w:tblGrid>
        <w:gridCol w:w="3120"/>
        <w:gridCol w:w="3120"/>
        <w:gridCol w:w="3120"/>
      </w:tblGrid>
      <w:tr>
        <w:trPr>
          <w:tblHeader w:val="true"/>
        </w:trPr>
        <w:tc>
          <w:tcPr>
            <w:tcW w:type="dxa" w:w="3600"/>
          </w:tcPr>
          <w:p>
            <w:pPr>
              <w:spacing w:after="40" w:before="40"/>
            </w:pPr>
            <w:r>
              <w:rPr>
                <w:sz w:val="20"/>
              </w:rPr>
              <w:t>Control point</w:t>
            </w:r>
          </w:p>
        </w:tc>
        <w:tc>
          <w:tcPr>
            <w:tcW w:type="dxa" w:w="2592"/>
          </w:tcPr>
          <w:p>
            <w:pPr>
              <w:spacing w:after="40" w:before="40"/>
            </w:pPr>
            <w:r>
              <w:rPr>
                <w:sz w:val="20"/>
              </w:rPr>
              <w:t>Performed by</w:t>
            </w:r>
          </w:p>
        </w:tc>
        <w:tc>
          <w:tcPr>
            <w:tcW w:type="dxa" w:w="3168"/>
          </w:tcPr>
          <w:p>
            <w:pPr>
              <w:spacing w:after="40" w:before="40"/>
            </w:pPr>
            <w:r>
              <w:rPr>
                <w:sz w:val="20"/>
              </w:rPr>
              <w:t>Evidence retained</w:t>
            </w:r>
          </w:p>
        </w:tc>
      </w:tr>
      <w:tr>
        <w:tc>
          <w:tcPr>
            <w:tcW w:type="dxa" w:w="3600"/>
          </w:tcPr>
          <w:p>
            <w:pPr>
              <w:spacing w:after="40" w:before="40"/>
            </w:pPr>
            <w:r>
              <w:rPr>
                <w:sz w:val="20"/>
              </w:rPr>
              <w:t>Eligibility documentation confirmed complete</w:t>
            </w:r>
          </w:p>
        </w:tc>
        <w:tc>
          <w:tcPr>
            <w:tcW w:type="dxa" w:w="2592"/>
          </w:tcPr>
          <w:p>
            <w:pPr>
              <w:spacing w:after="40" w:before="40"/>
            </w:pPr>
            <w:r>
              <w:rPr>
                <w:sz w:val="20"/>
              </w:rPr>
              <w:t>Program coordinator</w:t>
            </w:r>
          </w:p>
        </w:tc>
        <w:tc>
          <w:tcPr>
            <w:tcW w:type="dxa" w:w="3168"/>
          </w:tcPr>
          <w:p>
            <w:pPr>
              <w:spacing w:after="40" w:before="40"/>
            </w:pPr>
            <w:r>
              <w:rPr>
                <w:sz w:val="20"/>
              </w:rPr>
              <w:t>Signed and dated document checklist in the file</w:t>
            </w:r>
          </w:p>
        </w:tc>
      </w:tr>
      <w:tr>
        <w:tc>
          <w:tcPr>
            <w:tcW w:type="dxa" w:w="3600"/>
          </w:tcPr>
          <w:p>
            <w:pPr>
              <w:spacing w:after="40" w:before="40"/>
            </w:pPr>
            <w:r>
              <w:rPr>
                <w:sz w:val="20"/>
              </w:rPr>
              <w:t>Terms letter countersigned and returned</w:t>
            </w:r>
          </w:p>
        </w:tc>
        <w:tc>
          <w:tcPr>
            <w:tcW w:type="dxa" w:w="2592"/>
          </w:tcPr>
          <w:p>
            <w:pPr>
              <w:spacing w:after="40" w:before="40"/>
            </w:pPr>
            <w:r>
              <w:rPr>
                <w:sz w:val="20"/>
              </w:rPr>
              <w:t>Recipient</w:t>
            </w:r>
          </w:p>
        </w:tc>
        <w:tc>
          <w:tcPr>
            <w:tcW w:type="dxa" w:w="3168"/>
          </w:tcPr>
          <w:p>
            <w:pPr>
              <w:spacing w:after="40" w:before="40"/>
            </w:pPr>
            <w:r>
              <w:rPr>
                <w:sz w:val="20"/>
              </w:rPr>
              <w:t>Signed terms letter and verification consent</w:t>
            </w:r>
          </w:p>
        </w:tc>
      </w:tr>
      <w:tr>
        <w:tc>
          <w:tcPr>
            <w:tcW w:type="dxa" w:w="3600"/>
          </w:tcPr>
          <w:p>
            <w:pPr>
              <w:spacing w:after="40" w:before="40"/>
            </w:pPr>
            <w:r>
              <w:rPr>
                <w:sz w:val="20"/>
              </w:rPr>
              <w:t>Enrollment verified for the term</w:t>
            </w:r>
          </w:p>
        </w:tc>
        <w:tc>
          <w:tcPr>
            <w:tcW w:type="dxa" w:w="2592"/>
          </w:tcPr>
          <w:p>
            <w:pPr>
              <w:spacing w:after="40" w:before="40"/>
            </w:pPr>
            <w:r>
              <w:rPr>
                <w:sz w:val="20"/>
              </w:rPr>
              <w:t>Finance associate</w:t>
            </w:r>
          </w:p>
        </w:tc>
        <w:tc>
          <w:tcPr>
            <w:tcW w:type="dxa" w:w="3168"/>
          </w:tcPr>
          <w:p>
            <w:pPr>
              <w:spacing w:after="40" w:before="40"/>
            </w:pPr>
            <w:r>
              <w:rPr>
                <w:sz w:val="20"/>
              </w:rPr>
              <w:t>Enrollment verification record from the institution</w:t>
            </w:r>
          </w:p>
        </w:tc>
      </w:tr>
      <w:tr>
        <w:tc>
          <w:tcPr>
            <w:tcW w:type="dxa" w:w="3600"/>
          </w:tcPr>
          <w:p>
            <w:pPr>
              <w:spacing w:after="40" w:before="40"/>
            </w:pPr>
            <w:r>
              <w:rPr>
                <w:sz w:val="20"/>
              </w:rPr>
              <w:t>Payment prepared</w:t>
            </w:r>
          </w:p>
        </w:tc>
        <w:tc>
          <w:tcPr>
            <w:tcW w:type="dxa" w:w="2592"/>
          </w:tcPr>
          <w:p>
            <w:pPr>
              <w:spacing w:after="40" w:before="40"/>
            </w:pPr>
            <w:r>
              <w:rPr>
                <w:sz w:val="20"/>
              </w:rPr>
              <w:t>Finance associate</w:t>
            </w:r>
          </w:p>
        </w:tc>
        <w:tc>
          <w:tcPr>
            <w:tcW w:type="dxa" w:w="3168"/>
          </w:tcPr>
          <w:p>
            <w:pPr>
              <w:spacing w:after="40" w:before="40"/>
            </w:pPr>
            <w:r>
              <w:rPr>
                <w:sz w:val="20"/>
              </w:rPr>
              <w:t>Payment request with remittance detail</w:t>
            </w:r>
          </w:p>
        </w:tc>
      </w:tr>
      <w:tr>
        <w:tc>
          <w:tcPr>
            <w:tcW w:type="dxa" w:w="3600"/>
          </w:tcPr>
          <w:p>
            <w:pPr>
              <w:spacing w:after="40" w:before="40"/>
            </w:pPr>
            <w:r>
              <w:rPr>
                <w:sz w:val="20"/>
              </w:rPr>
              <w:t>Payment authorized</w:t>
            </w:r>
          </w:p>
        </w:tc>
        <w:tc>
          <w:tcPr>
            <w:tcW w:type="dxa" w:w="2592"/>
          </w:tcPr>
          <w:p>
            <w:pPr>
              <w:spacing w:after="40" w:before="40"/>
            </w:pPr>
            <w:r>
              <w:rPr>
                <w:sz w:val="20"/>
              </w:rPr>
              <w:t>Board treasurer or executive director</w:t>
            </w:r>
          </w:p>
        </w:tc>
        <w:tc>
          <w:tcPr>
            <w:tcW w:type="dxa" w:w="3168"/>
          </w:tcPr>
          <w:p>
            <w:pPr>
              <w:spacing w:after="40" w:before="40"/>
            </w:pPr>
            <w:r>
              <w:rPr>
                <w:sz w:val="20"/>
              </w:rPr>
              <w:t>Countersignature or dual approval record</w:t>
            </w:r>
          </w:p>
        </w:tc>
      </w:tr>
      <w:tr>
        <w:tc>
          <w:tcPr>
            <w:tcW w:type="dxa" w:w="3600"/>
          </w:tcPr>
          <w:p>
            <w:pPr>
              <w:spacing w:after="40" w:before="40"/>
            </w:pPr>
            <w:r>
              <w:rPr>
                <w:sz w:val="20"/>
              </w:rPr>
              <w:t>Payment posted to the student account</w:t>
            </w:r>
          </w:p>
        </w:tc>
        <w:tc>
          <w:tcPr>
            <w:tcW w:type="dxa" w:w="2592"/>
          </w:tcPr>
          <w:p>
            <w:pPr>
              <w:spacing w:after="40" w:before="40"/>
            </w:pPr>
            <w:r>
              <w:rPr>
                <w:sz w:val="20"/>
              </w:rPr>
              <w:t>Institution</w:t>
            </w:r>
          </w:p>
        </w:tc>
        <w:tc>
          <w:tcPr>
            <w:tcW w:type="dxa" w:w="3168"/>
          </w:tcPr>
          <w:p>
            <w:pPr>
              <w:spacing w:after="40" w:before="40"/>
            </w:pPr>
            <w:r>
              <w:rPr>
                <w:sz w:val="20"/>
              </w:rPr>
              <w:t>Bursar receipt or student account statement</w:t>
            </w:r>
          </w:p>
        </w:tc>
      </w:tr>
      <w:tr>
        <w:tc>
          <w:tcPr>
            <w:tcW w:type="dxa" w:w="3600"/>
          </w:tcPr>
          <w:p>
            <w:pPr>
              <w:spacing w:after="40" w:before="40"/>
            </w:pPr>
            <w:r>
              <w:rPr>
                <w:sz w:val="20"/>
              </w:rPr>
              <w:t>Application to tuition and required fees confirmed</w:t>
            </w:r>
          </w:p>
        </w:tc>
        <w:tc>
          <w:tcPr>
            <w:tcW w:type="dxa" w:w="2592"/>
          </w:tcPr>
          <w:p>
            <w:pPr>
              <w:spacing w:after="40" w:before="40"/>
            </w:pPr>
            <w:r>
              <w:rPr>
                <w:sz w:val="20"/>
              </w:rPr>
              <w:t>Program coordinator</w:t>
            </w:r>
          </w:p>
        </w:tc>
        <w:tc>
          <w:tcPr>
            <w:tcW w:type="dxa" w:w="3168"/>
          </w:tcPr>
          <w:p>
            <w:pPr>
              <w:spacing w:after="40" w:before="40"/>
            </w:pPr>
            <w:r>
              <w:rPr>
                <w:sz w:val="20"/>
              </w:rPr>
              <w:t>Line detail on the bursar receipt</w:t>
            </w:r>
          </w:p>
        </w:tc>
      </w:tr>
      <w:tr>
        <w:tc>
          <w:tcPr>
            <w:tcW w:type="dxa" w:w="3600"/>
          </w:tcPr>
          <w:p>
            <w:pPr>
              <w:spacing w:after="40" w:before="40"/>
            </w:pPr>
            <w:r>
              <w:rPr>
                <w:sz w:val="20"/>
              </w:rPr>
              <w:t>Unused balance returned and re-granted</w:t>
            </w:r>
          </w:p>
        </w:tc>
        <w:tc>
          <w:tcPr>
            <w:tcW w:type="dxa" w:w="2592"/>
          </w:tcPr>
          <w:p>
            <w:pPr>
              <w:spacing w:after="40" w:before="40"/>
            </w:pPr>
            <w:r>
              <w:rPr>
                <w:sz w:val="20"/>
              </w:rPr>
              <w:t>Institution, then Fund</w:t>
            </w:r>
          </w:p>
        </w:tc>
        <w:tc>
          <w:tcPr>
            <w:tcW w:type="dxa" w:w="3168"/>
          </w:tcPr>
          <w:p>
            <w:pPr>
              <w:spacing w:after="40" w:before="40"/>
            </w:pPr>
            <w:r>
              <w:rPr>
                <w:sz w:val="20"/>
              </w:rPr>
              <w:t>Refund remittance and re-grant memo to the file</w:t>
            </w:r>
          </w:p>
        </w:tc>
      </w:tr>
    </w:tbl>
    <w:p/>
    <w:p>
      <w:r>
        <w:t>Preparation and authorization are separate roles, and no individual performs both on the same payment. This is the control an auditor asks about first, and it costs nothing to put in the proposal.</w:t>
      </w:r>
    </w:p>
    <w:p>
      <w:pPr>
        <w:pStyle w:val="Heading1"/>
      </w:pPr>
      <w:r>
        <w:t>12. Budget</w:t>
      </w:r>
    </w:p>
    <w:p>
      <w:pPr>
        <w:pStyle w:val="AdaptationNote"/>
      </w:pPr>
      <w:r>
        <w:t>Adapt this section: Reviewers judge a scholarship budget on one ratio before anything else: how much of the request reaches students. Show the share column on the face of the table rather than burying it in narrative. If the funder supplies a budget form, reproduce these lines on their form and attach this table as the narrative.</w:t>
      </w:r>
    </w:p>
    <w:tbl>
      <w:tblPr>
        <w:tblStyle w:val="LightGrid-Accent1"/>
        <w:tblW w:type="auto" w:w="0"/>
        <w:jc w:val="left"/>
        <w:tblLayout w:type="fixed"/>
        <w:tblLook w:firstColumn="1" w:firstRow="1" w:lastColumn="0" w:lastRow="0" w:noHBand="0" w:noVBand="1" w:val="04A0"/>
      </w:tblPr>
      <w:tblGrid>
        <w:gridCol w:w="3120"/>
        <w:gridCol w:w="3120"/>
        <w:gridCol w:w="3120"/>
      </w:tblGrid>
      <w:tr>
        <w:trPr>
          <w:tblHeader w:val="true"/>
        </w:trPr>
        <w:tc>
          <w:tcPr>
            <w:tcW w:type="dxa" w:w="5328"/>
          </w:tcPr>
          <w:p>
            <w:pPr>
              <w:spacing w:after="40" w:before="40"/>
            </w:pPr>
            <w:r>
              <w:rPr>
                <w:sz w:val="20"/>
              </w:rPr>
              <w:t>Line item</w:t>
            </w:r>
          </w:p>
        </w:tc>
        <w:tc>
          <w:tcPr>
            <w:tcW w:type="dxa" w:w="2016"/>
          </w:tcPr>
          <w:p>
            <w:pPr>
              <w:spacing w:after="40" w:before="40"/>
            </w:pPr>
            <w:r>
              <w:rPr>
                <w:sz w:val="20"/>
              </w:rPr>
              <w:t>Amount</w:t>
            </w:r>
          </w:p>
        </w:tc>
        <w:tc>
          <w:tcPr>
            <w:tcW w:type="dxa" w:w="2016"/>
          </w:tcPr>
          <w:p>
            <w:pPr>
              <w:spacing w:after="40" w:before="40"/>
            </w:pPr>
            <w:r>
              <w:rPr>
                <w:sz w:val="20"/>
              </w:rPr>
              <w:t>Share of request</w:t>
            </w:r>
          </w:p>
        </w:tc>
      </w:tr>
      <w:tr>
        <w:tc>
          <w:tcPr>
            <w:tcW w:type="dxa" w:w="5328"/>
          </w:tcPr>
          <w:p>
            <w:pPr>
              <w:spacing w:after="40" w:before="40"/>
            </w:pPr>
            <w:r>
              <w:rPr>
                <w:sz w:val="20"/>
              </w:rPr>
              <w:t>Student awards (30 x $4,000)</w:t>
            </w:r>
          </w:p>
        </w:tc>
        <w:tc>
          <w:tcPr>
            <w:tcW w:type="dxa" w:w="2016"/>
          </w:tcPr>
          <w:p>
            <w:pPr>
              <w:spacing w:after="40" w:before="40"/>
            </w:pPr>
            <w:r>
              <w:rPr>
                <w:sz w:val="20"/>
              </w:rPr>
              <w:t>$120,000</w:t>
            </w:r>
          </w:p>
        </w:tc>
        <w:tc>
          <w:tcPr>
            <w:tcW w:type="dxa" w:w="2016"/>
          </w:tcPr>
          <w:p>
            <w:pPr>
              <w:spacing w:after="40" w:before="40"/>
            </w:pPr>
            <w:r>
              <w:rPr>
                <w:sz w:val="20"/>
              </w:rPr>
              <w:t>80.0%</w:t>
            </w:r>
          </w:p>
        </w:tc>
      </w:tr>
      <w:tr>
        <w:tc>
          <w:tcPr>
            <w:tcW w:type="dxa" w:w="5328"/>
          </w:tcPr>
          <w:p>
            <w:pPr>
              <w:spacing w:after="40" w:before="40"/>
            </w:pPr>
            <w:r>
              <w:rPr>
                <w:sz w:val="20"/>
              </w:rPr>
              <w:t>Completion coaching (0.4 FTE advisor)</w:t>
            </w:r>
          </w:p>
        </w:tc>
        <w:tc>
          <w:tcPr>
            <w:tcW w:type="dxa" w:w="2016"/>
          </w:tcPr>
          <w:p>
            <w:pPr>
              <w:spacing w:after="40" w:before="40"/>
            </w:pPr>
            <w:r>
              <w:rPr>
                <w:sz w:val="20"/>
              </w:rPr>
              <w:t>$18,000</w:t>
            </w:r>
          </w:p>
        </w:tc>
        <w:tc>
          <w:tcPr>
            <w:tcW w:type="dxa" w:w="2016"/>
          </w:tcPr>
          <w:p>
            <w:pPr>
              <w:spacing w:after="40" w:before="40"/>
            </w:pPr>
            <w:r>
              <w:rPr>
                <w:sz w:val="20"/>
              </w:rPr>
              <w:t>12.0%</w:t>
            </w:r>
          </w:p>
        </w:tc>
      </w:tr>
      <w:tr>
        <w:tc>
          <w:tcPr>
            <w:tcW w:type="dxa" w:w="5328"/>
          </w:tcPr>
          <w:p>
            <w:pPr>
              <w:spacing w:after="40" w:before="40"/>
            </w:pPr>
            <w:r>
              <w:rPr>
                <w:sz w:val="20"/>
              </w:rPr>
              <w:t>Application platform and selection costs</w:t>
            </w:r>
          </w:p>
        </w:tc>
        <w:tc>
          <w:tcPr>
            <w:tcW w:type="dxa" w:w="2016"/>
          </w:tcPr>
          <w:p>
            <w:pPr>
              <w:spacing w:after="40" w:before="40"/>
            </w:pPr>
            <w:r>
              <w:rPr>
                <w:sz w:val="20"/>
              </w:rPr>
              <w:t>$4,500</w:t>
            </w:r>
          </w:p>
        </w:tc>
        <w:tc>
          <w:tcPr>
            <w:tcW w:type="dxa" w:w="2016"/>
          </w:tcPr>
          <w:p>
            <w:pPr>
              <w:spacing w:after="40" w:before="40"/>
            </w:pPr>
            <w:r>
              <w:rPr>
                <w:sz w:val="20"/>
              </w:rPr>
              <w:t>3.0%</w:t>
            </w:r>
          </w:p>
        </w:tc>
      </w:tr>
      <w:tr>
        <w:tc>
          <w:tcPr>
            <w:tcW w:type="dxa" w:w="5328"/>
          </w:tcPr>
          <w:p>
            <w:pPr>
              <w:spacing w:after="40" w:before="40"/>
            </w:pPr>
            <w:r>
              <w:rPr>
                <w:sz w:val="20"/>
              </w:rPr>
              <w:t>Enrollment verification and disbursement processing</w:t>
            </w:r>
          </w:p>
        </w:tc>
        <w:tc>
          <w:tcPr>
            <w:tcW w:type="dxa" w:w="2016"/>
          </w:tcPr>
          <w:p>
            <w:pPr>
              <w:spacing w:after="40" w:before="40"/>
            </w:pPr>
            <w:r>
              <w:rPr>
                <w:sz w:val="20"/>
              </w:rPr>
              <w:t>$2,500</w:t>
            </w:r>
          </w:p>
        </w:tc>
        <w:tc>
          <w:tcPr>
            <w:tcW w:type="dxa" w:w="2016"/>
          </w:tcPr>
          <w:p>
            <w:pPr>
              <w:spacing w:after="40" w:before="40"/>
            </w:pPr>
            <w:r>
              <w:rPr>
                <w:sz w:val="20"/>
              </w:rPr>
              <w:t>1.7%</w:t>
            </w:r>
          </w:p>
        </w:tc>
      </w:tr>
      <w:tr>
        <w:tc>
          <w:tcPr>
            <w:tcW w:type="dxa" w:w="5328"/>
          </w:tcPr>
          <w:p>
            <w:pPr>
              <w:spacing w:after="40" w:before="40"/>
            </w:pPr>
            <w:r>
              <w:rPr>
                <w:sz w:val="20"/>
              </w:rPr>
              <w:t>Outcome tracking and degree verification</w:t>
            </w:r>
          </w:p>
        </w:tc>
        <w:tc>
          <w:tcPr>
            <w:tcW w:type="dxa" w:w="2016"/>
          </w:tcPr>
          <w:p>
            <w:pPr>
              <w:spacing w:after="40" w:before="40"/>
            </w:pPr>
            <w:r>
              <w:rPr>
                <w:sz w:val="20"/>
              </w:rPr>
              <w:t>$1,800</w:t>
            </w:r>
          </w:p>
        </w:tc>
        <w:tc>
          <w:tcPr>
            <w:tcW w:type="dxa" w:w="2016"/>
          </w:tcPr>
          <w:p>
            <w:pPr>
              <w:spacing w:after="40" w:before="40"/>
            </w:pPr>
            <w:r>
              <w:rPr>
                <w:sz w:val="20"/>
              </w:rPr>
              <w:t>1.2%</w:t>
            </w:r>
          </w:p>
        </w:tc>
      </w:tr>
      <w:tr>
        <w:tc>
          <w:tcPr>
            <w:tcW w:type="dxa" w:w="5328"/>
          </w:tcPr>
          <w:p>
            <w:pPr>
              <w:spacing w:after="40" w:before="40"/>
            </w:pPr>
            <w:r>
              <w:rPr>
                <w:sz w:val="20"/>
              </w:rPr>
              <w:t>Evaluation and reporting</w:t>
            </w:r>
          </w:p>
        </w:tc>
        <w:tc>
          <w:tcPr>
            <w:tcW w:type="dxa" w:w="2016"/>
          </w:tcPr>
          <w:p>
            <w:pPr>
              <w:spacing w:after="40" w:before="40"/>
            </w:pPr>
            <w:r>
              <w:rPr>
                <w:sz w:val="20"/>
              </w:rPr>
              <w:t>$3,200</w:t>
            </w:r>
          </w:p>
        </w:tc>
        <w:tc>
          <w:tcPr>
            <w:tcW w:type="dxa" w:w="2016"/>
          </w:tcPr>
          <w:p>
            <w:pPr>
              <w:spacing w:after="40" w:before="40"/>
            </w:pPr>
            <w:r>
              <w:rPr>
                <w:sz w:val="20"/>
              </w:rPr>
              <w:t>2.1%</w:t>
            </w:r>
          </w:p>
        </w:tc>
      </w:tr>
      <w:tr>
        <w:tc>
          <w:tcPr>
            <w:tcW w:type="dxa" w:w="5328"/>
          </w:tcPr>
          <w:p>
            <w:pPr>
              <w:spacing w:after="40" w:before="40"/>
            </w:pPr>
            <w:r>
              <w:rPr>
                <w:b/>
                <w:sz w:val="20"/>
              </w:rPr>
              <w:t>Total request</w:t>
            </w:r>
          </w:p>
        </w:tc>
        <w:tc>
          <w:tcPr>
            <w:tcW w:type="dxa" w:w="2016"/>
          </w:tcPr>
          <w:p>
            <w:pPr>
              <w:spacing w:after="40" w:before="40"/>
            </w:pPr>
            <w:r>
              <w:rPr>
                <w:b/>
                <w:sz w:val="20"/>
              </w:rPr>
              <w:t>$150,000</w:t>
            </w:r>
          </w:p>
        </w:tc>
        <w:tc>
          <w:tcPr>
            <w:tcW w:type="dxa" w:w="2016"/>
          </w:tcPr>
          <w:p>
            <w:pPr>
              <w:spacing w:after="40" w:before="40"/>
            </w:pPr>
            <w:r>
              <w:rPr>
                <w:b/>
                <w:sz w:val="20"/>
              </w:rPr>
              <w:t>100%</w:t>
            </w:r>
          </w:p>
        </w:tc>
      </w:tr>
    </w:tbl>
    <w:p/>
    <w:p>
      <w:pPr>
        <w:pStyle w:val="Heading2"/>
      </w:pPr>
      <w:r>
        <w:t>12.1 Budget narrative</w:t>
      </w:r>
    </w:p>
    <w:p>
      <w:r>
        <w:t>Student awards, $120,000. Thirty awards of $4,000, each paid in two $2,000 term payments to an institution. The award size is set against the 2026 applicant pool median unmet gap of $4,180 documented in Section 6.2, not against a round number.</w:t>
      </w:r>
    </w:p>
    <w:p>
      <w:r>
        <w:t>Completion coaching, $18,000. A 0.4 FTE completion advisor at an annualized salary of $38,000, so $15,200 in salary, plus $2,800 in payroll taxes and benefits at 18.4 percent. The position carries 48 students at steady state, roughly 360 hours of direct monthly contact plus intake, notes, non-responder outreach, financial aid liaison, and the August and November verification cycles, totalling close to 800 hours.</w:t>
      </w:r>
    </w:p>
    <w:p>
      <w:r>
        <w:t>Application platform and selection costs, $4,500. Application platform subscription $2,900; transcript and document handling $700; two committee sessions including materials, room setup, and meals $500; eligibility and document verification fees $400.</w:t>
      </w:r>
    </w:p>
    <w:p>
      <w:r>
        <w:t>Enrollment verification and disbursement processing, $2,500. Finance associate time allocated to this program, 0.05 FTE, $1,420; enrollment verification service fees for 30 recipients across two terms, $720; ACH, check, and mailing costs for 60 term payments, $360.</w:t>
      </w:r>
    </w:p>
    <w:p>
      <w:r>
        <w:t>Outcome tracking and degree verification, $1,800. Degree and enrollment verification queries for the four cohorts still in the reporting window, $960; data management, record matching, and file maintenance, $840.</w:t>
      </w:r>
    </w:p>
    <w:p>
      <w:r>
        <w:t>Evaluation and reporting, $3,200. An external evaluator at 32 hours and $85 an hour, $2,720, to construct the persistence and completion analysis against institutional baselines and to review the reporting before it goes to the funder; survey and data tooling, $480.</w:t>
      </w:r>
    </w:p>
    <w:p>
      <w:pPr>
        <w:pStyle w:val="Heading2"/>
      </w:pPr>
      <w:r>
        <w:t>12.2 Restrictions and treatment of funds</w:t>
      </w:r>
    </w:p>
    <w:p>
      <w:pPr>
        <w:pStyle w:val="ListBullet"/>
      </w:pPr>
      <w:r>
        <w:t>Award dollars are restricted and cannot be reallocated to administration without written funder approval.</w:t>
      </w:r>
    </w:p>
    <w:p>
      <w:pPr>
        <w:pStyle w:val="ListBullet"/>
      </w:pPr>
      <w:r>
        <w:t>Unspent award funds returned from a mid-year withdrawal go back to the award pool and are re-granted in the same cycle, not carried to the next one.</w:t>
      </w:r>
    </w:p>
    <w:p>
      <w:pPr>
        <w:pStyle w:val="ListBullet"/>
      </w:pPr>
      <w:r>
        <w:t>Committee reviewer time is contributed and appears in the in-kind schedule below rather than in the cash request.</w:t>
      </w:r>
    </w:p>
    <w:p>
      <w:pPr>
        <w:pStyle w:val="ListBullet"/>
      </w:pPr>
      <w:r>
        <w:t>No indirect cost rate is applied. Administrative costs are itemized as direct lines so the reviewer can see each one.</w:t>
      </w:r>
    </w:p>
    <w:p>
      <w:pPr>
        <w:pStyle w:val="ListBullet"/>
      </w:pPr>
      <w:r>
        <w:t>Any award dollars remaining unawarded at the close of the grant period are returned to the funder or, on written approval, carried into the next award cycle.</w:t>
      </w:r>
    </w:p>
    <w:p>
      <w:pPr>
        <w:pStyle w:val="Heading2"/>
      </w:pPr>
      <w:r>
        <w:t>12.3 In-kind contributions</w:t>
      </w:r>
    </w:p>
    <w:tbl>
      <w:tblPr>
        <w:tblStyle w:val="LightGrid-Accent1"/>
        <w:tblW w:type="auto" w:w="0"/>
        <w:jc w:val="left"/>
        <w:tblLayout w:type="fixed"/>
        <w:tblLook w:firstColumn="1" w:firstRow="1" w:lastColumn="0" w:lastRow="0" w:noHBand="0" w:noVBand="1" w:val="04A0"/>
      </w:tblPr>
      <w:tblGrid>
        <w:gridCol w:w="3120"/>
        <w:gridCol w:w="3120"/>
        <w:gridCol w:w="3120"/>
      </w:tblGrid>
      <w:tr>
        <w:trPr>
          <w:tblHeader w:val="true"/>
        </w:trPr>
        <w:tc>
          <w:tcPr>
            <w:tcW w:type="dxa" w:w="3168"/>
          </w:tcPr>
          <w:p>
            <w:pPr>
              <w:spacing w:after="40" w:before="40"/>
            </w:pPr>
            <w:r>
              <w:rPr>
                <w:sz w:val="20"/>
              </w:rPr>
              <w:t>Contribution</w:t>
            </w:r>
          </w:p>
        </w:tc>
        <w:tc>
          <w:tcPr>
            <w:tcW w:type="dxa" w:w="4464"/>
          </w:tcPr>
          <w:p>
            <w:pPr>
              <w:spacing w:after="40" w:before="40"/>
            </w:pPr>
            <w:r>
              <w:rPr>
                <w:sz w:val="20"/>
              </w:rPr>
              <w:t>Basis</w:t>
            </w:r>
          </w:p>
        </w:tc>
        <w:tc>
          <w:tcPr>
            <w:tcW w:type="dxa" w:w="1728"/>
          </w:tcPr>
          <w:p>
            <w:pPr>
              <w:spacing w:after="40" w:before="40"/>
            </w:pPr>
            <w:r>
              <w:rPr>
                <w:sz w:val="20"/>
              </w:rPr>
              <w:t>Value</w:t>
            </w:r>
          </w:p>
        </w:tc>
      </w:tr>
      <w:tr>
        <w:tc>
          <w:tcPr>
            <w:tcW w:type="dxa" w:w="3168"/>
          </w:tcPr>
          <w:p>
            <w:pPr>
              <w:spacing w:after="40" w:before="40"/>
            </w:pPr>
            <w:r>
              <w:rPr>
                <w:sz w:val="20"/>
              </w:rPr>
              <w:t>Selection committee reviewer time</w:t>
            </w:r>
          </w:p>
        </w:tc>
        <w:tc>
          <w:tcPr>
            <w:tcW w:type="dxa" w:w="4464"/>
          </w:tcPr>
          <w:p>
            <w:pPr>
              <w:spacing w:after="40" w:before="40"/>
            </w:pPr>
            <w:r>
              <w:rPr>
                <w:sz w:val="20"/>
              </w:rPr>
              <w:t>4 reviewers x 22 hours at the Fund's stated volunteer rate of $30</w:t>
            </w:r>
          </w:p>
        </w:tc>
        <w:tc>
          <w:tcPr>
            <w:tcW w:type="dxa" w:w="1728"/>
          </w:tcPr>
          <w:p>
            <w:pPr>
              <w:spacing w:after="40" w:before="40"/>
            </w:pPr>
            <w:r>
              <w:rPr>
                <w:sz w:val="20"/>
              </w:rPr>
              <w:t>$2,640</w:t>
            </w:r>
          </w:p>
        </w:tc>
      </w:tr>
      <w:tr>
        <w:tc>
          <w:tcPr>
            <w:tcW w:type="dxa" w:w="3168"/>
          </w:tcPr>
          <w:p>
            <w:pPr>
              <w:spacing w:after="40" w:before="40"/>
            </w:pPr>
            <w:r>
              <w:rPr>
                <w:sz w:val="20"/>
              </w:rPr>
              <w:t>Meeting space for six sessions</w:t>
            </w:r>
          </w:p>
        </w:tc>
        <w:tc>
          <w:tcPr>
            <w:tcW w:type="dxa" w:w="4464"/>
          </w:tcPr>
          <w:p>
            <w:pPr>
              <w:spacing w:after="40" w:before="40"/>
            </w:pPr>
            <w:r>
              <w:rPr>
                <w:sz w:val="20"/>
              </w:rPr>
              <w:t>Donated by a community partner, $75 per session</w:t>
            </w:r>
          </w:p>
        </w:tc>
        <w:tc>
          <w:tcPr>
            <w:tcW w:type="dxa" w:w="1728"/>
          </w:tcPr>
          <w:p>
            <w:pPr>
              <w:spacing w:after="40" w:before="40"/>
            </w:pPr>
            <w:r>
              <w:rPr>
                <w:sz w:val="20"/>
              </w:rPr>
              <w:t>$450</w:t>
            </w:r>
          </w:p>
        </w:tc>
      </w:tr>
      <w:tr>
        <w:tc>
          <w:tcPr>
            <w:tcW w:type="dxa" w:w="3168"/>
          </w:tcPr>
          <w:p>
            <w:pPr>
              <w:spacing w:after="40" w:before="40"/>
            </w:pPr>
            <w:r>
              <w:rPr>
                <w:sz w:val="20"/>
              </w:rPr>
              <w:t>District counselor outreach and transcript support</w:t>
            </w:r>
          </w:p>
        </w:tc>
        <w:tc>
          <w:tcPr>
            <w:tcW w:type="dxa" w:w="4464"/>
          </w:tcPr>
          <w:p>
            <w:pPr>
              <w:spacing w:after="40" w:before="40"/>
            </w:pPr>
            <w:r>
              <w:rPr>
                <w:sz w:val="20"/>
              </w:rPr>
              <w:t>40 hours at $30</w:t>
            </w:r>
          </w:p>
        </w:tc>
        <w:tc>
          <w:tcPr>
            <w:tcW w:type="dxa" w:w="1728"/>
          </w:tcPr>
          <w:p>
            <w:pPr>
              <w:spacing w:after="40" w:before="40"/>
            </w:pPr>
            <w:r>
              <w:rPr>
                <w:sz w:val="20"/>
              </w:rPr>
              <w:t>$1,200</w:t>
            </w:r>
          </w:p>
        </w:tc>
      </w:tr>
      <w:tr>
        <w:tc>
          <w:tcPr>
            <w:tcW w:type="dxa" w:w="3168"/>
          </w:tcPr>
          <w:p>
            <w:pPr>
              <w:spacing w:after="40" w:before="40"/>
            </w:pPr>
            <w:r>
              <w:rPr>
                <w:b/>
                <w:sz w:val="20"/>
              </w:rPr>
              <w:t>Total in-kind</w:t>
            </w:r>
          </w:p>
        </w:tc>
        <w:tc>
          <w:tcPr>
            <w:tcW w:type="dxa" w:w="4464"/>
          </w:tcPr>
          <w:p>
            <w:pPr>
              <w:spacing w:after="40" w:before="40"/>
            </w:pPr>
            <w:r>
              <w:rPr>
                <w:b/>
                <w:sz w:val="20"/>
              </w:rPr>
            </w:r>
          </w:p>
        </w:tc>
        <w:tc>
          <w:tcPr>
            <w:tcW w:type="dxa" w:w="1728"/>
          </w:tcPr>
          <w:p>
            <w:pPr>
              <w:spacing w:after="40" w:before="40"/>
            </w:pPr>
            <w:r>
              <w:rPr>
                <w:b/>
                <w:sz w:val="20"/>
              </w:rPr>
              <w:t>$4,290</w:t>
            </w:r>
          </w:p>
        </w:tc>
      </w:tr>
    </w:tbl>
    <w:p/>
    <w:p>
      <w:r>
        <w:t>In-kind value is reported for transparency and is not counted as match unless the funder asks for one. If the funder requires a cash match, the Fund's own restricted award pool contributed $63,000 in the 2026-27 cycle and is the source of the match.</w:t>
      </w:r>
    </w:p>
    <w:p>
      <w:pPr>
        <w:pStyle w:val="Heading1"/>
      </w:pPr>
      <w:r>
        <w:t>13. Evaluation Plan</w:t>
      </w:r>
    </w:p>
    <w:p>
      <w:pPr>
        <w:pStyle w:val="AdaptationNote"/>
      </w:pPr>
      <w:r>
        <w:t>Adapt this section: Measure what happens after the money lands. Applications received and awards made are activity counts and belong in a separate paragraph from the outcome table. Replace the baselines with figures your own institutions supply, and name the institution that supplied each one.</w:t>
      </w:r>
    </w:p>
    <w:p>
      <w:pPr>
        <w:pStyle w:val="Heading2"/>
      </w:pPr>
      <w:r>
        <w:t>13.1 Outcome measures</w:t>
      </w:r>
    </w:p>
    <w:tbl>
      <w:tblPr>
        <w:tblStyle w:val="LightGrid-Accent1"/>
        <w:tblW w:type="auto" w:w="0"/>
        <w:jc w:val="left"/>
        <w:tblLayout w:type="fixed"/>
        <w:tblLook w:firstColumn="1" w:firstRow="1" w:lastColumn="0" w:lastRow="0" w:noHBand="0" w:noVBand="1" w:val="04A0"/>
      </w:tblPr>
      <w:tblGrid>
        <w:gridCol w:w="3120"/>
        <w:gridCol w:w="3120"/>
        <w:gridCol w:w="3120"/>
      </w:tblGrid>
      <w:tr>
        <w:trPr>
          <w:tblHeader w:val="true"/>
        </w:trPr>
        <w:tc>
          <w:tcPr>
            <w:tcW w:type="dxa" w:w="3744"/>
          </w:tcPr>
          <w:p>
            <w:pPr>
              <w:spacing w:after="40" w:before="40"/>
            </w:pPr>
            <w:r>
              <w:rPr>
                <w:sz w:val="20"/>
              </w:rPr>
              <w:t>Measure</w:t>
            </w:r>
          </w:p>
        </w:tc>
        <w:tc>
          <w:tcPr>
            <w:tcW w:type="dxa" w:w="3312"/>
          </w:tcPr>
          <w:p>
            <w:pPr>
              <w:spacing w:after="40" w:before="40"/>
            </w:pPr>
            <w:r>
              <w:rPr>
                <w:sz w:val="20"/>
              </w:rPr>
              <w:t>How it is verified</w:t>
            </w:r>
          </w:p>
        </w:tc>
        <w:tc>
          <w:tcPr>
            <w:tcW w:type="dxa" w:w="2304"/>
          </w:tcPr>
          <w:p>
            <w:pPr>
              <w:spacing w:after="40" w:before="40"/>
            </w:pPr>
            <w:r>
              <w:rPr>
                <w:sz w:val="20"/>
              </w:rPr>
              <w:t>Reporting frequency</w:t>
            </w:r>
          </w:p>
        </w:tc>
      </w:tr>
      <w:tr>
        <w:tc>
          <w:tcPr>
            <w:tcW w:type="dxa" w:w="3744"/>
          </w:tcPr>
          <w:p>
            <w:pPr>
              <w:spacing w:after="40" w:before="40"/>
            </w:pPr>
            <w:r>
              <w:rPr>
                <w:sz w:val="20"/>
              </w:rPr>
              <w:t>Fall-to-fall persistence of recipients</w:t>
            </w:r>
          </w:p>
        </w:tc>
        <w:tc>
          <w:tcPr>
            <w:tcW w:type="dxa" w:w="3312"/>
          </w:tcPr>
          <w:p>
            <w:pPr>
              <w:spacing w:after="40" w:before="40"/>
            </w:pPr>
            <w:r>
              <w:rPr>
                <w:sz w:val="20"/>
              </w:rPr>
              <w:t>Enrollment verification record</w:t>
            </w:r>
          </w:p>
        </w:tc>
        <w:tc>
          <w:tcPr>
            <w:tcW w:type="dxa" w:w="2304"/>
          </w:tcPr>
          <w:p>
            <w:pPr>
              <w:spacing w:after="40" w:before="40"/>
            </w:pPr>
            <w:r>
              <w:rPr>
                <w:sz w:val="20"/>
              </w:rPr>
              <w:t>Annual</w:t>
            </w:r>
          </w:p>
        </w:tc>
      </w:tr>
      <w:tr>
        <w:tc>
          <w:tcPr>
            <w:tcW w:type="dxa" w:w="3744"/>
          </w:tcPr>
          <w:p>
            <w:pPr>
              <w:spacing w:after="40" w:before="40"/>
            </w:pPr>
            <w:r>
              <w:rPr>
                <w:sz w:val="20"/>
              </w:rPr>
              <w:t>Credits earned per academic year</w:t>
            </w:r>
          </w:p>
        </w:tc>
        <w:tc>
          <w:tcPr>
            <w:tcW w:type="dxa" w:w="3312"/>
          </w:tcPr>
          <w:p>
            <w:pPr>
              <w:spacing w:after="40" w:before="40"/>
            </w:pPr>
            <w:r>
              <w:rPr>
                <w:sz w:val="20"/>
              </w:rPr>
              <w:t>Transcript release signed at application</w:t>
            </w:r>
          </w:p>
        </w:tc>
        <w:tc>
          <w:tcPr>
            <w:tcW w:type="dxa" w:w="2304"/>
          </w:tcPr>
          <w:p>
            <w:pPr>
              <w:spacing w:after="40" w:before="40"/>
            </w:pPr>
            <w:r>
              <w:rPr>
                <w:sz w:val="20"/>
              </w:rPr>
              <w:t>Each term</w:t>
            </w:r>
          </w:p>
        </w:tc>
      </w:tr>
      <w:tr>
        <w:tc>
          <w:tcPr>
            <w:tcW w:type="dxa" w:w="3744"/>
          </w:tcPr>
          <w:p>
            <w:pPr>
              <w:spacing w:after="40" w:before="40"/>
            </w:pPr>
            <w:r>
              <w:rPr>
                <w:sz w:val="20"/>
              </w:rPr>
              <w:t>Share of award applied to tuition and required fees</w:t>
            </w:r>
          </w:p>
        </w:tc>
        <w:tc>
          <w:tcPr>
            <w:tcW w:type="dxa" w:w="3312"/>
          </w:tcPr>
          <w:p>
            <w:pPr>
              <w:spacing w:after="40" w:before="40"/>
            </w:pPr>
            <w:r>
              <w:rPr>
                <w:sz w:val="20"/>
              </w:rPr>
              <w:t>Bursar disbursement receipt</w:t>
            </w:r>
          </w:p>
        </w:tc>
        <w:tc>
          <w:tcPr>
            <w:tcW w:type="dxa" w:w="2304"/>
          </w:tcPr>
          <w:p>
            <w:pPr>
              <w:spacing w:after="40" w:before="40"/>
            </w:pPr>
            <w:r>
              <w:rPr>
                <w:sz w:val="20"/>
              </w:rPr>
              <w:t>Each term</w:t>
            </w:r>
          </w:p>
        </w:tc>
      </w:tr>
      <w:tr>
        <w:tc>
          <w:tcPr>
            <w:tcW w:type="dxa" w:w="3744"/>
          </w:tcPr>
          <w:p>
            <w:pPr>
              <w:spacing w:after="40" w:before="40"/>
            </w:pPr>
            <w:r>
              <w:rPr>
                <w:sz w:val="20"/>
              </w:rPr>
              <w:t>Credential completion within 150 percent of program length</w:t>
            </w:r>
          </w:p>
        </w:tc>
        <w:tc>
          <w:tcPr>
            <w:tcW w:type="dxa" w:w="3312"/>
          </w:tcPr>
          <w:p>
            <w:pPr>
              <w:spacing w:after="40" w:before="40"/>
            </w:pPr>
            <w:r>
              <w:rPr>
                <w:sz w:val="20"/>
              </w:rPr>
              <w:t>Degree verification record</w:t>
            </w:r>
          </w:p>
        </w:tc>
        <w:tc>
          <w:tcPr>
            <w:tcW w:type="dxa" w:w="2304"/>
          </w:tcPr>
          <w:p>
            <w:pPr>
              <w:spacing w:after="40" w:before="40"/>
            </w:pPr>
            <w:r>
              <w:rPr>
                <w:sz w:val="20"/>
              </w:rPr>
              <w:t>Annual, four years</w:t>
            </w:r>
          </w:p>
        </w:tc>
      </w:tr>
      <w:tr>
        <w:tc>
          <w:tcPr>
            <w:tcW w:type="dxa" w:w="3744"/>
          </w:tcPr>
          <w:p>
            <w:pPr>
              <w:spacing w:after="40" w:before="40"/>
            </w:pPr>
            <w:r>
              <w:rPr>
                <w:sz w:val="20"/>
              </w:rPr>
              <w:t>Unmet gap remaining after the award</w:t>
            </w:r>
          </w:p>
        </w:tc>
        <w:tc>
          <w:tcPr>
            <w:tcW w:type="dxa" w:w="3312"/>
          </w:tcPr>
          <w:p>
            <w:pPr>
              <w:spacing w:after="40" w:before="40"/>
            </w:pPr>
            <w:r>
              <w:rPr>
                <w:sz w:val="20"/>
              </w:rPr>
              <w:t>Award letter comparison, year over year</w:t>
            </w:r>
          </w:p>
        </w:tc>
        <w:tc>
          <w:tcPr>
            <w:tcW w:type="dxa" w:w="2304"/>
          </w:tcPr>
          <w:p>
            <w:pPr>
              <w:spacing w:after="40" w:before="40"/>
            </w:pPr>
            <w:r>
              <w:rPr>
                <w:sz w:val="20"/>
              </w:rPr>
              <w:t>Annual</w:t>
            </w:r>
          </w:p>
        </w:tc>
      </w:tr>
    </w:tbl>
    <w:p/>
    <w:p>
      <w:r>
        <w:t>Every measure above is verified against a record from an institution or a verification service. None of them relies on a student answering a survey, because response rates fall fastest among exactly the students whose outcomes matter most to this analysis.</w:t>
      </w:r>
    </w:p>
    <w:p>
      <w:pPr>
        <w:pStyle w:val="Heading2"/>
      </w:pPr>
      <w:r>
        <w:t>13.2 Baselines</w:t>
      </w:r>
    </w:p>
    <w:p>
      <w:r>
        <w:t>A target with no baseline is a wish. The Fund uses the prior-cohort rate for comparable students at the institutions its recipients actually attend, supplied by the institutional research offices at those institutions and named in every report.</w:t>
      </w:r>
    </w:p>
    <w:tbl>
      <w:tblPr>
        <w:tblStyle w:val="LightGrid-Accent1"/>
        <w:tblW w:type="auto" w:w="0"/>
        <w:jc w:val="left"/>
        <w:tblLayout w:type="fixed"/>
        <w:tblLook w:firstColumn="1" w:firstRow="1" w:lastColumn="0" w:lastRow="0" w:noHBand="0" w:noVBand="1" w:val="04A0"/>
      </w:tblPr>
      <w:tblGrid>
        <w:gridCol w:w="3120"/>
        <w:gridCol w:w="3120"/>
        <w:gridCol w:w="3120"/>
      </w:tblGrid>
      <w:tr>
        <w:trPr>
          <w:tblHeader w:val="true"/>
        </w:trPr>
        <w:tc>
          <w:tcPr>
            <w:tcW w:type="dxa" w:w="3600"/>
          </w:tcPr>
          <w:p>
            <w:pPr>
              <w:spacing w:after="40" w:before="40"/>
            </w:pPr>
            <w:r>
              <w:rPr>
                <w:sz w:val="20"/>
              </w:rPr>
              <w:t>Baseline</w:t>
            </w:r>
          </w:p>
        </w:tc>
        <w:tc>
          <w:tcPr>
            <w:tcW w:type="dxa" w:w="3456"/>
          </w:tcPr>
          <w:p>
            <w:pPr>
              <w:spacing w:after="40" w:before="40"/>
            </w:pPr>
            <w:r>
              <w:rPr>
                <w:sz w:val="20"/>
              </w:rPr>
              <w:t>Source</w:t>
            </w:r>
          </w:p>
        </w:tc>
        <w:tc>
          <w:tcPr>
            <w:tcW w:type="dxa" w:w="2304"/>
          </w:tcPr>
          <w:p>
            <w:pPr>
              <w:spacing w:after="40" w:before="40"/>
            </w:pPr>
            <w:r>
              <w:rPr>
                <w:sz w:val="20"/>
              </w:rPr>
              <w:t>Value</w:t>
            </w:r>
          </w:p>
        </w:tc>
      </w:tr>
      <w:tr>
        <w:tc>
          <w:tcPr>
            <w:tcW w:type="dxa" w:w="3600"/>
          </w:tcPr>
          <w:p>
            <w:pPr>
              <w:spacing w:after="40" w:before="40"/>
            </w:pPr>
            <w:r>
              <w:rPr>
                <w:sz w:val="20"/>
              </w:rPr>
              <w:t>First-year to second-year persistence, Pell-eligible entering students</w:t>
            </w:r>
          </w:p>
        </w:tc>
        <w:tc>
          <w:tcPr>
            <w:tcW w:type="dxa" w:w="3456"/>
          </w:tcPr>
          <w:p>
            <w:pPr>
              <w:spacing w:after="40" w:before="40"/>
            </w:pPr>
            <w:r>
              <w:rPr>
                <w:sz w:val="20"/>
              </w:rPr>
              <w:t>Kestrel Valley Community College institutional research</w:t>
            </w:r>
          </w:p>
        </w:tc>
        <w:tc>
          <w:tcPr>
            <w:tcW w:type="dxa" w:w="2304"/>
          </w:tcPr>
          <w:p>
            <w:pPr>
              <w:spacing w:after="40" w:before="40"/>
            </w:pPr>
            <w:r>
              <w:rPr>
                <w:sz w:val="20"/>
              </w:rPr>
              <w:t>58 percent</w:t>
            </w:r>
          </w:p>
        </w:tc>
      </w:tr>
      <w:tr>
        <w:tc>
          <w:tcPr>
            <w:tcW w:type="dxa" w:w="3600"/>
          </w:tcPr>
          <w:p>
            <w:pPr>
              <w:spacing w:after="40" w:before="40"/>
            </w:pPr>
            <w:r>
              <w:rPr>
                <w:sz w:val="20"/>
              </w:rPr>
              <w:t>First-year to second-year persistence, Pell-eligible entering students</w:t>
            </w:r>
          </w:p>
        </w:tc>
        <w:tc>
          <w:tcPr>
            <w:tcW w:type="dxa" w:w="3456"/>
          </w:tcPr>
          <w:p>
            <w:pPr>
              <w:spacing w:after="40" w:before="40"/>
            </w:pPr>
            <w:r>
              <w:rPr>
                <w:sz w:val="20"/>
              </w:rPr>
              <w:t>Halbrook State University institutional research</w:t>
            </w:r>
          </w:p>
        </w:tc>
        <w:tc>
          <w:tcPr>
            <w:tcW w:type="dxa" w:w="2304"/>
          </w:tcPr>
          <w:p>
            <w:pPr>
              <w:spacing w:after="40" w:before="40"/>
            </w:pPr>
            <w:r>
              <w:rPr>
                <w:sz w:val="20"/>
              </w:rPr>
              <w:t>64 percent</w:t>
            </w:r>
          </w:p>
        </w:tc>
      </w:tr>
      <w:tr>
        <w:tc>
          <w:tcPr>
            <w:tcW w:type="dxa" w:w="3600"/>
          </w:tcPr>
          <w:p>
            <w:pPr>
              <w:spacing w:after="40" w:before="40"/>
            </w:pPr>
            <w:r>
              <w:rPr>
                <w:sz w:val="20"/>
              </w:rPr>
              <w:t>Fund recipient persistence, 2024-25 cohort</w:t>
            </w:r>
          </w:p>
        </w:tc>
        <w:tc>
          <w:tcPr>
            <w:tcW w:type="dxa" w:w="3456"/>
          </w:tcPr>
          <w:p>
            <w:pPr>
              <w:spacing w:after="40" w:before="40"/>
            </w:pPr>
            <w:r>
              <w:rPr>
                <w:sz w:val="20"/>
              </w:rPr>
              <w:t>Fund enrollment verification records</w:t>
            </w:r>
          </w:p>
        </w:tc>
        <w:tc>
          <w:tcPr>
            <w:tcW w:type="dxa" w:w="2304"/>
          </w:tcPr>
          <w:p>
            <w:pPr>
              <w:spacing w:after="40" w:before="40"/>
            </w:pPr>
            <w:r>
              <w:rPr>
                <w:sz w:val="20"/>
              </w:rPr>
              <w:t>75 percent (9 of 12)</w:t>
            </w:r>
          </w:p>
        </w:tc>
      </w:tr>
      <w:tr>
        <w:tc>
          <w:tcPr>
            <w:tcW w:type="dxa" w:w="3600"/>
          </w:tcPr>
          <w:p>
            <w:pPr>
              <w:spacing w:after="40" w:before="40"/>
            </w:pPr>
            <w:r>
              <w:rPr>
                <w:sz w:val="20"/>
              </w:rPr>
              <w:t>Fund recipient persistence, 2025-26 cohort</w:t>
            </w:r>
          </w:p>
        </w:tc>
        <w:tc>
          <w:tcPr>
            <w:tcW w:type="dxa" w:w="3456"/>
          </w:tcPr>
          <w:p>
            <w:pPr>
              <w:spacing w:after="40" w:before="40"/>
            </w:pPr>
            <w:r>
              <w:rPr>
                <w:sz w:val="20"/>
              </w:rPr>
              <w:t>Fund enrollment verification records</w:t>
            </w:r>
          </w:p>
        </w:tc>
        <w:tc>
          <w:tcPr>
            <w:tcW w:type="dxa" w:w="2304"/>
          </w:tcPr>
          <w:p>
            <w:pPr>
              <w:spacing w:after="40" w:before="40"/>
            </w:pPr>
            <w:r>
              <w:rPr>
                <w:sz w:val="20"/>
              </w:rPr>
              <w:t>80 percent (12 of 15)</w:t>
            </w:r>
          </w:p>
        </w:tc>
      </w:tr>
    </w:tbl>
    <w:p/>
    <w:p>
      <w:r>
        <w:t>The comparison is imperfect and the proposal says so. Fund recipients are selected partly on a written persistence plan, which means the comparison group is not a randomized control and some of the persistence difference reflects selection. The Fund reports the gap without claiming it is entirely caused by the award, and it publishes the recipient count alongside every percentage, because a percentage computed on 12 students is a fragile number and should be shown as one.</w:t>
      </w:r>
    </w:p>
    <w:p>
      <w:pPr>
        <w:pStyle w:val="Heading2"/>
      </w:pPr>
      <w:r>
        <w:t>13.3 Objectives</w:t>
      </w:r>
    </w:p>
    <w:p>
      <w:r>
        <w:t>Each objective below names the measure, the baseline, the target, and the date it is due.</w:t>
      </w:r>
    </w:p>
    <w:p>
      <w:pPr>
        <w:pStyle w:val="ListNumber"/>
      </w:pPr>
      <w:r>
        <w:t>By November 30, 2028, at least 24 of the 30 recipients (80 percent) will have re-enrolled at least half time for a second year, verified by enrollment verification record, against institutional baselines of 58 and 64 percent for comparable students.</w:t>
      </w:r>
    </w:p>
    <w:p>
      <w:pPr>
        <w:pStyle w:val="ListNumber"/>
      </w:pPr>
      <w:r>
        <w:t>By July 31, 2028, at least 21 of the 30 recipients (70 percent) will have earned 24 or more credits during the 2027-28 academic year, verified by transcript.</w:t>
      </w:r>
    </w:p>
    <w:p>
      <w:pPr>
        <w:pStyle w:val="ListNumber"/>
      </w:pPr>
      <w:r>
        <w:t>By February 28, 2028, 100 percent of disbursed award dollars will be confirmed by bursar receipt as applied to tuition and required fees, with any exception documented and explained in the final report.</w:t>
      </w:r>
    </w:p>
    <w:p>
      <w:pPr>
        <w:pStyle w:val="ListNumber"/>
      </w:pPr>
      <w:r>
        <w:t>By November 30, 2028, the median remaining unmet gap for continuing recipients will be reported against their 2027-28 figure, showing whether the award changed the balance the student owes rather than only the aid on paper.</w:t>
      </w:r>
    </w:p>
    <w:p>
      <w:pPr>
        <w:pStyle w:val="ListNumber"/>
      </w:pPr>
      <w:r>
        <w:t>Annually through November 2031, credential completion within 150 percent of normal program length will be reported for the cohort, disaggregated by credential type, using degree verification records.</w:t>
      </w:r>
    </w:p>
    <w:p>
      <w:pPr>
        <w:pStyle w:val="Heading2"/>
      </w:pPr>
      <w:r>
        <w:t>13.4 Activity counts, reported separately</w:t>
      </w:r>
    </w:p>
    <w:p>
      <w:r>
        <w:t>Applications received, applications complete, files scored, awards made, coaching contacts delivered, and non-responder outreach attempts are counted and reported, in their own paragraph. They describe whether the program ran, not whether it worked, and mixing them into the outcome table is the most common way a scholarship report overstates itself.</w:t>
      </w:r>
    </w:p>
    <w:p>
      <w:pPr>
        <w:pStyle w:val="Heading2"/>
      </w:pPr>
      <w:r>
        <w:t>13.5 Reporting calendar</w:t>
      </w:r>
    </w:p>
    <w:tbl>
      <w:tblPr>
        <w:tblStyle w:val="LightGrid-Accent1"/>
        <w:tblW w:type="auto" w:w="0"/>
        <w:jc w:val="left"/>
        <w:tblLayout w:type="fixed"/>
        <w:tblLook w:firstColumn="1" w:firstRow="1" w:lastColumn="0" w:lastRow="0" w:noHBand="0" w:noVBand="1" w:val="04A0"/>
      </w:tblPr>
      <w:tblGrid>
        <w:gridCol w:w="3120"/>
        <w:gridCol w:w="3120"/>
        <w:gridCol w:w="3120"/>
      </w:tblGrid>
      <w:tr>
        <w:trPr>
          <w:tblHeader w:val="true"/>
        </w:trPr>
        <w:tc>
          <w:tcPr>
            <w:tcW w:type="dxa" w:w="2304"/>
          </w:tcPr>
          <w:p>
            <w:pPr>
              <w:spacing w:after="40" w:before="40"/>
            </w:pPr>
            <w:r>
              <w:rPr>
                <w:sz w:val="20"/>
              </w:rPr>
              <w:t>Report</w:t>
            </w:r>
          </w:p>
        </w:tc>
        <w:tc>
          <w:tcPr>
            <w:tcW w:type="dxa" w:w="2016"/>
          </w:tcPr>
          <w:p>
            <w:pPr>
              <w:spacing w:after="40" w:before="40"/>
            </w:pPr>
            <w:r>
              <w:rPr>
                <w:sz w:val="20"/>
              </w:rPr>
              <w:t>Due</w:t>
            </w:r>
          </w:p>
        </w:tc>
        <w:tc>
          <w:tcPr>
            <w:tcW w:type="dxa" w:w="5040"/>
          </w:tcPr>
          <w:p>
            <w:pPr>
              <w:spacing w:after="40" w:before="40"/>
            </w:pPr>
            <w:r>
              <w:rPr>
                <w:sz w:val="20"/>
              </w:rPr>
              <w:t>Contents</w:t>
            </w:r>
          </w:p>
        </w:tc>
      </w:tr>
      <w:tr>
        <w:tc>
          <w:tcPr>
            <w:tcW w:type="dxa" w:w="2304"/>
          </w:tcPr>
          <w:p>
            <w:pPr>
              <w:spacing w:after="40" w:before="40"/>
            </w:pPr>
            <w:r>
              <w:rPr>
                <w:sz w:val="20"/>
              </w:rPr>
              <w:t>Interim report</w:t>
            </w:r>
          </w:p>
        </w:tc>
        <w:tc>
          <w:tcPr>
            <w:tcW w:type="dxa" w:w="2016"/>
          </w:tcPr>
          <w:p>
            <w:pPr>
              <w:spacing w:after="40" w:before="40"/>
            </w:pPr>
            <w:r>
              <w:rPr>
                <w:sz w:val="20"/>
              </w:rPr>
              <w:t>September 30, 2027</w:t>
            </w:r>
          </w:p>
        </w:tc>
        <w:tc>
          <w:tcPr>
            <w:tcW w:type="dxa" w:w="5040"/>
          </w:tcPr>
          <w:p>
            <w:pPr>
              <w:spacing w:after="40" w:before="40"/>
            </w:pPr>
            <w:r>
              <w:rPr>
                <w:sz w:val="20"/>
              </w:rPr>
              <w:t>Awards made, selection summary with score distribution, fall disbursement status, coaching intake</w:t>
            </w:r>
          </w:p>
        </w:tc>
      </w:tr>
      <w:tr>
        <w:tc>
          <w:tcPr>
            <w:tcW w:type="dxa" w:w="2304"/>
          </w:tcPr>
          <w:p>
            <w:pPr>
              <w:spacing w:after="40" w:before="40"/>
            </w:pPr>
            <w:r>
              <w:rPr>
                <w:sz w:val="20"/>
              </w:rPr>
              <w:t>Final grant report</w:t>
            </w:r>
          </w:p>
        </w:tc>
        <w:tc>
          <w:tcPr>
            <w:tcW w:type="dxa" w:w="2016"/>
          </w:tcPr>
          <w:p>
            <w:pPr>
              <w:spacing w:after="40" w:before="40"/>
            </w:pPr>
            <w:r>
              <w:rPr>
                <w:sz w:val="20"/>
              </w:rPr>
              <w:t>February 28, 2028</w:t>
            </w:r>
          </w:p>
        </w:tc>
        <w:tc>
          <w:tcPr>
            <w:tcW w:type="dxa" w:w="5040"/>
          </w:tcPr>
          <w:p>
            <w:pPr>
              <w:spacing w:after="40" w:before="40"/>
            </w:pPr>
            <w:r>
              <w:rPr>
                <w:sz w:val="20"/>
              </w:rPr>
              <w:t>All 60 term payments with bursar receipts, credits earned in fall, coaching contacts, any withdrawals and re-grants</w:t>
            </w:r>
          </w:p>
        </w:tc>
      </w:tr>
      <w:tr>
        <w:tc>
          <w:tcPr>
            <w:tcW w:type="dxa" w:w="2304"/>
          </w:tcPr>
          <w:p>
            <w:pPr>
              <w:spacing w:after="40" w:before="40"/>
            </w:pPr>
            <w:r>
              <w:rPr>
                <w:sz w:val="20"/>
              </w:rPr>
              <w:t>Year one outcome report</w:t>
            </w:r>
          </w:p>
        </w:tc>
        <w:tc>
          <w:tcPr>
            <w:tcW w:type="dxa" w:w="2016"/>
          </w:tcPr>
          <w:p>
            <w:pPr>
              <w:spacing w:after="40" w:before="40"/>
            </w:pPr>
            <w:r>
              <w:rPr>
                <w:sz w:val="20"/>
              </w:rPr>
              <w:t>November 30, 2028</w:t>
            </w:r>
          </w:p>
        </w:tc>
        <w:tc>
          <w:tcPr>
            <w:tcW w:type="dxa" w:w="5040"/>
          </w:tcPr>
          <w:p>
            <w:pPr>
              <w:spacing w:after="40" w:before="40"/>
            </w:pPr>
            <w:r>
              <w:rPr>
                <w:sz w:val="20"/>
              </w:rPr>
              <w:t>Fall-to-fall persistence, credits earned for the year, remaining gap, against named baselines</w:t>
            </w:r>
          </w:p>
        </w:tc>
      </w:tr>
      <w:tr>
        <w:tc>
          <w:tcPr>
            <w:tcW w:type="dxa" w:w="2304"/>
          </w:tcPr>
          <w:p>
            <w:pPr>
              <w:spacing w:after="40" w:before="40"/>
            </w:pPr>
            <w:r>
              <w:rPr>
                <w:sz w:val="20"/>
              </w:rPr>
              <w:t>Year two outcome report</w:t>
            </w:r>
          </w:p>
        </w:tc>
        <w:tc>
          <w:tcPr>
            <w:tcW w:type="dxa" w:w="2016"/>
          </w:tcPr>
          <w:p>
            <w:pPr>
              <w:spacing w:after="40" w:before="40"/>
            </w:pPr>
            <w:r>
              <w:rPr>
                <w:sz w:val="20"/>
              </w:rPr>
              <w:t>November 30, 2029</w:t>
            </w:r>
          </w:p>
        </w:tc>
        <w:tc>
          <w:tcPr>
            <w:tcW w:type="dxa" w:w="5040"/>
          </w:tcPr>
          <w:p>
            <w:pPr>
              <w:spacing w:after="40" w:before="40"/>
            </w:pPr>
            <w:r>
              <w:rPr>
                <w:sz w:val="20"/>
              </w:rPr>
              <w:t>Continued persistence, credits earned, second-year award status</w:t>
            </w:r>
          </w:p>
        </w:tc>
      </w:tr>
      <w:tr>
        <w:tc>
          <w:tcPr>
            <w:tcW w:type="dxa" w:w="2304"/>
          </w:tcPr>
          <w:p>
            <w:pPr>
              <w:spacing w:after="40" w:before="40"/>
            </w:pPr>
            <w:r>
              <w:rPr>
                <w:sz w:val="20"/>
              </w:rPr>
              <w:t>Year three outcome report</w:t>
            </w:r>
          </w:p>
        </w:tc>
        <w:tc>
          <w:tcPr>
            <w:tcW w:type="dxa" w:w="2016"/>
          </w:tcPr>
          <w:p>
            <w:pPr>
              <w:spacing w:after="40" w:before="40"/>
            </w:pPr>
            <w:r>
              <w:rPr>
                <w:sz w:val="20"/>
              </w:rPr>
              <w:t>November 30, 2030</w:t>
            </w:r>
          </w:p>
        </w:tc>
        <w:tc>
          <w:tcPr>
            <w:tcW w:type="dxa" w:w="5040"/>
          </w:tcPr>
          <w:p>
            <w:pPr>
              <w:spacing w:after="40" w:before="40"/>
            </w:pPr>
            <w:r>
              <w:rPr>
                <w:sz w:val="20"/>
              </w:rPr>
              <w:t>Persistence and first completions, mostly two-year credentials</w:t>
            </w:r>
          </w:p>
        </w:tc>
      </w:tr>
      <w:tr>
        <w:tc>
          <w:tcPr>
            <w:tcW w:type="dxa" w:w="2304"/>
          </w:tcPr>
          <w:p>
            <w:pPr>
              <w:spacing w:after="40" w:before="40"/>
            </w:pPr>
            <w:r>
              <w:rPr>
                <w:sz w:val="20"/>
              </w:rPr>
              <w:t>Year four outcome report</w:t>
            </w:r>
          </w:p>
        </w:tc>
        <w:tc>
          <w:tcPr>
            <w:tcW w:type="dxa" w:w="2016"/>
          </w:tcPr>
          <w:p>
            <w:pPr>
              <w:spacing w:after="40" w:before="40"/>
            </w:pPr>
            <w:r>
              <w:rPr>
                <w:sz w:val="20"/>
              </w:rPr>
              <w:t>November 30, 2031</w:t>
            </w:r>
          </w:p>
        </w:tc>
        <w:tc>
          <w:tcPr>
            <w:tcW w:type="dxa" w:w="5040"/>
          </w:tcPr>
          <w:p>
            <w:pPr>
              <w:spacing w:after="40" w:before="40"/>
            </w:pPr>
            <w:r>
              <w:rPr>
                <w:sz w:val="20"/>
              </w:rPr>
              <w:t>Completion within 150 percent of program length, by credential type</w:t>
            </w:r>
          </w:p>
        </w:tc>
      </w:tr>
    </w:tbl>
    <w:p/>
    <w:p>
      <w:pPr>
        <w:pStyle w:val="Heading1"/>
      </w:pPr>
      <w:r>
        <w:t>14. Sustainability</w:t>
      </w:r>
    </w:p>
    <w:p>
      <w:pPr>
        <w:pStyle w:val="AdaptationNote"/>
      </w:pPr>
      <w:r>
        <w:t>Adapt this section: Name one path and one decision date. A list of diversified funding streams with no decision point in it reads as an absence of a plan. If your board has not actually voted on the path you describe, do not describe it.</w:t>
      </w:r>
    </w:p>
    <w:p>
      <w:r>
        <w:t>The Fund does not claim this program becomes self-sustaining at the end of the grant year. It has one named path and one decision date, and the proposal says what happens on each side of that date.</w:t>
      </w:r>
    </w:p>
    <w:p>
      <w:r>
        <w:t>In September 2026 the Fund's board voted to open a match campaign among its 214 recurring donors, beginning January 2028, with a target of $300,000 by July 1, 2029. If the campaign reaches that target, the Fund converts $300,000 to a quasi-endowment supporting three awards a year in perpetuity at a 4.5 percent draw, which reduces the annual cash requirement by $12,000 and shifts the funding base from year-to-year grants toward a floor that does not depend on any single funder. If the campaign has not reached the target by that date, the board reduces the cohort from 30 awards to 20 rather than reducing the award size, because a $4,000 award closes the documented median gap and a $2,700 award does not.</w:t>
      </w:r>
    </w:p>
    <w:p>
      <w:r>
        <w:t>Alongside that path, the Fund's diversification is narrow and specific rather than aspirational: two regional employers currently fund named awards within the pool at $8,000 each, and the Fund will approach four more in the same sector during 2027, because employers in a two-county labor market have a direct interest in students who complete a credential and stay. Prospect research for foundation support is drawn from the funders' own filings.</w:t>
      </w:r>
    </w:p>
    <w:p>
      <w:r>
        <w:t>The Fund would welcome a multi-year commitment. A three-year award would let the Fund tell an applicant in year one that a second-year renewal is genuinely available rather than contingent, which is the single change most likely to raise the persistence numbers this proposal reports on.</w:t>
      </w:r>
    </w:p>
    <w:p>
      <w:pPr>
        <w:pStyle w:val="Heading1"/>
      </w:pPr>
      <w:r>
        <w:t>15. Attachment Checklist</w:t>
      </w:r>
    </w:p>
    <w:p>
      <w:pPr>
        <w:pStyle w:val="AdaptationNote"/>
      </w:pPr>
      <w:r>
        <w:t>Adapt this section: Check the funder's own list first and match their order and file naming. Where a funder does not specify, the list below is what scholarship funders most often ask for. Name every file with your organization name, the document type, and the cycle year.</w:t>
      </w:r>
    </w:p>
    <w:tbl>
      <w:tblPr>
        <w:tblStyle w:val="LightGrid-Accent1"/>
        <w:tblW w:type="auto" w:w="0"/>
        <w:jc w:val="left"/>
        <w:tblLayout w:type="fixed"/>
        <w:tblLook w:firstColumn="1" w:firstRow="1" w:lastColumn="0" w:lastRow="0" w:noHBand="0" w:noVBand="1" w:val="04A0"/>
      </w:tblPr>
      <w:tblGrid>
        <w:gridCol w:w="3120"/>
        <w:gridCol w:w="3120"/>
        <w:gridCol w:w="3120"/>
      </w:tblGrid>
      <w:tr>
        <w:trPr>
          <w:tblHeader w:val="true"/>
        </w:trPr>
        <w:tc>
          <w:tcPr>
            <w:tcW w:type="dxa" w:w="1008"/>
          </w:tcPr>
          <w:p>
            <w:pPr>
              <w:spacing w:after="40" w:before="40"/>
            </w:pPr>
            <w:r>
              <w:rPr>
                <w:sz w:val="20"/>
              </w:rPr>
              <w:t>Included</w:t>
            </w:r>
          </w:p>
        </w:tc>
        <w:tc>
          <w:tcPr>
            <w:tcW w:type="dxa" w:w="4176"/>
          </w:tcPr>
          <w:p>
            <w:pPr>
              <w:spacing w:after="40" w:before="40"/>
            </w:pPr>
            <w:r>
              <w:rPr>
                <w:sz w:val="20"/>
              </w:rPr>
              <w:t>Attachment</w:t>
            </w:r>
          </w:p>
        </w:tc>
        <w:tc>
          <w:tcPr>
            <w:tcW w:type="dxa" w:w="4176"/>
          </w:tcPr>
          <w:p>
            <w:pPr>
              <w:spacing w:after="40" w:before="40"/>
            </w:pPr>
            <w:r>
              <w:rPr>
                <w:sz w:val="20"/>
              </w:rPr>
              <w:t>Notes</w:t>
            </w:r>
          </w:p>
        </w:tc>
      </w:tr>
      <w:tr>
        <w:tc>
          <w:tcPr>
            <w:tcW w:type="dxa" w:w="1008"/>
          </w:tcPr>
          <w:p>
            <w:pPr>
              <w:spacing w:after="40" w:before="40"/>
            </w:pPr>
            <w:r>
              <w:rPr>
                <w:sz w:val="20"/>
              </w:rPr>
              <w:t>[  ]</w:t>
            </w:r>
          </w:p>
        </w:tc>
        <w:tc>
          <w:tcPr>
            <w:tcW w:type="dxa" w:w="4176"/>
          </w:tcPr>
          <w:p>
            <w:pPr>
              <w:spacing w:after="40" w:before="40"/>
            </w:pPr>
            <w:r>
              <w:rPr>
                <w:sz w:val="20"/>
              </w:rPr>
              <w:t>IRS determination letter</w:t>
            </w:r>
          </w:p>
        </w:tc>
        <w:tc>
          <w:tcPr>
            <w:tcW w:type="dxa" w:w="4176"/>
          </w:tcPr>
          <w:p>
            <w:pPr>
              <w:spacing w:after="40" w:before="40"/>
            </w:pPr>
            <w:r>
              <w:rPr>
                <w:sz w:val="20"/>
              </w:rPr>
              <w:t>501(c)(3) status; include any state charitable registration</w:t>
            </w:r>
          </w:p>
        </w:tc>
      </w:tr>
      <w:tr>
        <w:tc>
          <w:tcPr>
            <w:tcW w:type="dxa" w:w="1008"/>
          </w:tcPr>
          <w:p>
            <w:pPr>
              <w:spacing w:after="40" w:before="40"/>
            </w:pPr>
            <w:r>
              <w:rPr>
                <w:sz w:val="20"/>
              </w:rPr>
              <w:t>[  ]</w:t>
            </w:r>
          </w:p>
        </w:tc>
        <w:tc>
          <w:tcPr>
            <w:tcW w:type="dxa" w:w="4176"/>
          </w:tcPr>
          <w:p>
            <w:pPr>
              <w:spacing w:after="40" w:before="40"/>
            </w:pPr>
            <w:r>
              <w:rPr>
                <w:sz w:val="20"/>
              </w:rPr>
              <w:t>Board-approved scholarship selection procedure</w:t>
            </w:r>
          </w:p>
        </w:tc>
        <w:tc>
          <w:tcPr>
            <w:tcW w:type="dxa" w:w="4176"/>
          </w:tcPr>
          <w:p>
            <w:pPr>
              <w:spacing w:after="40" w:before="40"/>
            </w:pPr>
            <w:r>
              <w:rPr>
                <w:sz w:val="20"/>
              </w:rPr>
              <w:t>The document Section 8 summarizes, adopted before the cycle opens</w:t>
            </w:r>
          </w:p>
        </w:tc>
      </w:tr>
      <w:tr>
        <w:tc>
          <w:tcPr>
            <w:tcW w:type="dxa" w:w="1008"/>
          </w:tcPr>
          <w:p>
            <w:pPr>
              <w:spacing w:after="40" w:before="40"/>
            </w:pPr>
            <w:r>
              <w:rPr>
                <w:sz w:val="20"/>
              </w:rPr>
              <w:t>[  ]</w:t>
            </w:r>
          </w:p>
        </w:tc>
        <w:tc>
          <w:tcPr>
            <w:tcW w:type="dxa" w:w="4176"/>
          </w:tcPr>
          <w:p>
            <w:pPr>
              <w:spacing w:after="40" w:before="40"/>
            </w:pPr>
            <w:r>
              <w:rPr>
                <w:sz w:val="20"/>
              </w:rPr>
              <w:t>Scoring rubric and anchors</w:t>
            </w:r>
          </w:p>
        </w:tc>
        <w:tc>
          <w:tcPr>
            <w:tcW w:type="dxa" w:w="4176"/>
          </w:tcPr>
          <w:p>
            <w:pPr>
              <w:spacing w:after="40" w:before="40"/>
            </w:pPr>
            <w:r>
              <w:rPr>
                <w:sz w:val="20"/>
              </w:rPr>
              <w:t>Sections 8.2 and 8.3, as used in the current cycle</w:t>
            </w:r>
          </w:p>
        </w:tc>
      </w:tr>
      <w:tr>
        <w:tc>
          <w:tcPr>
            <w:tcW w:type="dxa" w:w="1008"/>
          </w:tcPr>
          <w:p>
            <w:pPr>
              <w:spacing w:after="40" w:before="40"/>
            </w:pPr>
            <w:r>
              <w:rPr>
                <w:sz w:val="20"/>
              </w:rPr>
              <w:t>[  ]</w:t>
            </w:r>
          </w:p>
        </w:tc>
        <w:tc>
          <w:tcPr>
            <w:tcW w:type="dxa" w:w="4176"/>
          </w:tcPr>
          <w:p>
            <w:pPr>
              <w:spacing w:after="40" w:before="40"/>
            </w:pPr>
            <w:r>
              <w:rPr>
                <w:sz w:val="20"/>
              </w:rPr>
              <w:t>Application form and required document list</w:t>
            </w:r>
          </w:p>
        </w:tc>
        <w:tc>
          <w:tcPr>
            <w:tcW w:type="dxa" w:w="4176"/>
          </w:tcPr>
          <w:p>
            <w:pPr>
              <w:spacing w:after="40" w:before="40"/>
            </w:pPr>
            <w:r>
              <w:rPr>
                <w:sz w:val="20"/>
              </w:rPr>
              <w:t>Section 9</w:t>
            </w:r>
          </w:p>
        </w:tc>
      </w:tr>
      <w:tr>
        <w:tc>
          <w:tcPr>
            <w:tcW w:type="dxa" w:w="1008"/>
          </w:tcPr>
          <w:p>
            <w:pPr>
              <w:spacing w:after="40" w:before="40"/>
            </w:pPr>
            <w:r>
              <w:rPr>
                <w:sz w:val="20"/>
              </w:rPr>
              <w:t>[  ]</w:t>
            </w:r>
          </w:p>
        </w:tc>
        <w:tc>
          <w:tcPr>
            <w:tcW w:type="dxa" w:w="4176"/>
          </w:tcPr>
          <w:p>
            <w:pPr>
              <w:spacing w:after="40" w:before="40"/>
            </w:pPr>
            <w:r>
              <w:rPr>
                <w:sz w:val="20"/>
              </w:rPr>
              <w:t>Structured recommender form</w:t>
            </w:r>
          </w:p>
        </w:tc>
        <w:tc>
          <w:tcPr>
            <w:tcW w:type="dxa" w:w="4176"/>
          </w:tcPr>
          <w:p>
            <w:pPr>
              <w:spacing w:after="40" w:before="40"/>
            </w:pPr>
            <w:r>
              <w:rPr>
                <w:sz w:val="20"/>
              </w:rPr>
              <w:t>Appendix B</w:t>
            </w:r>
          </w:p>
        </w:tc>
      </w:tr>
      <w:tr>
        <w:tc>
          <w:tcPr>
            <w:tcW w:type="dxa" w:w="1008"/>
          </w:tcPr>
          <w:p>
            <w:pPr>
              <w:spacing w:after="40" w:before="40"/>
            </w:pPr>
            <w:r>
              <w:rPr>
                <w:sz w:val="20"/>
              </w:rPr>
              <w:t>[  ]</w:t>
            </w:r>
          </w:p>
        </w:tc>
        <w:tc>
          <w:tcPr>
            <w:tcW w:type="dxa" w:w="4176"/>
          </w:tcPr>
          <w:p>
            <w:pPr>
              <w:spacing w:after="40" w:before="40"/>
            </w:pPr>
            <w:r>
              <w:rPr>
                <w:sz w:val="20"/>
              </w:rPr>
              <w:t>Conflict-of-interest form and nondiscrimination policy</w:t>
            </w:r>
          </w:p>
        </w:tc>
        <w:tc>
          <w:tcPr>
            <w:tcW w:type="dxa" w:w="4176"/>
          </w:tcPr>
          <w:p>
            <w:pPr>
              <w:spacing w:after="40" w:before="40"/>
            </w:pPr>
            <w:r>
              <w:rPr>
                <w:sz w:val="20"/>
              </w:rPr>
              <w:t>Appendix C, plus the board-adopted policy</w:t>
            </w:r>
          </w:p>
        </w:tc>
      </w:tr>
      <w:tr>
        <w:tc>
          <w:tcPr>
            <w:tcW w:type="dxa" w:w="1008"/>
          </w:tcPr>
          <w:p>
            <w:pPr>
              <w:spacing w:after="40" w:before="40"/>
            </w:pPr>
            <w:r>
              <w:rPr>
                <w:sz w:val="20"/>
              </w:rPr>
              <w:t>[  ]</w:t>
            </w:r>
          </w:p>
        </w:tc>
        <w:tc>
          <w:tcPr>
            <w:tcW w:type="dxa" w:w="4176"/>
          </w:tcPr>
          <w:p>
            <w:pPr>
              <w:spacing w:after="40" w:before="40"/>
            </w:pPr>
            <w:r>
              <w:rPr>
                <w:sz w:val="20"/>
              </w:rPr>
              <w:t>Award terms and conditions letter</w:t>
            </w:r>
          </w:p>
        </w:tc>
        <w:tc>
          <w:tcPr>
            <w:tcW w:type="dxa" w:w="4176"/>
          </w:tcPr>
          <w:p>
            <w:pPr>
              <w:spacing w:after="40" w:before="40"/>
            </w:pPr>
            <w:r>
              <w:rPr>
                <w:sz w:val="20"/>
              </w:rPr>
              <w:t>Appendix A, the version recipients sign</w:t>
            </w:r>
          </w:p>
        </w:tc>
      </w:tr>
      <w:tr>
        <w:tc>
          <w:tcPr>
            <w:tcW w:type="dxa" w:w="1008"/>
          </w:tcPr>
          <w:p>
            <w:pPr>
              <w:spacing w:after="40" w:before="40"/>
            </w:pPr>
            <w:r>
              <w:rPr>
                <w:sz w:val="20"/>
              </w:rPr>
              <w:t>[  ]</w:t>
            </w:r>
          </w:p>
        </w:tc>
        <w:tc>
          <w:tcPr>
            <w:tcW w:type="dxa" w:w="4176"/>
          </w:tcPr>
          <w:p>
            <w:pPr>
              <w:spacing w:after="40" w:before="40"/>
            </w:pPr>
            <w:r>
              <w:rPr>
                <w:sz w:val="20"/>
              </w:rPr>
              <w:t>Disbursement request letter to the institution</w:t>
            </w:r>
          </w:p>
        </w:tc>
        <w:tc>
          <w:tcPr>
            <w:tcW w:type="dxa" w:w="4176"/>
          </w:tcPr>
          <w:p>
            <w:pPr>
              <w:spacing w:after="40" w:before="40"/>
            </w:pPr>
            <w:r>
              <w:rPr>
                <w:sz w:val="20"/>
              </w:rPr>
              <w:t>Appendix D</w:t>
            </w:r>
          </w:p>
        </w:tc>
      </w:tr>
      <w:tr>
        <w:tc>
          <w:tcPr>
            <w:tcW w:type="dxa" w:w="1008"/>
          </w:tcPr>
          <w:p>
            <w:pPr>
              <w:spacing w:after="40" w:before="40"/>
            </w:pPr>
            <w:r>
              <w:rPr>
                <w:sz w:val="20"/>
              </w:rPr>
              <w:t>[  ]</w:t>
            </w:r>
          </w:p>
        </w:tc>
        <w:tc>
          <w:tcPr>
            <w:tcW w:type="dxa" w:w="4176"/>
          </w:tcPr>
          <w:p>
            <w:pPr>
              <w:spacing w:after="40" w:before="40"/>
            </w:pPr>
            <w:r>
              <w:rPr>
                <w:sz w:val="20"/>
              </w:rPr>
              <w:t>Program budget and budget narrative</w:t>
            </w:r>
          </w:p>
        </w:tc>
        <w:tc>
          <w:tcPr>
            <w:tcW w:type="dxa" w:w="4176"/>
          </w:tcPr>
          <w:p>
            <w:pPr>
              <w:spacing w:after="40" w:before="40"/>
            </w:pPr>
            <w:r>
              <w:rPr>
                <w:sz w:val="20"/>
              </w:rPr>
              <w:t>Section 12, on the funder's form if supplied</w:t>
            </w:r>
          </w:p>
        </w:tc>
      </w:tr>
      <w:tr>
        <w:tc>
          <w:tcPr>
            <w:tcW w:type="dxa" w:w="1008"/>
          </w:tcPr>
          <w:p>
            <w:pPr>
              <w:spacing w:after="40" w:before="40"/>
            </w:pPr>
            <w:r>
              <w:rPr>
                <w:sz w:val="20"/>
              </w:rPr>
              <w:t>[  ]</w:t>
            </w:r>
          </w:p>
        </w:tc>
        <w:tc>
          <w:tcPr>
            <w:tcW w:type="dxa" w:w="4176"/>
          </w:tcPr>
          <w:p>
            <w:pPr>
              <w:spacing w:after="40" w:before="40"/>
            </w:pPr>
            <w:r>
              <w:rPr>
                <w:sz w:val="20"/>
              </w:rPr>
              <w:t>Organizational budget for the current fiscal year</w:t>
            </w:r>
          </w:p>
        </w:tc>
        <w:tc>
          <w:tcPr>
            <w:tcW w:type="dxa" w:w="4176"/>
          </w:tcPr>
          <w:p>
            <w:pPr>
              <w:spacing w:after="40" w:before="40"/>
            </w:pPr>
            <w:r>
              <w:rPr>
                <w:sz w:val="20"/>
              </w:rPr>
              <w:t>Showing the restricted award pool separately</w:t>
            </w:r>
          </w:p>
        </w:tc>
      </w:tr>
      <w:tr>
        <w:tc>
          <w:tcPr>
            <w:tcW w:type="dxa" w:w="1008"/>
          </w:tcPr>
          <w:p>
            <w:pPr>
              <w:spacing w:after="40" w:before="40"/>
            </w:pPr>
            <w:r>
              <w:rPr>
                <w:sz w:val="20"/>
              </w:rPr>
              <w:t>[  ]</w:t>
            </w:r>
          </w:p>
        </w:tc>
        <w:tc>
          <w:tcPr>
            <w:tcW w:type="dxa" w:w="4176"/>
          </w:tcPr>
          <w:p>
            <w:pPr>
              <w:spacing w:after="40" w:before="40"/>
            </w:pPr>
            <w:r>
              <w:rPr>
                <w:sz w:val="20"/>
              </w:rPr>
              <w:t>Most recent audited financials or independent review</w:t>
            </w:r>
          </w:p>
        </w:tc>
        <w:tc>
          <w:tcPr>
            <w:tcW w:type="dxa" w:w="4176"/>
          </w:tcPr>
          <w:p>
            <w:pPr>
              <w:spacing w:after="40" w:before="40"/>
            </w:pPr>
            <w:r>
              <w:rPr>
                <w:sz w:val="20"/>
              </w:rPr>
              <w:t>Plus the most recent Form 990</w:t>
            </w:r>
          </w:p>
        </w:tc>
      </w:tr>
      <w:tr>
        <w:tc>
          <w:tcPr>
            <w:tcW w:type="dxa" w:w="1008"/>
          </w:tcPr>
          <w:p>
            <w:pPr>
              <w:spacing w:after="40" w:before="40"/>
            </w:pPr>
            <w:r>
              <w:rPr>
                <w:sz w:val="20"/>
              </w:rPr>
              <w:t>[  ]</w:t>
            </w:r>
          </w:p>
        </w:tc>
        <w:tc>
          <w:tcPr>
            <w:tcW w:type="dxa" w:w="4176"/>
          </w:tcPr>
          <w:p>
            <w:pPr>
              <w:spacing w:after="40" w:before="40"/>
            </w:pPr>
            <w:r>
              <w:rPr>
                <w:sz w:val="20"/>
              </w:rPr>
              <w:t>Board roster with affiliations</w:t>
            </w:r>
          </w:p>
        </w:tc>
        <w:tc>
          <w:tcPr>
            <w:tcW w:type="dxa" w:w="4176"/>
          </w:tcPr>
          <w:p>
            <w:pPr>
              <w:spacing w:after="40" w:before="40"/>
            </w:pPr>
            <w:r>
              <w:rPr>
                <w:sz w:val="20"/>
              </w:rPr>
              <w:t>Affiliations matter here because of the conflict rule</w:t>
            </w:r>
          </w:p>
        </w:tc>
      </w:tr>
      <w:tr>
        <w:tc>
          <w:tcPr>
            <w:tcW w:type="dxa" w:w="1008"/>
          </w:tcPr>
          <w:p>
            <w:pPr>
              <w:spacing w:after="40" w:before="40"/>
            </w:pPr>
            <w:r>
              <w:rPr>
                <w:sz w:val="20"/>
              </w:rPr>
              <w:t>[  ]</w:t>
            </w:r>
          </w:p>
        </w:tc>
        <w:tc>
          <w:tcPr>
            <w:tcW w:type="dxa" w:w="4176"/>
          </w:tcPr>
          <w:p>
            <w:pPr>
              <w:spacing w:after="40" w:before="40"/>
            </w:pPr>
            <w:r>
              <w:rPr>
                <w:sz w:val="20"/>
              </w:rPr>
              <w:t>Prior cycle outcome report</w:t>
            </w:r>
          </w:p>
        </w:tc>
        <w:tc>
          <w:tcPr>
            <w:tcW w:type="dxa" w:w="4176"/>
          </w:tcPr>
          <w:p>
            <w:pPr>
              <w:spacing w:after="40" w:before="40"/>
            </w:pPr>
            <w:r>
              <w:rPr>
                <w:sz w:val="20"/>
              </w:rPr>
              <w:t>Persistence and completion, with recipient counts shown</w:t>
            </w:r>
          </w:p>
        </w:tc>
      </w:tr>
      <w:tr>
        <w:tc>
          <w:tcPr>
            <w:tcW w:type="dxa" w:w="1008"/>
          </w:tcPr>
          <w:p>
            <w:pPr>
              <w:spacing w:after="40" w:before="40"/>
            </w:pPr>
            <w:r>
              <w:rPr>
                <w:sz w:val="20"/>
              </w:rPr>
              <w:t>[  ]</w:t>
            </w:r>
          </w:p>
        </w:tc>
        <w:tc>
          <w:tcPr>
            <w:tcW w:type="dxa" w:w="4176"/>
          </w:tcPr>
          <w:p>
            <w:pPr>
              <w:spacing w:after="40" w:before="40"/>
            </w:pPr>
            <w:r>
              <w:rPr>
                <w:sz w:val="20"/>
              </w:rPr>
              <w:t>Letters of support</w:t>
            </w:r>
          </w:p>
        </w:tc>
        <w:tc>
          <w:tcPr>
            <w:tcW w:type="dxa" w:w="4176"/>
          </w:tcPr>
          <w:p>
            <w:pPr>
              <w:spacing w:after="40" w:before="40"/>
            </w:pPr>
            <w:r>
              <w:rPr>
                <w:sz w:val="20"/>
              </w:rPr>
              <w:t>One from a district partner and one from a financial aid office carry the most weight</w:t>
            </w:r>
          </w:p>
        </w:tc>
      </w:tr>
    </w:tbl>
    <w:p/>
    <w:p>
      <w:pPr>
        <w:pStyle w:val="Heading1"/>
      </w:pPr>
      <w:r>
        <w:t>16. Funder Objections and Where Each Is Answered</w:t>
      </w:r>
    </w:p>
    <w:p>
      <w:pPr>
        <w:pStyle w:val="AdaptationNote"/>
      </w:pPr>
      <w:r>
        <w:t>Adapt this section: Do not put these answers in a defensive appendix in your own submission. Put each one where it naturally arises. This table is a check that you did.</w:t>
      </w:r>
    </w:p>
    <w:tbl>
      <w:tblPr>
        <w:tblStyle w:val="LightGrid-Accent1"/>
        <w:tblW w:type="auto" w:w="0"/>
        <w:jc w:val="left"/>
        <w:tblLayout w:type="fixed"/>
        <w:tblLook w:firstColumn="1" w:firstRow="1" w:lastColumn="0" w:lastRow="0" w:noHBand="0" w:noVBand="1" w:val="04A0"/>
      </w:tblPr>
      <w:tblGrid>
        <w:gridCol w:w="3120"/>
        <w:gridCol w:w="3120"/>
        <w:gridCol w:w="3120"/>
      </w:tblGrid>
      <w:tr>
        <w:trPr>
          <w:tblHeader w:val="true"/>
        </w:trPr>
        <w:tc>
          <w:tcPr>
            <w:tcW w:type="dxa" w:w="2736"/>
          </w:tcPr>
          <w:p>
            <w:pPr>
              <w:spacing w:after="40" w:before="40"/>
            </w:pPr>
            <w:r>
              <w:rPr>
                <w:sz w:val="20"/>
              </w:rPr>
              <w:t>Objection</w:t>
            </w:r>
          </w:p>
        </w:tc>
        <w:tc>
          <w:tcPr>
            <w:tcW w:type="dxa" w:w="1728"/>
          </w:tcPr>
          <w:p>
            <w:pPr>
              <w:spacing w:after="40" w:before="40"/>
            </w:pPr>
            <w:r>
              <w:rPr>
                <w:sz w:val="20"/>
              </w:rPr>
              <w:t>Answered in</w:t>
            </w:r>
          </w:p>
        </w:tc>
        <w:tc>
          <w:tcPr>
            <w:tcW w:type="dxa" w:w="4896"/>
          </w:tcPr>
          <w:p>
            <w:pPr>
              <w:spacing w:after="40" w:before="40"/>
            </w:pPr>
            <w:r>
              <w:rPr>
                <w:sz w:val="20"/>
              </w:rPr>
              <w:t>The answer, in one line</w:t>
            </w:r>
          </w:p>
        </w:tc>
      </w:tr>
      <w:tr>
        <w:tc>
          <w:tcPr>
            <w:tcW w:type="dxa" w:w="2736"/>
          </w:tcPr>
          <w:p>
            <w:pPr>
              <w:spacing w:after="40" w:before="40"/>
            </w:pPr>
            <w:r>
              <w:rPr>
                <w:sz w:val="20"/>
              </w:rPr>
              <w:t>We do not fund individuals.</w:t>
            </w:r>
          </w:p>
        </w:tc>
        <w:tc>
          <w:tcPr>
            <w:tcW w:type="dxa" w:w="1728"/>
          </w:tcPr>
          <w:p>
            <w:pPr>
              <w:spacing w:after="40" w:before="40"/>
            </w:pPr>
            <w:r>
              <w:rPr>
                <w:sz w:val="20"/>
              </w:rPr>
              <w:t>Cover letter, Section 8.9</w:t>
            </w:r>
          </w:p>
        </w:tc>
        <w:tc>
          <w:tcPr>
            <w:tcW w:type="dxa" w:w="4896"/>
          </w:tcPr>
          <w:p>
            <w:pPr>
              <w:spacing w:after="40" w:before="40"/>
            </w:pPr>
            <w:r>
              <w:rPr>
                <w:sz w:val="20"/>
              </w:rPr>
              <w:t>The grant is made to a 501(c)(3) that undertakes and controls the program and selects recipients independently, under IRC 4945(g).</w:t>
            </w:r>
          </w:p>
        </w:tc>
      </w:tr>
      <w:tr>
        <w:tc>
          <w:tcPr>
            <w:tcW w:type="dxa" w:w="2736"/>
          </w:tcPr>
          <w:p>
            <w:pPr>
              <w:spacing w:after="40" w:before="40"/>
            </w:pPr>
            <w:r>
              <w:rPr>
                <w:sz w:val="20"/>
              </w:rPr>
              <w:t>Our award will just replace the college's aid.</w:t>
            </w:r>
          </w:p>
        </w:tc>
        <w:tc>
          <w:tcPr>
            <w:tcW w:type="dxa" w:w="1728"/>
          </w:tcPr>
          <w:p>
            <w:pPr>
              <w:spacing w:after="40" w:before="40"/>
            </w:pPr>
            <w:r>
              <w:rPr>
                <w:sz w:val="20"/>
              </w:rPr>
              <w:t>Section 10.3, Appendix D</w:t>
            </w:r>
          </w:p>
        </w:tc>
        <w:tc>
          <w:tcPr>
            <w:tcW w:type="dxa" w:w="4896"/>
          </w:tcPr>
          <w:p>
            <w:pPr>
              <w:spacing w:after="40" w:before="40"/>
            </w:pPr>
            <w:r>
              <w:rPr>
                <w:sz w:val="20"/>
              </w:rPr>
              <w:t>A written displacement coordination request goes with every disbursement, and the institution's outside scholarship policy is kept in the file.</w:t>
            </w:r>
          </w:p>
        </w:tc>
      </w:tr>
      <w:tr>
        <w:tc>
          <w:tcPr>
            <w:tcW w:type="dxa" w:w="2736"/>
          </w:tcPr>
          <w:p>
            <w:pPr>
              <w:spacing w:after="40" w:before="40"/>
            </w:pPr>
            <w:r>
              <w:rPr>
                <w:sz w:val="20"/>
              </w:rPr>
              <w:t>$4,000 will not change whether this student graduates.</w:t>
            </w:r>
          </w:p>
        </w:tc>
        <w:tc>
          <w:tcPr>
            <w:tcW w:type="dxa" w:w="1728"/>
          </w:tcPr>
          <w:p>
            <w:pPr>
              <w:spacing w:after="40" w:before="40"/>
            </w:pPr>
            <w:r>
              <w:rPr>
                <w:sz w:val="20"/>
              </w:rPr>
              <w:t>Section 6.2</w:t>
            </w:r>
          </w:p>
        </w:tc>
        <w:tc>
          <w:tcPr>
            <w:tcW w:type="dxa" w:w="4896"/>
          </w:tcPr>
          <w:p>
            <w:pPr>
              <w:spacing w:after="40" w:before="40"/>
            </w:pPr>
            <w:r>
              <w:rPr>
                <w:sz w:val="20"/>
              </w:rPr>
              <w:t>The award is sized to a documented median unmet gap of $4,180, so it changes what the student owes the institution in August.</w:t>
            </w:r>
          </w:p>
        </w:tc>
      </w:tr>
      <w:tr>
        <w:tc>
          <w:tcPr>
            <w:tcW w:type="dxa" w:w="2736"/>
          </w:tcPr>
          <w:p>
            <w:pPr>
              <w:spacing w:after="40" w:before="40"/>
            </w:pPr>
            <w:r>
              <w:rPr>
                <w:sz w:val="20"/>
              </w:rPr>
              <w:t>Too much of this is administration.</w:t>
            </w:r>
          </w:p>
        </w:tc>
        <w:tc>
          <w:tcPr>
            <w:tcW w:type="dxa" w:w="1728"/>
          </w:tcPr>
          <w:p>
            <w:pPr>
              <w:spacing w:after="40" w:before="40"/>
            </w:pPr>
            <w:r>
              <w:rPr>
                <w:sz w:val="20"/>
              </w:rPr>
              <w:t>Section 12</w:t>
            </w:r>
          </w:p>
        </w:tc>
        <w:tc>
          <w:tcPr>
            <w:tcW w:type="dxa" w:w="4896"/>
          </w:tcPr>
          <w:p>
            <w:pPr>
              <w:spacing w:after="40" w:before="40"/>
            </w:pPr>
            <w:r>
              <w:rPr>
                <w:sz w:val="20"/>
              </w:rPr>
              <w:t>The share column shows 80.0 percent reaching students, with committee time contributed and shown in the in-kind schedule.</w:t>
            </w:r>
          </w:p>
        </w:tc>
      </w:tr>
      <w:tr>
        <w:tc>
          <w:tcPr>
            <w:tcW w:type="dxa" w:w="2736"/>
          </w:tcPr>
          <w:p>
            <w:pPr>
              <w:spacing w:after="40" w:before="40"/>
            </w:pPr>
            <w:r>
              <w:rPr>
                <w:sz w:val="20"/>
              </w:rPr>
              <w:t>You will not know what happened to these students.</w:t>
            </w:r>
          </w:p>
        </w:tc>
        <w:tc>
          <w:tcPr>
            <w:tcW w:type="dxa" w:w="1728"/>
          </w:tcPr>
          <w:p>
            <w:pPr>
              <w:spacing w:after="40" w:before="40"/>
            </w:pPr>
            <w:r>
              <w:rPr>
                <w:sz w:val="20"/>
              </w:rPr>
              <w:t>Sections 9.6 and 13</w:t>
            </w:r>
          </w:p>
        </w:tc>
        <w:tc>
          <w:tcPr>
            <w:tcW w:type="dxa" w:w="4896"/>
          </w:tcPr>
          <w:p>
            <w:pPr>
              <w:spacing w:after="40" w:before="40"/>
            </w:pPr>
            <w:r>
              <w:rPr>
                <w:sz w:val="20"/>
              </w:rPr>
              <w:t>A verification consent signed at application supports four years of enrollment and degree verification reporting.</w:t>
            </w:r>
          </w:p>
        </w:tc>
      </w:tr>
      <w:tr>
        <w:tc>
          <w:tcPr>
            <w:tcW w:type="dxa" w:w="2736"/>
          </w:tcPr>
          <w:p>
            <w:pPr>
              <w:spacing w:after="40" w:before="40"/>
            </w:pPr>
            <w:r>
              <w:rPr>
                <w:sz w:val="20"/>
              </w:rPr>
              <w:t>How do we know the process is fair?</w:t>
            </w:r>
          </w:p>
        </w:tc>
        <w:tc>
          <w:tcPr>
            <w:tcW w:type="dxa" w:w="1728"/>
          </w:tcPr>
          <w:p>
            <w:pPr>
              <w:spacing w:after="40" w:before="40"/>
            </w:pPr>
            <w:r>
              <w:rPr>
                <w:sz w:val="20"/>
              </w:rPr>
              <w:t>Sections 8.3 to 8.6</w:t>
            </w:r>
          </w:p>
        </w:tc>
        <w:tc>
          <w:tcPr>
            <w:tcW w:type="dxa" w:w="4896"/>
          </w:tcPr>
          <w:p>
            <w:pPr>
              <w:spacing w:after="40" w:before="40"/>
            </w:pPr>
            <w:r>
              <w:rPr>
                <w:sz w:val="20"/>
              </w:rPr>
              <w:t>Published anchors, blind scoring of written responses, a recusal rule, and a tie-break rule fixed before the meeting.</w:t>
            </w:r>
          </w:p>
        </w:tc>
      </w:tr>
    </w:tbl>
    <w:p/>
    <w:p>
      <w:r>
        <w:br w:type="page"/>
      </w:r>
    </w:p>
    <w:p>
      <w:pPr>
        <w:pStyle w:val="Heading1"/>
      </w:pPr>
      <w:r>
        <w:t>Appendix A. Award Terms and Conditions Letter</w:t>
      </w:r>
    </w:p>
    <w:p>
      <w:pPr>
        <w:pStyle w:val="AdaptationNote"/>
      </w:pPr>
      <w:r>
        <w:t>Adapt this section: This is the letter a recipient signs and returns. Send it with the award notification, not later. Replace the bracketed identifiers with the recipient's details when you generate it, and keep the numbered terms as written unless your own policy differs.</w:t>
      </w:r>
    </w:p>
    <w:p>
      <w:r>
        <w:t>April 16, 2027</w:t>
      </w:r>
    </w:p>
    <w:p>
      <w:r>
        <w:t>Recipient name</w:t>
      </w:r>
    </w:p>
    <w:p>
      <w:r>
        <w:t>Street address</w:t>
      </w:r>
    </w:p>
    <w:p>
      <w:r>
        <w:t>City, State ZIP</w:t>
      </w:r>
    </w:p>
    <w:p/>
    <w:p>
      <w:r>
        <w:t>Dear Recipient,</w:t>
      </w:r>
    </w:p>
    <w:p>
      <w:r>
        <w:t>Congratulations. The Two Rivers Scholarship Fund selection committee has awarded you a Two Rivers Completion Scholarship of $4,000 for the 2027-28 academic year. This letter sets out the terms of the award. Please read it, sign the last page, and return it by May 7, 2027.</w:t>
      </w:r>
    </w:p>
    <w:p>
      <w:pPr>
        <w:pStyle w:val="Heading3"/>
      </w:pPr>
      <w:r>
        <w:t>1. Amount and payment</w:t>
      </w:r>
    </w:p>
    <w:p>
      <w:r>
        <w:t>Your award is $4,000 for the 2027-28 academic year, paid in two payments of $2,000. Payments are made directly to your institution's student accounts office, referenced to your student identification number, and applied against tuition and required fees. No portion of the award is paid to you directly. The fall payment is issued on or about August 21, 2027 and the spring payment on or about December 8, 2027.</w:t>
      </w:r>
    </w:p>
    <w:p>
      <w:pPr>
        <w:pStyle w:val="Heading3"/>
      </w:pPr>
      <w:r>
        <w:t>2. What has to be true before each payment</w:t>
      </w:r>
    </w:p>
    <w:p>
      <w:r>
        <w:t>Before the fall payment, you must be enrolled at least half time at a Title IV eligible institution and we must have an enrollment verification from that institution. Before the spring payment, you must have earned at least 12 credits in the fall term if you are enrolled full time, or 6 credits if you are enrolled half time; hold a cumulative grade point average of at least 2.0; and be registered at least half time for the spring term.</w:t>
      </w:r>
    </w:p>
    <w:p>
      <w:pPr>
        <w:pStyle w:val="Heading3"/>
      </w:pPr>
      <w:r>
        <w:t>3. If you fall below the standard</w:t>
      </w:r>
    </w:p>
    <w:p>
      <w:r>
        <w:t>If you do not meet the standard in section 2 after your first term, you are placed on one term of continued eligibility and we will agree a written plan with your completion advisor. Your award is not removed for a single term below the standard. It is removed only after a second consecutive term below the standard.</w:t>
      </w:r>
    </w:p>
    <w:p>
      <w:pPr>
        <w:pStyle w:val="Heading3"/>
      </w:pPr>
      <w:r>
        <w:t>4. If something changes</w:t>
      </w:r>
    </w:p>
    <w:p>
      <w:r>
        <w:t>Tell us within 15 days if you change institution, change your enrollment intensity, or withdraw. Your award can transfer once with you to another Title IV eligible institution within the same academic year, once we re-verify your enrollment. If you need to stop out for a documented medical or family emergency, write to us and the board chair may hold your award for up to two consecutive terms.</w:t>
      </w:r>
    </w:p>
    <w:p>
      <w:pPr>
        <w:pStyle w:val="Heading3"/>
      </w:pPr>
      <w:r>
        <w:t>5. If you withdraw</w:t>
      </w:r>
    </w:p>
    <w:p>
      <w:r>
        <w:t>If you withdraw before your institution's census date for a term, the institution returns that term's payment to the Fund and we award it to another student in the same cycle. If you withdraw after the census date, the payment stays applied to the charges you have already incurred. You do not owe the Fund any repayment in either case.</w:t>
      </w:r>
    </w:p>
    <w:p>
      <w:pPr>
        <w:pStyle w:val="Heading3"/>
      </w:pPr>
      <w:r>
        <w:t>6. Verification consent</w:t>
      </w:r>
    </w:p>
    <w:p>
      <w:r>
        <w:t>By signing this letter you authorize the Fund to verify your enrollment status, credits earned, and credential completion with your institution and with enrollment and degree verification services, and to communicate with your institution's student accounts and financial aid offices about this award, for four years from the date of your first payment. This consent is limited to enrollment, academic progress, and the handling of this award. It does not authorize release of your disciplinary, health, or financial records.</w:t>
      </w:r>
    </w:p>
    <w:p>
      <w:pPr>
        <w:pStyle w:val="Heading3"/>
      </w:pPr>
      <w:r>
        <w:t>7. What this award does not require</w:t>
      </w:r>
    </w:p>
    <w:p>
      <w:r>
        <w:t>There is no repayment obligation, no service requirement, no employment condition, and no requirement to appear in any publicity. Participation in the media release is optional and declining it has no effect on your award. We do expect you to meet with your completion advisor about once a month during the academic year, and completing at least one contact per term is a condition of applying for a second-year award, but no payment is withheld because you missed a check-in.</w:t>
      </w:r>
    </w:p>
    <w:p>
      <w:pPr>
        <w:pStyle w:val="Heading3"/>
      </w:pPr>
      <w:r>
        <w:t>8. Taxes</w:t>
      </w:r>
    </w:p>
    <w:p>
      <w:r>
        <w:t>Scholarship money is generally tax free when you are a candidate for a degree and the funds pay tuition and fees required for enrollment, or fees, books, supplies, and equipment required for your courses. Amounts used for incidental expenses such as room and board, travel, and optional equipment are taxable to you (IRS, Topic no. 421). This award is paid to your institution and applied to tuition and required fees. Keep the receipt your bursar office issues. The Fund cannot give tax advice; talk to a tax preparer if you have questions.</w:t>
      </w:r>
    </w:p>
    <w:p>
      <w:pPr>
        <w:pStyle w:val="Heading3"/>
      </w:pPr>
      <w:r>
        <w:t>9. Your coaching contact</w:t>
      </w:r>
    </w:p>
    <w:p>
      <w:r>
        <w:t>Your completion advisor will contact you in September. You can reach the advisor at the phone number and email address on the enclosed card at any point before then, including during the summer, and especially if a financial aid or registration problem comes up in July or August when your high school counselor is not available.</w:t>
      </w:r>
    </w:p>
    <w:p/>
    <w:p>
      <w:r>
        <w:t>Sincerely,</w:t>
      </w:r>
    </w:p>
    <w:p/>
    <w:p>
      <w:r>
        <w:t>Executive Director, Two Rivers Scholarship Fund</w:t>
      </w:r>
    </w:p>
    <w:p/>
    <w:p>
      <w:r>
        <w:t>I have read and accept the terms of this award, including the verification consent in section 6.</w:t>
      </w:r>
    </w:p>
    <w:p/>
    <w:p>
      <w:pPr>
        <w:spacing w:after="120"/>
      </w:pPr>
      <w:r>
        <w:rPr>
          <w:sz w:val="21"/>
        </w:rPr>
        <w:t>Recipient signature  _____________________________________________________________________</w:t>
      </w:r>
    </w:p>
    <w:p>
      <w:pPr>
        <w:spacing w:after="120"/>
      </w:pPr>
      <w:r>
        <w:rPr>
          <w:sz w:val="21"/>
        </w:rPr>
        <w:t>Printed name  ____________________________________________________________________________</w:t>
      </w:r>
    </w:p>
    <w:p>
      <w:pPr>
        <w:spacing w:after="120"/>
      </w:pPr>
      <w:r>
        <w:rPr>
          <w:sz w:val="21"/>
        </w:rPr>
        <w:t>Date  ____________________________________________________________________________________</w:t>
      </w:r>
    </w:p>
    <w:p>
      <w:pPr>
        <w:spacing w:after="120"/>
      </w:pPr>
      <w:r>
        <w:rPr>
          <w:sz w:val="21"/>
        </w:rPr>
        <w:t>Institution and student ID number  _______________________________________________________</w:t>
      </w:r>
    </w:p>
    <w:p>
      <w:pPr>
        <w:spacing w:after="120"/>
      </w:pPr>
      <w:r>
        <w:rPr>
          <w:sz w:val="21"/>
        </w:rPr>
        <w:t>Enrollment intensity for fall 2027 (full time, three-quarter time, half time)  ___________</w:t>
      </w:r>
    </w:p>
    <w:p>
      <w:r>
        <w:br w:type="page"/>
      </w:r>
    </w:p>
    <w:p>
      <w:pPr>
        <w:pStyle w:val="Heading1"/>
      </w:pPr>
      <w:r>
        <w:t>Appendix B. Structured Recommender Form</w:t>
      </w:r>
    </w:p>
    <w:p>
      <w:pPr>
        <w:pStyle w:val="AdaptationNote"/>
      </w:pPr>
      <w:r>
        <w:t>Adapt this section: Send this directly to the recommender and have them return it directly to you. Structured items are scored; the free-text comment is read but not scored. This is the form that produces the 10-point recommendation score in Section 8.2.</w:t>
      </w:r>
    </w:p>
    <w:p>
      <w:r>
        <w:t>Thank you for completing this form for a Two Rivers Completion Scholarship applicant. The form takes about ten minutes. Please return it directly to the Fund by March 12, 2027. Family members of the applicant may not serve as recommenders.</w:t>
      </w:r>
    </w:p>
    <w:p>
      <w:pPr>
        <w:spacing w:after="120"/>
      </w:pPr>
      <w:r>
        <w:rPr>
          <w:sz w:val="21"/>
        </w:rPr>
        <w:t>Applicant name  __________________________________________________________________________</w:t>
      </w:r>
    </w:p>
    <w:p>
      <w:pPr>
        <w:spacing w:after="120"/>
      </w:pPr>
      <w:r>
        <w:rPr>
          <w:sz w:val="21"/>
        </w:rPr>
        <w:t>Your name and title  _____________________________________________________________________</w:t>
      </w:r>
    </w:p>
    <w:p>
      <w:pPr>
        <w:spacing w:after="120"/>
      </w:pPr>
      <w:r>
        <w:rPr>
          <w:sz w:val="21"/>
        </w:rPr>
        <w:t>Your relationship to the applicant, and how long you have known them  ____________________</w:t>
      </w:r>
    </w:p>
    <w:p/>
    <w:p>
      <w:r>
        <w:t>Score each item: 2 if you have direct evidence of it, 1 if you believe it but have not observed it directly, 0 if you have no basis to judge. Leaving an item at 0 because you have not seen it does not harm the applicant; guessing does.</w:t>
      </w:r>
    </w:p>
    <w:tbl>
      <w:tblPr>
        <w:tblStyle w:val="LightGrid-Accent1"/>
        <w:tblW w:type="auto" w:w="0"/>
        <w:jc w:val="left"/>
        <w:tblLayout w:type="fixed"/>
        <w:tblLook w:firstColumn="1" w:firstRow="1" w:lastColumn="0" w:lastRow="0" w:noHBand="0" w:noVBand="1" w:val="04A0"/>
      </w:tblPr>
      <w:tblGrid>
        <w:gridCol w:w="3120"/>
        <w:gridCol w:w="3120"/>
        <w:gridCol w:w="3120"/>
      </w:tblGrid>
      <w:tr>
        <w:trPr>
          <w:tblHeader w:val="true"/>
        </w:trPr>
        <w:tc>
          <w:tcPr>
            <w:tcW w:type="dxa" w:w="2448"/>
          </w:tcPr>
          <w:p>
            <w:pPr>
              <w:spacing w:after="40" w:before="40"/>
            </w:pPr>
            <w:r>
              <w:rPr>
                <w:sz w:val="20"/>
              </w:rPr>
              <w:t>Item</w:t>
            </w:r>
          </w:p>
        </w:tc>
        <w:tc>
          <w:tcPr>
            <w:tcW w:type="dxa" w:w="5184"/>
          </w:tcPr>
          <w:p>
            <w:pPr>
              <w:spacing w:after="40" w:before="40"/>
            </w:pPr>
            <w:r>
              <w:rPr>
                <w:sz w:val="20"/>
              </w:rPr>
              <w:t>What we mean</w:t>
            </w:r>
          </w:p>
        </w:tc>
        <w:tc>
          <w:tcPr>
            <w:tcW w:type="dxa" w:w="1728"/>
          </w:tcPr>
          <w:p>
            <w:pPr>
              <w:spacing w:after="40" w:before="40"/>
            </w:pPr>
            <w:r>
              <w:rPr>
                <w:sz w:val="20"/>
              </w:rPr>
              <w:t>Score (0-2)</w:t>
            </w:r>
          </w:p>
        </w:tc>
      </w:tr>
      <w:tr>
        <w:tc>
          <w:tcPr>
            <w:tcW w:type="dxa" w:w="2448"/>
          </w:tcPr>
          <w:p>
            <w:pPr>
              <w:spacing w:after="40" w:before="40"/>
            </w:pPr>
            <w:r>
              <w:rPr>
                <w:sz w:val="20"/>
              </w:rPr>
              <w:t>Attendance and follow-through</w:t>
            </w:r>
          </w:p>
        </w:tc>
        <w:tc>
          <w:tcPr>
            <w:tcW w:type="dxa" w:w="5184"/>
          </w:tcPr>
          <w:p>
            <w:pPr>
              <w:spacing w:after="40" w:before="40"/>
            </w:pPr>
            <w:r>
              <w:rPr>
                <w:sz w:val="20"/>
              </w:rPr>
              <w:t>Turns up, meets deadlines, finishes what they start, including when it is inconvenient.</w:t>
            </w:r>
          </w:p>
        </w:tc>
        <w:tc>
          <w:tcPr>
            <w:tcW w:type="dxa" w:w="1728"/>
          </w:tcPr>
          <w:p>
            <w:pPr>
              <w:spacing w:after="40" w:before="40"/>
            </w:pPr>
            <w:r>
              <w:rPr>
                <w:sz w:val="20"/>
              </w:rPr>
            </w:r>
          </w:p>
        </w:tc>
      </w:tr>
      <w:tr>
        <w:tc>
          <w:tcPr>
            <w:tcW w:type="dxa" w:w="2448"/>
          </w:tcPr>
          <w:p>
            <w:pPr>
              <w:spacing w:after="40" w:before="40"/>
            </w:pPr>
            <w:r>
              <w:rPr>
                <w:sz w:val="20"/>
              </w:rPr>
              <w:t>Response to a setback</w:t>
            </w:r>
          </w:p>
        </w:tc>
        <w:tc>
          <w:tcPr>
            <w:tcW w:type="dxa" w:w="5184"/>
          </w:tcPr>
          <w:p>
            <w:pPr>
              <w:spacing w:after="40" w:before="40"/>
            </w:pPr>
            <w:r>
              <w:rPr>
                <w:sz w:val="20"/>
              </w:rPr>
              <w:t>You have seen this student handle a specific failure, rejection, or obstacle, and can describe what they did.</w:t>
            </w:r>
          </w:p>
        </w:tc>
        <w:tc>
          <w:tcPr>
            <w:tcW w:type="dxa" w:w="1728"/>
          </w:tcPr>
          <w:p>
            <w:pPr>
              <w:spacing w:after="40" w:before="40"/>
            </w:pPr>
            <w:r>
              <w:rPr>
                <w:sz w:val="20"/>
              </w:rPr>
            </w:r>
          </w:p>
        </w:tc>
      </w:tr>
      <w:tr>
        <w:tc>
          <w:tcPr>
            <w:tcW w:type="dxa" w:w="2448"/>
          </w:tcPr>
          <w:p>
            <w:pPr>
              <w:spacing w:after="40" w:before="40"/>
            </w:pPr>
            <w:r>
              <w:rPr>
                <w:sz w:val="20"/>
              </w:rPr>
              <w:t>Self-advocacy</w:t>
            </w:r>
          </w:p>
        </w:tc>
        <w:tc>
          <w:tcPr>
            <w:tcW w:type="dxa" w:w="5184"/>
          </w:tcPr>
          <w:p>
            <w:pPr>
              <w:spacing w:after="40" w:before="40"/>
            </w:pPr>
            <w:r>
              <w:rPr>
                <w:sz w:val="20"/>
              </w:rPr>
              <w:t>Asks for help from an adult or an institution when they need it, rather than going quiet.</w:t>
            </w:r>
          </w:p>
        </w:tc>
        <w:tc>
          <w:tcPr>
            <w:tcW w:type="dxa" w:w="1728"/>
          </w:tcPr>
          <w:p>
            <w:pPr>
              <w:spacing w:after="40" w:before="40"/>
            </w:pPr>
            <w:r>
              <w:rPr>
                <w:sz w:val="20"/>
              </w:rPr>
            </w:r>
          </w:p>
        </w:tc>
      </w:tr>
      <w:tr>
        <w:tc>
          <w:tcPr>
            <w:tcW w:type="dxa" w:w="2448"/>
          </w:tcPr>
          <w:p>
            <w:pPr>
              <w:spacing w:after="40" w:before="40"/>
            </w:pPr>
            <w:r>
              <w:rPr>
                <w:sz w:val="20"/>
              </w:rPr>
              <w:t>Preparation for the program named</w:t>
            </w:r>
          </w:p>
        </w:tc>
        <w:tc>
          <w:tcPr>
            <w:tcW w:type="dxa" w:w="5184"/>
          </w:tcPr>
          <w:p>
            <w:pPr>
              <w:spacing w:after="40" w:before="40"/>
            </w:pPr>
            <w:r>
              <w:rPr>
                <w:sz w:val="20"/>
              </w:rPr>
              <w:t>Has done the specific groundwork for the program or field they have named on the application.</w:t>
            </w:r>
          </w:p>
        </w:tc>
        <w:tc>
          <w:tcPr>
            <w:tcW w:type="dxa" w:w="1728"/>
          </w:tcPr>
          <w:p>
            <w:pPr>
              <w:spacing w:after="40" w:before="40"/>
            </w:pPr>
            <w:r>
              <w:rPr>
                <w:sz w:val="20"/>
              </w:rPr>
            </w:r>
          </w:p>
        </w:tc>
      </w:tr>
      <w:tr>
        <w:tc>
          <w:tcPr>
            <w:tcW w:type="dxa" w:w="2448"/>
          </w:tcPr>
          <w:p>
            <w:pPr>
              <w:spacing w:after="40" w:before="40"/>
            </w:pPr>
            <w:r>
              <w:rPr>
                <w:sz w:val="20"/>
              </w:rPr>
              <w:t>Knowledge over time</w:t>
            </w:r>
          </w:p>
        </w:tc>
        <w:tc>
          <w:tcPr>
            <w:tcW w:type="dxa" w:w="5184"/>
          </w:tcPr>
          <w:p>
            <w:pPr>
              <w:spacing w:after="40" w:before="40"/>
            </w:pPr>
            <w:r>
              <w:rPr>
                <w:sz w:val="20"/>
              </w:rPr>
              <w:t>You have known this student long enough to judge change, not just a single year or a single class.</w:t>
            </w:r>
          </w:p>
        </w:tc>
        <w:tc>
          <w:tcPr>
            <w:tcW w:type="dxa" w:w="1728"/>
          </w:tcPr>
          <w:p>
            <w:pPr>
              <w:spacing w:after="40" w:before="40"/>
            </w:pPr>
            <w:r>
              <w:rPr>
                <w:sz w:val="20"/>
              </w:rPr>
            </w:r>
          </w:p>
        </w:tc>
      </w:tr>
      <w:tr>
        <w:tc>
          <w:tcPr>
            <w:tcW w:type="dxa" w:w="2448"/>
          </w:tcPr>
          <w:p>
            <w:pPr>
              <w:spacing w:after="40" w:before="40"/>
            </w:pPr>
            <w:r>
              <w:rPr>
                <w:b/>
                <w:sz w:val="20"/>
              </w:rPr>
              <w:t>Total</w:t>
            </w:r>
          </w:p>
        </w:tc>
        <w:tc>
          <w:tcPr>
            <w:tcW w:type="dxa" w:w="5184"/>
          </w:tcPr>
          <w:p>
            <w:pPr>
              <w:spacing w:after="40" w:before="40"/>
            </w:pPr>
            <w:r>
              <w:rPr>
                <w:b/>
                <w:sz w:val="20"/>
              </w:rPr>
            </w:r>
          </w:p>
        </w:tc>
        <w:tc>
          <w:tcPr>
            <w:tcW w:type="dxa" w:w="1728"/>
          </w:tcPr>
          <w:p>
            <w:pPr>
              <w:spacing w:after="40" w:before="40"/>
            </w:pPr>
            <w:r>
              <w:rPr>
                <w:b/>
                <w:sz w:val="20"/>
              </w:rPr>
              <w:t xml:space="preserve">     / 10</w:t>
            </w:r>
          </w:p>
        </w:tc>
      </w:tr>
    </w:tbl>
    <w:p/>
    <w:p>
      <w:r>
        <w:t>Optional comment. If you scored the setback item at 2, describe what you saw in two or three sentences. This comment is read by the committee but is not scored.</w:t>
      </w:r>
    </w:p>
    <w:p>
      <w:pPr>
        <w:spacing w:after="120"/>
      </w:pPr>
      <w:r>
        <w:rPr>
          <w:sz w:val="21"/>
        </w:rPr>
        <w:t xml:space="preserve">  ________________________________________________________________________________________</w:t>
      </w:r>
    </w:p>
    <w:p>
      <w:pPr>
        <w:spacing w:after="120"/>
      </w:pPr>
      <w:r>
        <w:rPr>
          <w:sz w:val="21"/>
        </w:rPr>
        <w:t xml:space="preserve">  ________________________________________________________________________________________</w:t>
      </w:r>
    </w:p>
    <w:p>
      <w:pPr>
        <w:spacing w:after="120"/>
      </w:pPr>
      <w:r>
        <w:rPr>
          <w:sz w:val="21"/>
        </w:rPr>
        <w:t xml:space="preserve">  ________________________________________________________________________________________</w:t>
      </w:r>
    </w:p>
    <w:p>
      <w:pPr>
        <w:spacing w:after="120"/>
      </w:pPr>
      <w:r>
        <w:rPr>
          <w:sz w:val="21"/>
        </w:rPr>
        <w:t xml:space="preserve">  ________________________________________________________________________________________</w:t>
      </w:r>
    </w:p>
    <w:p/>
    <w:p>
      <w:pPr>
        <w:spacing w:after="120"/>
      </w:pPr>
      <w:r>
        <w:rPr>
          <w:sz w:val="21"/>
        </w:rPr>
        <w:t>Recommender signature and date  __________________________________________________________</w:t>
      </w:r>
    </w:p>
    <w:p>
      <w:r>
        <w:t>I confirm that I am not a family member of the applicant and that I have no financial interest in this award.</w:t>
      </w:r>
    </w:p>
    <w:p>
      <w:r>
        <w:br w:type="page"/>
      </w:r>
    </w:p>
    <w:p>
      <w:pPr>
        <w:pStyle w:val="Heading1"/>
      </w:pPr>
      <w:r>
        <w:t>Appendix C. Selection Committee Conflict of Interest Disclosure</w:t>
      </w:r>
    </w:p>
    <w:p>
      <w:pPr>
        <w:pStyle w:val="AdaptationNote"/>
      </w:pPr>
      <w:r>
        <w:t>Adapt this section: Every reviewer signs this before receiving any files, and confirms verbally at the meeting that nothing has changed. File the signed forms with the cycle records for seven years.</w:t>
      </w:r>
    </w:p>
    <w:p>
      <w:r>
        <w:t>Two Rivers Scholarship Fund, selection committee, 2027 cycle. Please read the definition below, list any applicant it applies to, and sign.</w:t>
      </w:r>
    </w:p>
    <w:p>
      <w:r>
        <w:t>A conflict exists where, within the previous three years, you have or have had: a family or household relationship with an applicant; an employment or supervisory relationship with an applicant or an applicant's parent or guardian; a mentoring, coaching, tutoring, or advising relationship with an applicant; a business relationship with an applicant's family; or any other relationship that a reasonable person would think could affect your judgment. If you are unsure whether something counts, disclose it. Disclosure is not an accusation and it does not remove you from the committee. It removes you from one file.</w:t>
      </w:r>
    </w:p>
    <w:p>
      <w:r>
        <w:t>A reviewer who discloses a conflict does not score, discuss, or vote on that applicant's file, and leaves the room while that file is discussed. The recusal is recorded in the minutes and the file is scored by the remaining reviewers, prorated to the same 100-point scale.</w:t>
      </w:r>
    </w:p>
    <w:p>
      <w:pPr>
        <w:spacing w:after="120"/>
      </w:pPr>
      <w:r>
        <w:rPr>
          <w:sz w:val="21"/>
        </w:rPr>
        <w:t>Reviewer name and role on the committee  _________________________________________________</w:t>
      </w:r>
    </w:p>
    <w:p/>
    <w:p>
      <w:r>
        <w:t>Applicants with whom I have a relationship as defined above (write "none" if none):</w:t>
      </w:r>
    </w:p>
    <w:p>
      <w:pPr>
        <w:spacing w:after="120"/>
      </w:pPr>
      <w:r>
        <w:rPr>
          <w:sz w:val="21"/>
        </w:rPr>
        <w:t xml:space="preserve">  ________________________________________________________________________________________</w:t>
      </w:r>
    </w:p>
    <w:p>
      <w:pPr>
        <w:spacing w:after="120"/>
      </w:pPr>
      <w:r>
        <w:rPr>
          <w:sz w:val="21"/>
        </w:rPr>
        <w:t xml:space="preserve">  ________________________________________________________________________________________</w:t>
      </w:r>
    </w:p>
    <w:p>
      <w:pPr>
        <w:spacing w:after="120"/>
      </w:pPr>
      <w:r>
        <w:rPr>
          <w:sz w:val="21"/>
        </w:rPr>
        <w:t xml:space="preserve">  ________________________________________________________________________________________</w:t>
      </w:r>
    </w:p>
    <w:p>
      <w:pPr>
        <w:spacing w:after="120"/>
      </w:pPr>
      <w:r>
        <w:rPr>
          <w:sz w:val="21"/>
        </w:rPr>
        <w:t xml:space="preserve">  ________________________________________________________________________________________</w:t>
      </w:r>
    </w:p>
    <w:p/>
    <w:p>
      <w:r>
        <w:t>I confirm that I have read the Fund's selection procedure and nondiscrimination policy, that I will score only against the published rubric, that I will not introduce a criterion that is not on the rubric, and that I will keep every application and everything said in the committee meeting confidential.</w:t>
      </w:r>
    </w:p>
    <w:p/>
    <w:p>
      <w:pPr>
        <w:spacing w:after="120"/>
      </w:pPr>
      <w:r>
        <w:rPr>
          <w:sz w:val="21"/>
        </w:rPr>
        <w:t>Signature  _______________________________________________________________________________</w:t>
      </w:r>
    </w:p>
    <w:p>
      <w:pPr>
        <w:spacing w:after="120"/>
      </w:pPr>
      <w:r>
        <w:rPr>
          <w:sz w:val="21"/>
        </w:rPr>
        <w:t>Date  ____________________________________________________________________________________</w:t>
      </w:r>
    </w:p>
    <w:p/>
    <w:p>
      <w:r>
        <w:t>Confirmed at the committee meeting on April 13, 2027 that no relationship has changed:</w:t>
      </w:r>
    </w:p>
    <w:p>
      <w:pPr>
        <w:spacing w:after="120"/>
      </w:pPr>
      <w:r>
        <w:rPr>
          <w:sz w:val="21"/>
        </w:rPr>
        <w:t>Initials and date  _______________________________________________________________________</w:t>
      </w:r>
    </w:p>
    <w:p>
      <w:r>
        <w:br w:type="page"/>
      </w:r>
    </w:p>
    <w:p>
      <w:pPr>
        <w:pStyle w:val="Heading1"/>
      </w:pPr>
      <w:r>
        <w:t>Appendix D. Disbursement Request Letter to the Student Accounts Office</w:t>
      </w:r>
    </w:p>
    <w:p>
      <w:pPr>
        <w:pStyle w:val="AdaptationNote"/>
      </w:pPr>
      <w:r>
        <w:t>Adapt this section: Send this with each term payment, and copy the financial aid office. The displacement coordination paragraph is the one that matters most to the student, and it is a request rather than a demand, because packaging is the institution's decision under its own policy and federal rules.</w:t>
      </w:r>
    </w:p>
    <w:p>
      <w:r>
        <w:t>August 21, 2027</w:t>
      </w:r>
    </w:p>
    <w:p>
      <w:r>
        <w:t>Student Accounts Office</w:t>
      </w:r>
    </w:p>
    <w:p>
      <w:r>
        <w:t>Institution name</w:t>
      </w:r>
    </w:p>
    <w:p>
      <w:r>
        <w:t>Street address</w:t>
      </w:r>
    </w:p>
    <w:p>
      <w:r>
        <w:t>City, State ZIP</w:t>
      </w:r>
    </w:p>
    <w:p/>
    <w:p>
      <w:r>
        <w:t>Copy: Office of Financial Aid</w:t>
      </w:r>
    </w:p>
    <w:p/>
    <w:p>
      <w:r>
        <w:t>Re: Two Rivers Completion Scholarship, fall 2027 term payment</w:t>
      </w:r>
    </w:p>
    <w:p/>
    <w:p>
      <w:r>
        <w:t>To the Student Accounts Office,</w:t>
      </w:r>
    </w:p>
    <w:p>
      <w:r>
        <w:t>Enclosed is a payment of $2,000 from the Two Rivers Scholarship Fund for the following student, for the fall 2027 term. Please apply the payment to tuition and required fees on the student's account.</w:t>
      </w:r>
    </w:p>
    <w:p>
      <w:pPr>
        <w:spacing w:after="120"/>
      </w:pPr>
      <w:r>
        <w:rPr>
          <w:sz w:val="21"/>
        </w:rPr>
        <w:t>Student name  ____________________________________________________________________________</w:t>
      </w:r>
    </w:p>
    <w:p>
      <w:pPr>
        <w:spacing w:after="120"/>
      </w:pPr>
      <w:r>
        <w:rPr>
          <w:sz w:val="21"/>
        </w:rPr>
        <w:t>Student identification number  ___________________________________________________________</w:t>
      </w:r>
    </w:p>
    <w:p>
      <w:pPr>
        <w:spacing w:after="120"/>
      </w:pPr>
      <w:r>
        <w:rPr>
          <w:sz w:val="21"/>
        </w:rPr>
        <w:t>Term  ____________________________________________________________________________________</w:t>
      </w:r>
    </w:p>
    <w:p>
      <w:pPr>
        <w:spacing w:after="120"/>
      </w:pPr>
      <w:r>
        <w:rPr>
          <w:sz w:val="21"/>
        </w:rPr>
        <w:t>Amount enclosed  _________________________________________________________________________</w:t>
      </w:r>
    </w:p>
    <w:p/>
    <w:p>
      <w:r>
        <w:t>This is the first of two term payments totalling $4,000 for the 2027-28 academic year. The second payment of $2,000 will be issued on or about December 8, 2027, after we confirm fall credit completion and spring registration.</w:t>
      </w:r>
    </w:p>
    <w:p>
      <w:r>
        <w:t>Displacement coordination request. Where your packaging policy and federal rules permit, we ask that this award be applied first against the student's remaining unmet cost and any loan amounts in the package, before any reduction is made to institutional grant aid. The purpose of the award is to reduce what this student actually owes, and an outside award that displaces institutional grant aid dollar for dollar leaves the student in the same position. If your policy does not permit this treatment, please tell us, and please send a copy of your outside scholarship policy so that we can advise our recipients accurately.</w:t>
      </w:r>
    </w:p>
    <w:p>
      <w:r>
        <w:t>Confirmation requested. Please return a bursar receipt or account statement showing the line this payment was applied to. We reconcile every disbursement against that document and report it to our funder. If the payment has not posted within ten business days we will follow up with this office.</w:t>
      </w:r>
    </w:p>
    <w:p>
      <w:r>
        <w:t>Refunds. If this student withdraws before your census date for the term, please return the unused payment to the Fund at the address below rather than refunding it to the student. The returned amount is re-granted to another student in the same cycle.</w:t>
      </w:r>
    </w:p>
    <w:p>
      <w:r>
        <w:t>The student has signed a consent authorizing us to communicate with your office about this award and to verify enrollment, credits earned, and credential completion. A copy is enclosed. Thank you for your help.</w:t>
      </w:r>
    </w:p>
    <w:p/>
    <w:p>
      <w:r>
        <w:t>Sincerely,</w:t>
      </w:r>
    </w:p>
    <w:p/>
    <w:p>
      <w:r>
        <w:t>Finance Associate, Two Rivers Scholarship Fund</w:t>
      </w:r>
    </w:p>
    <w:p>
      <w:r>
        <w:t>Address | Phone | Email | EIN</w:t>
      </w:r>
    </w:p>
    <w:p>
      <w:r>
        <w:br w:type="page"/>
      </w:r>
    </w:p>
    <w:p>
      <w:pPr>
        <w:pStyle w:val="Heading1"/>
      </w:pPr>
      <w:r>
        <w:t>Appendix E. Sources Cited</w:t>
      </w:r>
    </w:p>
    <w:p>
      <w:r>
        <w:t>The statements attributed to federal agencies in this document come from the sources below. Everything attributed to Two Rivers Scholarship Fund, the Two Rivers Area School District, or the named institutions is composite example content written for this template. Check each source before you rely on it; federal guidance changes, and the review dates below are the dates the pages carried when this document was written.</w:t>
      </w:r>
    </w:p>
    <w:tbl>
      <w:tblPr>
        <w:tblStyle w:val="LightGrid-Accent1"/>
        <w:tblW w:type="auto" w:w="0"/>
        <w:jc w:val="left"/>
        <w:tblLayout w:type="fixed"/>
        <w:tblLook w:firstColumn="1" w:firstRow="1" w:lastColumn="0" w:lastRow="0" w:noHBand="0" w:noVBand="1" w:val="04A0"/>
      </w:tblPr>
      <w:tblGrid>
        <w:gridCol w:w="4680"/>
        <w:gridCol w:w="4680"/>
      </w:tblGrid>
      <w:tr>
        <w:trPr>
          <w:tblHeader w:val="true"/>
        </w:trPr>
        <w:tc>
          <w:tcPr>
            <w:tcW w:type="dxa" w:w="4608"/>
          </w:tcPr>
          <w:p>
            <w:pPr>
              <w:spacing w:after="40" w:before="40"/>
            </w:pPr>
            <w:r>
              <w:rPr>
                <w:sz w:val="20"/>
              </w:rPr>
              <w:t>Statement</w:t>
            </w:r>
          </w:p>
        </w:tc>
        <w:tc>
          <w:tcPr>
            <w:tcW w:type="dxa" w:w="4752"/>
          </w:tcPr>
          <w:p>
            <w:pPr>
              <w:spacing w:after="40" w:before="40"/>
            </w:pPr>
            <w:r>
              <w:rPr>
                <w:sz w:val="20"/>
              </w:rPr>
              <w:t>Source</w:t>
            </w:r>
          </w:p>
        </w:tc>
      </w:tr>
      <w:tr>
        <w:tc>
          <w:tcPr>
            <w:tcW w:type="dxa" w:w="4608"/>
          </w:tcPr>
          <w:p>
            <w:pPr>
              <w:spacing w:after="40" w:before="40"/>
            </w:pPr>
            <w:r>
              <w:rPr>
                <w:sz w:val="20"/>
              </w:rPr>
              <w:t>Private foundation grants to individuals for study are taxable expenditures unless awarded on an objective and nondiscriminatory basis under a procedure approved in advance by the IRS (IRC 4945(g)).</w:t>
            </w:r>
          </w:p>
        </w:tc>
        <w:tc>
          <w:tcPr>
            <w:tcW w:type="dxa" w:w="4752"/>
          </w:tcPr>
          <w:p>
            <w:pPr>
              <w:spacing w:after="40" w:before="40"/>
            </w:pPr>
            <w:r>
              <w:rPr>
                <w:sz w:val="20"/>
              </w:rPr>
              <w:t>IRS, Grants to Individuals, irs.gov/charities-non-profits/private-foundations/grants-to-individuals, page last reviewed June 28, 2026</w:t>
            </w:r>
          </w:p>
        </w:tc>
      </w:tr>
      <w:tr>
        <w:tc>
          <w:tcPr>
            <w:tcW w:type="dxa" w:w="4608"/>
          </w:tcPr>
          <w:p>
            <w:pPr>
              <w:spacing w:after="40" w:before="40"/>
            </w:pPr>
            <w:r>
              <w:rPr>
                <w:sz w:val="20"/>
              </w:rPr>
              <w:t>Advance approval of grant-making procedures is requested on Form 8940, and the procedure must be reasonably calculated to result in performance of the activities the grants are intended to finance.</w:t>
            </w:r>
          </w:p>
        </w:tc>
        <w:tc>
          <w:tcPr>
            <w:tcW w:type="dxa" w:w="4752"/>
          </w:tcPr>
          <w:p>
            <w:pPr>
              <w:spacing w:after="40" w:before="40"/>
            </w:pPr>
            <w:r>
              <w:rPr>
                <w:sz w:val="20"/>
              </w:rPr>
              <w:t>IRS, Advance Approval of Grant-Making Procedures, irs.gov/charities-non-profits/private-foundations/advance-approval-of-grant-making-procedures, page last reviewed June 28, 2026</w:t>
            </w:r>
          </w:p>
        </w:tc>
      </w:tr>
      <w:tr>
        <w:tc>
          <w:tcPr>
            <w:tcW w:type="dxa" w:w="4608"/>
          </w:tcPr>
          <w:p>
            <w:pPr>
              <w:spacing w:after="40" w:before="40"/>
            </w:pPr>
            <w:r>
              <w:rPr>
                <w:sz w:val="20"/>
              </w:rPr>
              <w:t>A foundation grant to a public charity is not treated as a grant to an individual where the charity undertakes and controls the project and controls recipient selection.</w:t>
            </w:r>
          </w:p>
        </w:tc>
        <w:tc>
          <w:tcPr>
            <w:tcW w:type="dxa" w:w="4752"/>
          </w:tcPr>
          <w:p>
            <w:pPr>
              <w:spacing w:after="40" w:before="40"/>
            </w:pPr>
            <w:r>
              <w:rPr>
                <w:sz w:val="20"/>
              </w:rPr>
              <w:t>IRS, Certain Private Foundation Grants to Public Charities Not Treated as Grants to Individuals, irs.gov, accessed September 10, 2026</w:t>
            </w:r>
          </w:p>
        </w:tc>
      </w:tr>
      <w:tr>
        <w:tc>
          <w:tcPr>
            <w:tcW w:type="dxa" w:w="4608"/>
          </w:tcPr>
          <w:p>
            <w:pPr>
              <w:spacing w:after="40" w:before="40"/>
            </w:pPr>
            <w:r>
              <w:rPr>
                <w:sz w:val="20"/>
              </w:rPr>
              <w:t>Scholarship amounts are tax free for a degree candidate when used for tuition and required fees or required course materials; amounts used for room, board, travel, and optional equipment are taxable.</w:t>
            </w:r>
          </w:p>
        </w:tc>
        <w:tc>
          <w:tcPr>
            <w:tcW w:type="dxa" w:w="4752"/>
          </w:tcPr>
          <w:p>
            <w:pPr>
              <w:spacing w:after="40" w:before="40"/>
            </w:pPr>
            <w:r>
              <w:rPr>
                <w:sz w:val="20"/>
              </w:rPr>
              <w:t>IRS, Topic no. 421, Scholarships, fellowship grants, and other grants, irs.gov/taxtopics/tc421, page last reviewed February 9, 2026</w:t>
            </w:r>
          </w:p>
        </w:tc>
      </w:tr>
      <w:tr>
        <w:tc>
          <w:tcPr>
            <w:tcW w:type="dxa" w:w="4608"/>
          </w:tcPr>
          <w:p>
            <w:pPr>
              <w:spacing w:after="40" w:before="40"/>
            </w:pPr>
            <w:r>
              <w:rPr>
                <w:sz w:val="20"/>
              </w:rPr>
              <w:t>The Student Aid Index replaced the Expected Family Contribution beginning with the 2024-25 award year under the FAFSA Simplification Act.</w:t>
            </w:r>
          </w:p>
        </w:tc>
        <w:tc>
          <w:tcPr>
            <w:tcW w:type="dxa" w:w="4752"/>
          </w:tcPr>
          <w:p>
            <w:pPr>
              <w:spacing w:after="40" w:before="40"/>
            </w:pPr>
            <w:r>
              <w:rPr>
                <w:sz w:val="20"/>
              </w:rPr>
              <w:t>U.S. Department of Education, Dear Colleague Letter GEN-23-05, August 4, 2023; Federal Student Aid, Student Aid Index, studentaid.gov, accessed September 10, 2026</w:t>
            </w:r>
          </w:p>
        </w:tc>
      </w:tr>
    </w:tbl>
    <w:p/>
    <w:p>
      <w:pPr>
        <w:pStyle w:val="Heading2"/>
      </w:pPr>
      <w:r>
        <w:t>About this template</w:t>
      </w:r>
    </w:p>
    <w:p>
      <w:r>
        <w:t>This document accompanies the article Sample Grant Proposal for Scholarship Program: Full Worked Example and Selection Criteria, published at grantcue.com/blog/sample-grant-proposal-scholarship-program. GrantCue tracks federal, state, and local grant opportunities in one searchable database and publishes IRS 990-PF filing data for foundations, including the recipients and stated purposes of the grants they have paid. GrantCue's foundation data lets you search which funders have already paid scholarship grants and what purposes they named. Related templates in the same series cover the general nonprofit proposal, the statement of need, and the proposal budget.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5B5B"/>
        <w:sz w:val="17"/>
      </w:rPr>
      <w:t>GrantCue - grantcue.com/blog/sample-grant-proposal-scholarship-program</w:t>
      <w:tab/>
      <w:tab/>
    </w:r>
    <w:r>
      <w:rPr>
        <w:color w:val="5B5B5B"/>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Calibri" w:hAnsi="Calibri"/>
      <w:b/>
      <w:bCs/>
      <w:color w:val="1F3364"/>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1F3364"/>
      <w:sz w:val="27"/>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Calibri" w:hAnsi="Calibri"/>
      <w:b/>
      <w:bCs/>
      <w:color w:val="1F3364"/>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336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val="0"/>
      <w:iCs/>
      <w:color w:val="44546A"/>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daptationNote">
    <w:name w:val="Adaptation Note"/>
    <w:basedOn w:val="Normal"/>
    <w:pPr>
      <w:spacing w:after="200"/>
      <w:ind w:left="360"/>
    </w:pPr>
    <w:rPr>
      <w:rFonts w:ascii="Calibri" w:hAnsi="Calibri"/>
      <w:i/>
      <w:color w:val="5B5B5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