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Grant Proposal: Library Literacy Program</w:t>
      </w:r>
    </w:p>
    <w:p>
      <w:pPr>
        <w:pStyle w:val="Subtitle"/>
      </w:pPr>
      <w:r>
        <w:t>A complete, adaptable request for adult tutoring and an evening family literacy track at a public library district</w:t>
      </w:r>
    </w:p>
    <w:p>
      <w:r>
        <w:t>Request: $38,000 over a twelve-month program year</w:t>
      </w:r>
    </w:p>
    <w:p>
      <w:r>
        <w:t>Project: Volunteer-delivered tutoring for 60 adult learners, plus an evening family literacy track serving 45 families with childcare provided on site</w:t>
      </w:r>
    </w:p>
    <w:p>
      <w:r>
        <w:t>Applicant: Example County Library District, a composite organization created for this template</w:t>
      </w:r>
    </w:p>
    <w:p>
      <w:r>
        <w:t>Document version: September 2026</w:t>
      </w:r>
    </w:p>
    <w:p>
      <w:pPr>
        <w:pStyle w:val="IntenseQuote"/>
      </w:pPr>
      <w:r>
        <w:t>Read this first. Example County Library District, Friends of the Example County Library, the city of Fairhaven, Example County, and Example Area School District are composite inventions used to make this template concrete. No funder is named anywhere in this document. No statistic in it describes a real county, and every dollar figure is illustrative. Replace every bracketed field and every unit cost before you submit.</w:t>
      </w:r>
    </w:p>
    <w:p>
      <w:r>
        <w:t>This document is drafted at submission length. Each section is drafted in full prose at the length a reviewer expects, so you can adapt sentences instead of inventing them. Bracketed fields mark the facts only you can supply: your county's literacy estimate, your salary scale, your waiting list count, your board's resolution date. Everything else is written out.</w:t>
      </w:r>
    </w:p>
    <w:p>
      <w:r>
        <w:t>The proposal answers the question a library literacy request always faces first. The applicant is already funded by taxes, so a reviewer opens the file wondering why a foundation should pay for anything a millage does not already cover. That question is answered four separate times in the pages that follow: in the cover letter, in the statement of need, in the budget narrative, and in a dedicated supplanting statement. Do not remove any of those four passes.</w:t>
      </w:r>
    </w:p>
    <w:p>
      <w:pPr>
        <w:pStyle w:val="Heading1"/>
      </w:pPr>
      <w:r>
        <w:t>How to Use This Document</w:t>
      </w:r>
    </w:p>
    <w:p>
      <w:r>
        <w:t>A library literacy proposal is judged on two things a reviewer can check without visiting you: how many learners receive instruction, and how many hours of instruction each one receives. Everything else in the file supports those two numbers. The structure below keeps them visible from the first page to the last.</w:t>
      </w:r>
    </w:p>
    <w:p>
      <w:r>
        <w:t>Work through the document in three passes. In the first pass, replace the composite facts listed in the table below, working front to back so the learner count you settle on in the need statement carries through the budget. In the second pass, rewrite the statement of need and the organization background entirely in your own facts, because those two sections cannot be adapted from a template and survive review. In the third pass, price every budget line against your own salary scale and vendor quotes, then re-check the arithmetic. Reviewers add up budget columns.</w:t>
      </w:r>
    </w:p>
    <w:p>
      <w:pPr>
        <w:pStyle w:val="Heading2"/>
      </w:pPr>
      <w:r>
        <w:t>Fields to replace</w:t>
      </w:r>
    </w:p>
    <w:tbl>
      <w:tblPr>
        <w:tblStyle w:val="LightGrid-Accent1"/>
        <w:tblW w:type="auto" w:w="0"/>
        <w:tblLook w:firstColumn="1" w:firstRow="1" w:lastColumn="0" w:lastRow="0" w:noHBand="0" w:noVBand="1" w:val="04A0"/>
      </w:tblPr>
      <w:tblGrid>
        <w:gridCol w:w="3120"/>
        <w:gridCol w:w="3120"/>
        <w:gridCol w:w="3120"/>
      </w:tblGrid>
      <w:tr>
        <w:tc>
          <w:tcPr>
            <w:tcW w:type="dxa" w:w="2736"/>
          </w:tcPr>
          <w:p>
            <w:r>
              <w:rPr>
                <w:b/>
              </w:rPr>
              <w:t>Bracketed field</w:t>
            </w:r>
          </w:p>
        </w:tc>
        <w:tc>
          <w:tcPr>
            <w:tcW w:type="dxa" w:w="2736"/>
          </w:tcPr>
          <w:p>
            <w:r>
              <w:rPr>
                <w:b/>
              </w:rPr>
              <w:t>Where it appears</w:t>
            </w:r>
          </w:p>
        </w:tc>
        <w:tc>
          <w:tcPr>
            <w:tcW w:type="dxa" w:w="3888"/>
          </w:tcPr>
          <w:p>
            <w:r>
              <w:rPr>
                <w:b/>
              </w:rPr>
              <w:t>What to put there</w:t>
            </w:r>
          </w:p>
        </w:tc>
      </w:tr>
      <w:tr>
        <w:tc>
          <w:tcPr>
            <w:tcW w:type="dxa" w:w="2736"/>
          </w:tcPr>
          <w:p>
            <w:r>
              <w:t>[Funder name], [Program name]</w:t>
            </w:r>
          </w:p>
        </w:tc>
        <w:tc>
          <w:tcPr>
            <w:tcW w:type="dxa" w:w="2736"/>
          </w:tcPr>
          <w:p>
            <w:r>
              <w:t>Cover letter, summary</w:t>
            </w:r>
          </w:p>
        </w:tc>
        <w:tc>
          <w:tcPr>
            <w:tcW w:type="dxa" w:w="3888"/>
          </w:tcPr>
          <w:p>
            <w:r>
              <w:t>The exact fund or program title from the guidelines</w:t>
            </w:r>
          </w:p>
        </w:tc>
      </w:tr>
      <w:tr>
        <w:tc>
          <w:tcPr>
            <w:tcW w:type="dxa" w:w="2736"/>
          </w:tcPr>
          <w:p>
            <w:r>
              <w:t>[Date], [Contact name], [Title]</w:t>
            </w:r>
          </w:p>
        </w:tc>
        <w:tc>
          <w:tcPr>
            <w:tcW w:type="dxa" w:w="2736"/>
          </w:tcPr>
          <w:p>
            <w:r>
              <w:t>Cover letter</w:t>
            </w:r>
          </w:p>
        </w:tc>
        <w:tc>
          <w:tcPr>
            <w:tcW w:type="dxa" w:w="3888"/>
          </w:tcPr>
          <w:p>
            <w:r>
              <w:t>Submission date and the program officer named in the guidelines</w:t>
            </w:r>
          </w:p>
        </w:tc>
      </w:tr>
      <w:tr>
        <w:tc>
          <w:tcPr>
            <w:tcW w:type="dxa" w:w="2736"/>
          </w:tcPr>
          <w:p>
            <w:r>
              <w:t>[County literacy estimate]</w:t>
            </w:r>
          </w:p>
        </w:tc>
        <w:tc>
          <w:tcPr>
            <w:tcW w:type="dxa" w:w="2736"/>
          </w:tcPr>
          <w:p>
            <w:r>
              <w:t>Statement of need</w:t>
            </w:r>
          </w:p>
        </w:tc>
        <w:tc>
          <w:tcPr>
            <w:tcW w:type="dxa" w:w="3888"/>
          </w:tcPr>
          <w:p>
            <w:r>
              <w:t>Percentage of adults at or below Level 1 from the PIAAC Skills Map</w:t>
            </w:r>
          </w:p>
        </w:tc>
      </w:tr>
      <w:tr>
        <w:tc>
          <w:tcPr>
            <w:tcW w:type="dxa" w:w="2736"/>
          </w:tcPr>
          <w:p>
            <w:r>
              <w:t>[Credible interval]</w:t>
            </w:r>
          </w:p>
        </w:tc>
        <w:tc>
          <w:tcPr>
            <w:tcW w:type="dxa" w:w="2736"/>
          </w:tcPr>
          <w:p>
            <w:r>
              <w:t>Statement of need</w:t>
            </w:r>
          </w:p>
        </w:tc>
        <w:tc>
          <w:tcPr>
            <w:tcW w:type="dxa" w:w="3888"/>
          </w:tcPr>
          <w:p>
            <w:r>
              <w:t>The 95 percent credible interval published with that estimate</w:t>
            </w:r>
          </w:p>
        </w:tc>
      </w:tr>
      <w:tr>
        <w:tc>
          <w:tcPr>
            <w:tcW w:type="dxa" w:w="2736"/>
          </w:tcPr>
          <w:p>
            <w:r>
              <w:t>[State literacy estimate]</w:t>
            </w:r>
          </w:p>
        </w:tc>
        <w:tc>
          <w:tcPr>
            <w:tcW w:type="dxa" w:w="2736"/>
          </w:tcPr>
          <w:p>
            <w:r>
              <w:t>Statement of need</w:t>
            </w:r>
          </w:p>
        </w:tc>
        <w:tc>
          <w:tcPr>
            <w:tcW w:type="dxa" w:w="3888"/>
          </w:tcPr>
          <w:p>
            <w:r>
              <w:t>The state figure from the same source, for comparison</w:t>
            </w:r>
          </w:p>
        </w:tc>
      </w:tr>
      <w:tr>
        <w:tc>
          <w:tcPr>
            <w:tcW w:type="dxa" w:w="2736"/>
          </w:tcPr>
          <w:p>
            <w:r>
              <w:t>[District reading proficiency]</w:t>
            </w:r>
          </w:p>
        </w:tc>
        <w:tc>
          <w:tcPr>
            <w:tcW w:type="dxa" w:w="2736"/>
          </w:tcPr>
          <w:p>
            <w:r>
              <w:t>Statement of need</w:t>
            </w:r>
          </w:p>
        </w:tc>
        <w:tc>
          <w:tcPr>
            <w:tcW w:type="dxa" w:w="3888"/>
          </w:tcPr>
          <w:p>
            <w:r>
              <w:t>Grade-level reading proficiency from your state report card</w:t>
            </w:r>
          </w:p>
        </w:tc>
      </w:tr>
      <w:tr>
        <w:tc>
          <w:tcPr>
            <w:tcW w:type="dxa" w:w="2736"/>
          </w:tcPr>
          <w:p>
            <w:r>
              <w:t>[Waiting list count]</w:t>
            </w:r>
          </w:p>
        </w:tc>
        <w:tc>
          <w:tcPr>
            <w:tcW w:type="dxa" w:w="2736"/>
          </w:tcPr>
          <w:p>
            <w:r>
              <w:t>Need, program description</w:t>
            </w:r>
          </w:p>
        </w:tc>
        <w:tc>
          <w:tcPr>
            <w:tcW w:type="dxa" w:w="3888"/>
          </w:tcPr>
          <w:p>
            <w:r>
              <w:t>Unmatched learners on your tutoring list, with the month counted</w:t>
            </w:r>
          </w:p>
        </w:tc>
      </w:tr>
      <w:tr>
        <w:tc>
          <w:tcPr>
            <w:tcW w:type="dxa" w:w="2736"/>
          </w:tcPr>
          <w:p>
            <w:r>
              <w:t>[Coordinator hourly rate]</w:t>
            </w:r>
          </w:p>
        </w:tc>
        <w:tc>
          <w:tcPr>
            <w:tcW w:type="dxa" w:w="2736"/>
          </w:tcPr>
          <w:p>
            <w:r>
              <w:t>Budget narrative</w:t>
            </w:r>
          </w:p>
        </w:tc>
        <w:tc>
          <w:tcPr>
            <w:tcW w:type="dxa" w:w="3888"/>
          </w:tcPr>
          <w:p>
            <w:r>
              <w:t>Your posted or negotiated rate for the coordinator position</w:t>
            </w:r>
          </w:p>
        </w:tc>
      </w:tr>
      <w:tr>
        <w:tc>
          <w:tcPr>
            <w:tcW w:type="dxa" w:w="2736"/>
          </w:tcPr>
          <w:p>
            <w:r>
              <w:t>[Fringe rate]</w:t>
            </w:r>
          </w:p>
        </w:tc>
        <w:tc>
          <w:tcPr>
            <w:tcW w:type="dxa" w:w="2736"/>
          </w:tcPr>
          <w:p>
            <w:r>
              <w:t>Budget narrative</w:t>
            </w:r>
          </w:p>
        </w:tc>
        <w:tc>
          <w:tcPr>
            <w:tcW w:type="dxa" w:w="3888"/>
          </w:tcPr>
          <w:p>
            <w:r>
              <w:t>Your employer's actual fringe percentage for a part-time position</w:t>
            </w:r>
          </w:p>
        </w:tc>
      </w:tr>
      <w:tr>
        <w:tc>
          <w:tcPr>
            <w:tcW w:type="dxa" w:w="2736"/>
          </w:tcPr>
          <w:p>
            <w:r>
              <w:t>[Assessment name]</w:t>
            </w:r>
          </w:p>
        </w:tc>
        <w:tc>
          <w:tcPr>
            <w:tcW w:type="dxa" w:w="2736"/>
          </w:tcPr>
          <w:p>
            <w:r>
              <w:t>Evaluation plan</w:t>
            </w:r>
          </w:p>
        </w:tc>
        <w:tc>
          <w:tcPr>
            <w:tcW w:type="dxa" w:w="3888"/>
          </w:tcPr>
          <w:p>
            <w:r>
              <w:t>The pre and post assessment your state approves for reporting</w:t>
            </w:r>
          </w:p>
        </w:tc>
      </w:tr>
      <w:tr>
        <w:tc>
          <w:tcPr>
            <w:tcW w:type="dxa" w:w="2736"/>
          </w:tcPr>
          <w:p>
            <w:r>
              <w:t>[Board resolution date]</w:t>
            </w:r>
          </w:p>
        </w:tc>
        <w:tc>
          <w:tcPr>
            <w:tcW w:type="dxa" w:w="2736"/>
          </w:tcPr>
          <w:p>
            <w:r>
              <w:t>Attachments</w:t>
            </w:r>
          </w:p>
        </w:tc>
        <w:tc>
          <w:tcPr>
            <w:tcW w:type="dxa" w:w="3888"/>
          </w:tcPr>
          <w:p>
            <w:r>
              <w:t>The date your governing body authorized the application</w:t>
            </w:r>
          </w:p>
        </w:tc>
      </w:tr>
      <w:tr>
        <w:tc>
          <w:tcPr>
            <w:tcW w:type="dxa" w:w="2736"/>
          </w:tcPr>
          <w:p>
            <w:r>
              <w:t>[Fiscal year]</w:t>
            </w:r>
          </w:p>
        </w:tc>
        <w:tc>
          <w:tcPr>
            <w:tcW w:type="dxa" w:w="2736"/>
          </w:tcPr>
          <w:p>
            <w:r>
              <w:t>Budget, sustainability</w:t>
            </w:r>
          </w:p>
        </w:tc>
        <w:tc>
          <w:tcPr>
            <w:tcW w:type="dxa" w:w="3888"/>
          </w:tcPr>
          <w:p>
            <w:r>
              <w:t>Your fiscal year dates, which rarely match the grant year</w:t>
            </w:r>
          </w:p>
        </w:tc>
      </w:tr>
      <w:tr>
        <w:tc>
          <w:tcPr>
            <w:tcW w:type="dxa" w:w="2736"/>
          </w:tcPr>
          <w:p>
            <w:r>
              <w:t>[Volunteer hour value]</w:t>
            </w:r>
          </w:p>
        </w:tc>
        <w:tc>
          <w:tcPr>
            <w:tcW w:type="dxa" w:w="2736"/>
          </w:tcPr>
          <w:p>
            <w:r>
              <w:t>In-kind table</w:t>
            </w:r>
          </w:p>
        </w:tc>
        <w:tc>
          <w:tcPr>
            <w:tcW w:type="dxa" w:w="3888"/>
          </w:tcPr>
          <w:p>
            <w:r>
              <w:t>Your state's published volunteer time value for the year</w:t>
            </w:r>
          </w:p>
        </w:tc>
      </w:tr>
      <w:tr>
        <w:tc>
          <w:tcPr>
            <w:tcW w:type="dxa" w:w="2736"/>
          </w:tcPr>
          <w:p>
            <w:r>
              <w:t>[Names and titles]</w:t>
            </w:r>
          </w:p>
        </w:tc>
        <w:tc>
          <w:tcPr>
            <w:tcW w:type="dxa" w:w="2736"/>
          </w:tcPr>
          <w:p>
            <w:r>
              <w:t>Key personnel, signatures</w:t>
            </w:r>
          </w:p>
        </w:tc>
        <w:tc>
          <w:tcPr>
            <w:tcW w:type="dxa" w:w="3888"/>
          </w:tcPr>
          <w:p>
            <w:r>
              <w:t>Real staff and trustees; do not leave a signature line blank</w:t>
            </w:r>
          </w:p>
        </w:tc>
      </w:tr>
      <w:tr>
        <w:tc>
          <w:tcPr>
            <w:tcW w:type="dxa" w:w="2736"/>
          </w:tcPr>
          <w:p>
            <w:r>
              <w:t>Attachments</w:t>
            </w:r>
          </w:p>
        </w:tc>
        <w:tc>
          <w:tcPr>
            <w:tcW w:type="dxa" w:w="2736"/>
          </w:tcPr>
          <w:p>
            <w:r>
              <w:t>Required documents checklist</w:t>
            </w:r>
          </w:p>
        </w:tc>
        <w:tc>
          <w:tcPr>
            <w:tcW w:type="dxa" w:w="3888"/>
          </w:tcPr>
          <w:p>
            <w:r>
              <w:t>Varies by funder</w:t>
            </w:r>
          </w:p>
        </w:tc>
      </w:tr>
      <w:tr>
        <w:tc>
          <w:tcPr>
            <w:tcW w:type="dxa" w:w="2736"/>
          </w:tcPr>
          <w:p>
            <w:r>
              <w:t>[EIN]</w:t>
            </w:r>
          </w:p>
        </w:tc>
        <w:tc>
          <w:tcPr>
            <w:tcW w:type="dxa" w:w="2736"/>
          </w:tcPr>
          <w:p>
            <w:r>
              <w:t>Cover letter signature block</w:t>
            </w:r>
          </w:p>
        </w:tc>
        <w:tc>
          <w:tcPr>
            <w:tcW w:type="dxa" w:w="3888"/>
          </w:tcPr>
          <w:p>
            <w:r>
              <w:t>Your federal employer identification number, and your unique entity identifier if the funder requires one</w:t>
            </w:r>
          </w:p>
        </w:tc>
      </w:tr>
    </w:tbl>
    <w:p/>
    <w:p>
      <w:pPr>
        <w:pStyle w:val="Heading2"/>
      </w:pPr>
      <w:r>
        <w:t>What to keep and what to rebuild</w:t>
      </w:r>
    </w:p>
    <w:p>
      <w:r>
        <w:t>Keep the section order, the separation of outputs from outcomes, the budget format with a basis column beside every amount, the in-kind table, the supplanting statement, and the attachment checklist. Those elements are what make the document read as a finished application rather than a narrative essay.</w:t>
      </w:r>
    </w:p>
    <w:p>
      <w:r>
        <w:t>Rebuild the statement of need, the organization background, the key personnel section, and every number in the budget. A reviewer who reads two library proposals in the same cycle will notice shared sentences in exactly those places, because those are the sections where a real applicant sounds unmistakably like itself.</w:t>
      </w:r>
    </w:p>
    <w:p>
      <w:pPr>
        <w:pStyle w:val="IntenseQuote"/>
      </w:pPr>
      <w:r>
        <w:t>Adaptation note. The structure holds for a single-branch municipal library, a regional library cooperative, an independent literacy council that uses library space, or a school district family literacy program. Swap the applicant structure section, adjust the attachment list, and the rest of the document carries over.</w:t>
      </w:r>
    </w:p>
    <w:p>
      <w:pPr>
        <w:pStyle w:val="Heading2"/>
      </w:pPr>
      <w:r>
        <w:t>How this maps to a typical application form</w:t>
      </w:r>
    </w:p>
    <w:p>
      <w:r>
        <w:t>Most foundation portals ask for shorter fields than this document provides. That is deliberate. It is faster to cut a finished paragraph to a 1,500 character field than to expand a bullet list into prose at midnight. The table below maps the sections here to the fields you will usually be pasting into.</w:t>
      </w:r>
    </w:p>
    <w:tbl>
      <w:tblPr>
        <w:tblStyle w:val="LightGrid-Accent1"/>
        <w:tblW w:type="auto" w:w="0"/>
        <w:tblLook w:firstColumn="1" w:firstRow="1" w:lastColumn="0" w:lastRow="0" w:noHBand="0" w:noVBand="1" w:val="04A0"/>
      </w:tblPr>
      <w:tblGrid>
        <w:gridCol w:w="3120"/>
        <w:gridCol w:w="3120"/>
        <w:gridCol w:w="3120"/>
      </w:tblGrid>
      <w:tr>
        <w:tc>
          <w:tcPr>
            <w:tcW w:type="dxa" w:w="3456"/>
          </w:tcPr>
          <w:p>
            <w:r>
              <w:rPr>
                <w:b/>
              </w:rPr>
              <w:t>Section in this document</w:t>
            </w:r>
          </w:p>
        </w:tc>
        <w:tc>
          <w:tcPr>
            <w:tcW w:type="dxa" w:w="3744"/>
          </w:tcPr>
          <w:p>
            <w:r>
              <w:rPr>
                <w:b/>
              </w:rPr>
              <w:t>Typical form field</w:t>
            </w:r>
          </w:p>
        </w:tc>
        <w:tc>
          <w:tcPr>
            <w:tcW w:type="dxa" w:w="2160"/>
          </w:tcPr>
          <w:p>
            <w:r>
              <w:rPr>
                <w:b/>
              </w:rPr>
              <w:t>Usual limit</w:t>
            </w:r>
          </w:p>
        </w:tc>
      </w:tr>
      <w:tr>
        <w:tc>
          <w:tcPr>
            <w:tcW w:type="dxa" w:w="3456"/>
          </w:tcPr>
          <w:p>
            <w:r>
              <w:t>Cover Letter</w:t>
            </w:r>
          </w:p>
        </w:tc>
        <w:tc>
          <w:tcPr>
            <w:tcW w:type="dxa" w:w="3744"/>
          </w:tcPr>
          <w:p>
            <w:r>
              <w:t>Uploaded attachment, or omitted entirely</w:t>
            </w:r>
          </w:p>
        </w:tc>
        <w:tc>
          <w:tcPr>
            <w:tcW w:type="dxa" w:w="2160"/>
          </w:tcPr>
          <w:p>
            <w:r>
              <w:t>1 page</w:t>
            </w:r>
          </w:p>
        </w:tc>
      </w:tr>
      <w:tr>
        <w:tc>
          <w:tcPr>
            <w:tcW w:type="dxa" w:w="3456"/>
          </w:tcPr>
          <w:p>
            <w:r>
              <w:t>Proposal Summary</w:t>
            </w:r>
          </w:p>
        </w:tc>
        <w:tc>
          <w:tcPr>
            <w:tcW w:type="dxa" w:w="3744"/>
          </w:tcPr>
          <w:p>
            <w:r>
              <w:t>Project summary or abstract</w:t>
            </w:r>
          </w:p>
        </w:tc>
        <w:tc>
          <w:tcPr>
            <w:tcW w:type="dxa" w:w="2160"/>
          </w:tcPr>
          <w:p>
            <w:r>
              <w:t>150 to 500 words</w:t>
            </w:r>
          </w:p>
        </w:tc>
      </w:tr>
      <w:tr>
        <w:tc>
          <w:tcPr>
            <w:tcW w:type="dxa" w:w="3456"/>
          </w:tcPr>
          <w:p>
            <w:r>
              <w:t>Organization Background</w:t>
            </w:r>
          </w:p>
        </w:tc>
        <w:tc>
          <w:tcPr>
            <w:tcW w:type="dxa" w:w="3744"/>
          </w:tcPr>
          <w:p>
            <w:r>
              <w:t>Organization description or history</w:t>
            </w:r>
          </w:p>
        </w:tc>
        <w:tc>
          <w:tcPr>
            <w:tcW w:type="dxa" w:w="2160"/>
          </w:tcPr>
          <w:p>
            <w:r>
              <w:t>1,500 to 3,000 characters</w:t>
            </w:r>
          </w:p>
        </w:tc>
      </w:tr>
      <w:tr>
        <w:tc>
          <w:tcPr>
            <w:tcW w:type="dxa" w:w="3456"/>
          </w:tcPr>
          <w:p>
            <w:r>
              <w:t>Statement of Need</w:t>
            </w:r>
          </w:p>
        </w:tc>
        <w:tc>
          <w:tcPr>
            <w:tcW w:type="dxa" w:w="3744"/>
          </w:tcPr>
          <w:p>
            <w:r>
              <w:t>Need statement or problem addressed</w:t>
            </w:r>
          </w:p>
        </w:tc>
        <w:tc>
          <w:tcPr>
            <w:tcW w:type="dxa" w:w="2160"/>
          </w:tcPr>
          <w:p>
            <w:r>
              <w:t>2,000 to 4,000 characters</w:t>
            </w:r>
          </w:p>
        </w:tc>
      </w:tr>
      <w:tr>
        <w:tc>
          <w:tcPr>
            <w:tcW w:type="dxa" w:w="3456"/>
          </w:tcPr>
          <w:p>
            <w:r>
              <w:t>Program Description</w:t>
            </w:r>
          </w:p>
        </w:tc>
        <w:tc>
          <w:tcPr>
            <w:tcW w:type="dxa" w:w="3744"/>
          </w:tcPr>
          <w:p>
            <w:r>
              <w:t>Project description, activities, population served</w:t>
            </w:r>
          </w:p>
        </w:tc>
        <w:tc>
          <w:tcPr>
            <w:tcW w:type="dxa" w:w="2160"/>
          </w:tcPr>
          <w:p>
            <w:r>
              <w:t>3,000 to 6,000 characters</w:t>
            </w:r>
          </w:p>
        </w:tc>
      </w:tr>
      <w:tr>
        <w:tc>
          <w:tcPr>
            <w:tcW w:type="dxa" w:w="3456"/>
          </w:tcPr>
          <w:p>
            <w:r>
              <w:t>Goals, Objectives and Outcomes</w:t>
            </w:r>
          </w:p>
        </w:tc>
        <w:tc>
          <w:tcPr>
            <w:tcW w:type="dxa" w:w="3744"/>
          </w:tcPr>
          <w:p>
            <w:r>
              <w:t>Goals and measurable objectives</w:t>
            </w:r>
          </w:p>
        </w:tc>
        <w:tc>
          <w:tcPr>
            <w:tcW w:type="dxa" w:w="2160"/>
          </w:tcPr>
          <w:p>
            <w:r>
              <w:t>1,500 to 3,000 characters</w:t>
            </w:r>
          </w:p>
        </w:tc>
      </w:tr>
      <w:tr>
        <w:tc>
          <w:tcPr>
            <w:tcW w:type="dxa" w:w="3456"/>
          </w:tcPr>
          <w:p>
            <w:r>
              <w:t>Evaluation Plan</w:t>
            </w:r>
          </w:p>
        </w:tc>
        <w:tc>
          <w:tcPr>
            <w:tcW w:type="dxa" w:w="3744"/>
          </w:tcPr>
          <w:p>
            <w:r>
              <w:t>Evaluation or how you will measure success</w:t>
            </w:r>
          </w:p>
        </w:tc>
        <w:tc>
          <w:tcPr>
            <w:tcW w:type="dxa" w:w="2160"/>
          </w:tcPr>
          <w:p>
            <w:r>
              <w:t>1,000 to 2,500 characters</w:t>
            </w:r>
          </w:p>
        </w:tc>
      </w:tr>
      <w:tr>
        <w:tc>
          <w:tcPr>
            <w:tcW w:type="dxa" w:w="3456"/>
          </w:tcPr>
          <w:p>
            <w:r>
              <w:t>Budget and Budget Narrative</w:t>
            </w:r>
          </w:p>
        </w:tc>
        <w:tc>
          <w:tcPr>
            <w:tcW w:type="dxa" w:w="3744"/>
          </w:tcPr>
          <w:p>
            <w:r>
              <w:t>Budget upload plus a narrative field</w:t>
            </w:r>
          </w:p>
        </w:tc>
        <w:tc>
          <w:tcPr>
            <w:tcW w:type="dxa" w:w="2160"/>
          </w:tcPr>
          <w:p>
            <w:r>
              <w:t>Upload plus 2,000 characters</w:t>
            </w:r>
          </w:p>
        </w:tc>
      </w:tr>
      <w:tr>
        <w:tc>
          <w:tcPr>
            <w:tcW w:type="dxa" w:w="3456"/>
          </w:tcPr>
          <w:p>
            <w:r>
              <w:t>Sustainability Plan</w:t>
            </w:r>
          </w:p>
        </w:tc>
        <w:tc>
          <w:tcPr>
            <w:tcW w:type="dxa" w:w="3744"/>
          </w:tcPr>
          <w:p>
            <w:r>
              <w:t>Sustainability or future funding</w:t>
            </w:r>
          </w:p>
        </w:tc>
        <w:tc>
          <w:tcPr>
            <w:tcW w:type="dxa" w:w="2160"/>
          </w:tcPr>
          <w:p>
            <w:r>
              <w:t>1,000 to 2,000 characters</w:t>
            </w:r>
          </w:p>
        </w:tc>
      </w:tr>
      <w:tr>
        <w:tc>
          <w:tcPr>
            <w:tcW w:type="dxa" w:w="3456"/>
          </w:tcPr>
          <w:p>
            <w:r>
              <w:t>Attachments</w:t>
            </w:r>
          </w:p>
        </w:tc>
        <w:tc>
          <w:tcPr>
            <w:tcW w:type="dxa" w:w="3744"/>
          </w:tcPr>
          <w:p>
            <w:r>
              <w:t>Required documents checklist</w:t>
            </w:r>
          </w:p>
        </w:tc>
        <w:tc>
          <w:tcPr>
            <w:tcW w:type="dxa" w:w="2160"/>
          </w:tcPr>
          <w:p>
            <w:r>
              <w:t>Varies by funder</w:t>
            </w:r>
          </w:p>
        </w:tc>
      </w:tr>
    </w:tbl>
    <w:p/>
    <w:p>
      <w:pPr>
        <w:pStyle w:val="Heading1"/>
      </w:pPr>
      <w:r>
        <w:t>Cover Letter</w:t>
      </w:r>
    </w:p>
    <w:p>
      <w:r>
        <w:t>[Date]</w:t>
      </w:r>
    </w:p>
    <w:p>
      <w:r>
        <w:t>[Contact name], [Title]</w:t>
      </w:r>
    </w:p>
    <w:p>
      <w:r>
        <w:t>[Funder name]</w:t>
      </w:r>
    </w:p>
    <w:p>
      <w:r>
        <w:t>[Street address]</w:t>
      </w:r>
    </w:p>
    <w:p>
      <w:r>
        <w:t>[City, State ZIP]</w:t>
      </w:r>
    </w:p>
    <w:p/>
    <w:p>
      <w:r>
        <w:t>Re: Request for $38,000 to fund adult tutoring and family literacy instruction, [Program name]</w:t>
      </w:r>
    </w:p>
    <w:p/>
    <w:p>
      <w:r>
        <w:t>Dear [Contact name]:</w:t>
      </w:r>
    </w:p>
    <w:p>
      <w:r>
        <w:t>On behalf of the Board of Trustees of Example County Library District, I request $38,000 to fund a part-time literacy coordinator, tutor training, learning materials, and childcare for the 2027 program year. The grant will support instruction for 60 adult learners and 45 families across the city of Fairhaven and the six rural townships in our service area.</w:t>
      </w:r>
    </w:p>
    <w:p>
      <w:r>
        <w:t>The library already runs a volunteer adult tutoring program, and it has carried more names on its waiting list than we have matched tutors for every month of the past year. As of [month, year], [waiting list count] adults were waiting for a tutor. We can recruit volunteers, and we have the space. What we do not have is anyone whose job it is to assess learners at intake, match them to a trained tutor, and keep a record of the hours they receive. That coordination gap, not a shortage of goodwill, is what caps the program at its current size.</w:t>
      </w:r>
    </w:p>
    <w:p>
      <w:r>
        <w:t>Our county appropriation pays for the collection, the buildings, the existing staff, and the utilities. It does not fund a dedicated literacy coordinator, and it has never funded evening childcare. This request adds service hours; it does not replace local tax revenue, and the district's appropriation for [fiscal year] is budgeted at its current level with no reduction contemplated.</w:t>
      </w:r>
    </w:p>
    <w:p>
      <w:r>
        <w:t>We will report against measures a literacy funder recognizes. Forty of 60 adult learners will complete at least 40 instructional hours. Twenty-five will advance one educational functioning level on a standardized pre and post assessment. Seventy percent of enrolled learners will still be attending at twelve weeks. Each of those figures comes from a record we already keep or will keep from the first day of the grant, not from a survey we hope to field later.</w:t>
      </w:r>
    </w:p>
    <w:p>
      <w:r>
        <w:t>The materials this grant buys outlive it. Leveled readers and bilingual family kits enter the circulating collection and remain available after the award closes, and the tutor training curriculum stays with the library. Our trustees have committed to absorbing the coordinator position into the operating budget at [share] of its cost in year two, and the Friends of the Example County Library has designated its annual book sale proceeds toward the materials line.</w:t>
      </w:r>
    </w:p>
    <w:p>
      <w:r>
        <w:t>Attached are our trustee roster, the board resolution authorizing this application dated [board resolution date], our most recent audited financial statement, a memorandum of understanding with Example Area School District covering the family literacy referral pathway, and the IRS determination letter for Friends of the Example County Library. If the program requires a 501(c)(3) applicant of record, Friends of the Example County Library will serve in that role and the library district will deliver the program under the attached memorandum.</w:t>
      </w:r>
    </w:p>
    <w:p>
      <w:r>
        <w:t>Thank you for considering this request. I am glad to answer questions or to arrange a visit during a tutoring evening.</w:t>
      </w:r>
    </w:p>
    <w:p>
      <w:r>
        <w:t>Sincerely,</w:t>
      </w:r>
    </w:p>
    <w:p/>
    <w:p>
      <w:r>
        <w:t>[Name], Library Director</w:t>
      </w:r>
    </w:p>
    <w:p>
      <w:r>
        <w:t>Example County Library District</w:t>
      </w:r>
    </w:p>
    <w:p>
      <w:r>
        <w:t>[Phone] | [Email]</w:t>
      </w:r>
    </w:p>
    <w:p>
      <w:r>
        <w:t>EIN [EIN]</w:t>
      </w:r>
    </w:p>
    <w:p/>
    <w:p>
      <w:r>
        <w:t>[Name], President, Board of Trustees</w:t>
      </w:r>
    </w:p>
    <w:p>
      <w:r>
        <w:t>Example County Library District</w:t>
      </w:r>
    </w:p>
    <w:p>
      <w:pPr>
        <w:pStyle w:val="IntenseQuote"/>
      </w:pPr>
      <w:r>
        <w:t>If the Friends corporation is the applicant of record, the signature block changes and the opening line becomes: On behalf of the Board of Directors of Friends of the Example County Library, and in partnership with Example County Library District, I request $38,000 ... Keep both signatures on the letter either way. A reviewer wants to see that the library and the corporation agree about who is responsible.</w:t>
      </w:r>
    </w:p>
    <w:p>
      <w:pPr>
        <w:pStyle w:val="Heading1"/>
      </w:pPr>
      <w:r>
        <w:t>Proposal Summary</w:t>
      </w:r>
    </w:p>
    <w:p>
      <w:r>
        <w:t>Most applications cap the summary at one paragraph. Write the ask, the learners, the instruction, and the measure into that paragraph, and expand into the blocks below only if the form gives you room.</w:t>
      </w:r>
    </w:p>
    <w:p>
      <w:r>
        <w:t>Example County Library District requests $38,000 over twelve months to fund a part-time literacy coordinator, volunteer tutor training, leveled reading materials, and evening childcare. The program will serve 60 adult learners with two tutoring sessions a week and 45 families with an eight-session evening family literacy track. Forty adult learners will complete at least 40 instructional hours, 25 will advance one educational functioning level on a standardized post-test, and 70 percent of enrolled learners will still be attending at twelve weeks. The request funds new service hours and does not replace county appropriation.</w:t>
      </w:r>
    </w:p>
    <w:p>
      <w:pPr>
        <w:pStyle w:val="Heading2"/>
      </w:pPr>
      <w:r>
        <w:t>The learners</w:t>
      </w:r>
    </w:p>
    <w:p>
      <w:r>
        <w:t>Two groups, counted separately because they are served differently. The adult track serves 60 learners who read below the level their work, their citizenship study, or their children's school requires. Roughly [share] of them are English language learners, based on our current intake records. The family track serves 45 families with a child under six, recruited through our bilingual storytime, the school district's pre-kindergarten screening, and two community partners.</w:t>
      </w:r>
    </w:p>
    <w:p>
      <w:pPr>
        <w:pStyle w:val="Heading2"/>
      </w:pPr>
      <w:r>
        <w:t>The instruction</w:t>
      </w:r>
    </w:p>
    <w:p>
      <w:r>
        <w:t>Each adult learner is assessed at intake, matched with a trained volunteer tutor, and offered two 75-minute sessions a week. Sixteen weeks at that pace reaches the 40-hour dosage threshold the outcome targets are built on. Each family in the evening track receives a take-home reading kit and eight guided sessions led by the youth services librarian, with childcare running in the adjacent meeting room so caregivers can actually attend.</w:t>
      </w:r>
    </w:p>
    <w:p>
      <w:pPr>
        <w:pStyle w:val="Heading2"/>
      </w:pPr>
      <w:r>
        <w:t>The numbers</w:t>
      </w:r>
    </w:p>
    <w:tbl>
      <w:tblPr>
        <w:tblStyle w:val="LightGrid-Accent1"/>
        <w:tblW w:type="auto" w:w="0"/>
        <w:tblLook w:firstColumn="1" w:firstRow="1" w:lastColumn="0" w:lastRow="0" w:noHBand="0" w:noVBand="1" w:val="04A0"/>
      </w:tblPr>
      <w:tblGrid>
        <w:gridCol w:w="3120"/>
        <w:gridCol w:w="3120"/>
        <w:gridCol w:w="3120"/>
      </w:tblGrid>
      <w:tr>
        <w:tc>
          <w:tcPr>
            <w:tcW w:type="dxa" w:w="3312"/>
          </w:tcPr>
          <w:p>
            <w:r>
              <w:rPr>
                <w:b/>
              </w:rPr>
              <w:t>Figure</w:t>
            </w:r>
          </w:p>
        </w:tc>
        <w:tc>
          <w:tcPr>
            <w:tcW w:type="dxa" w:w="1728"/>
          </w:tcPr>
          <w:p>
            <w:r>
              <w:rPr>
                <w:b/>
              </w:rPr>
              <w:t>Value</w:t>
            </w:r>
          </w:p>
        </w:tc>
        <w:tc>
          <w:tcPr>
            <w:tcW w:type="dxa" w:w="4320"/>
          </w:tcPr>
          <w:p>
            <w:r>
              <w:rPr>
                <w:b/>
              </w:rPr>
              <w:t>How it was derived</w:t>
            </w:r>
          </w:p>
        </w:tc>
      </w:tr>
      <w:tr>
        <w:tc>
          <w:tcPr>
            <w:tcW w:type="dxa" w:w="3312"/>
          </w:tcPr>
          <w:p>
            <w:r>
              <w:t>Total request</w:t>
            </w:r>
          </w:p>
        </w:tc>
        <w:tc>
          <w:tcPr>
            <w:tcW w:type="dxa" w:w="1728"/>
          </w:tcPr>
          <w:p>
            <w:r>
              <w:t>$38,000</w:t>
            </w:r>
          </w:p>
        </w:tc>
        <w:tc>
          <w:tcPr>
            <w:tcW w:type="dxa" w:w="4320"/>
          </w:tcPr>
          <w:p>
            <w:r>
              <w:t>Sum of the eight budget lines</w:t>
            </w:r>
          </w:p>
        </w:tc>
      </w:tr>
      <w:tr>
        <w:tc>
          <w:tcPr>
            <w:tcW w:type="dxa" w:w="3312"/>
          </w:tcPr>
          <w:p>
            <w:r>
              <w:t>Adult learners served</w:t>
            </w:r>
          </w:p>
        </w:tc>
        <w:tc>
          <w:tcPr>
            <w:tcW w:type="dxa" w:w="1728"/>
          </w:tcPr>
          <w:p>
            <w:r>
              <w:t>60</w:t>
            </w:r>
          </w:p>
        </w:tc>
        <w:tc>
          <w:tcPr>
            <w:tcW w:type="dxa" w:w="4320"/>
          </w:tcPr>
          <w:p>
            <w:r>
              <w:t>Current waiting list plus one recruitment cycle</w:t>
            </w:r>
          </w:p>
        </w:tc>
      </w:tr>
      <w:tr>
        <w:tc>
          <w:tcPr>
            <w:tcW w:type="dxa" w:w="3312"/>
          </w:tcPr>
          <w:p>
            <w:r>
              <w:t>Families served</w:t>
            </w:r>
          </w:p>
        </w:tc>
        <w:tc>
          <w:tcPr>
            <w:tcW w:type="dxa" w:w="1728"/>
          </w:tcPr>
          <w:p>
            <w:r>
              <w:t>45</w:t>
            </w:r>
          </w:p>
        </w:tc>
        <w:tc>
          <w:tcPr>
            <w:tcW w:type="dxa" w:w="4320"/>
          </w:tcPr>
          <w:p>
            <w:r>
              <w:t>Five cohorts of nine families</w:t>
            </w:r>
          </w:p>
        </w:tc>
      </w:tr>
      <w:tr>
        <w:tc>
          <w:tcPr>
            <w:tcW w:type="dxa" w:w="3312"/>
          </w:tcPr>
          <w:p>
            <w:r>
              <w:t>Volunteer tutors trained</w:t>
            </w:r>
          </w:p>
        </w:tc>
        <w:tc>
          <w:tcPr>
            <w:tcW w:type="dxa" w:w="1728"/>
          </w:tcPr>
          <w:p>
            <w:r>
              <w:t>40</w:t>
            </w:r>
          </w:p>
        </w:tc>
        <w:tc>
          <w:tcPr>
            <w:tcW w:type="dxa" w:w="4320"/>
          </w:tcPr>
          <w:p>
            <w:r>
              <w:t>Two cohorts of 20, allowing for attrition</w:t>
            </w:r>
          </w:p>
        </w:tc>
      </w:tr>
      <w:tr>
        <w:tc>
          <w:tcPr>
            <w:tcW w:type="dxa" w:w="3312"/>
          </w:tcPr>
          <w:p>
            <w:r>
              <w:t>Instructional hours per adult learner</w:t>
            </w:r>
          </w:p>
        </w:tc>
        <w:tc>
          <w:tcPr>
            <w:tcW w:type="dxa" w:w="1728"/>
          </w:tcPr>
          <w:p>
            <w:r>
              <w:t>40 target</w:t>
            </w:r>
          </w:p>
        </w:tc>
        <w:tc>
          <w:tcPr>
            <w:tcW w:type="dxa" w:w="4320"/>
          </w:tcPr>
          <w:p>
            <w:r>
              <w:t>Two 75-minute sessions weekly for 16 weeks</w:t>
            </w:r>
          </w:p>
        </w:tc>
      </w:tr>
      <w:tr>
        <w:tc>
          <w:tcPr>
            <w:tcW w:type="dxa" w:w="3312"/>
          </w:tcPr>
          <w:p>
            <w:r>
              <w:t>Total volunteer instruction hours</w:t>
            </w:r>
          </w:p>
        </w:tc>
        <w:tc>
          <w:tcPr>
            <w:tcW w:type="dxa" w:w="1728"/>
          </w:tcPr>
          <w:p>
            <w:r>
              <w:t>2,400</w:t>
            </w:r>
          </w:p>
        </w:tc>
        <w:tc>
          <w:tcPr>
            <w:tcW w:type="dxa" w:w="4320"/>
          </w:tcPr>
          <w:p>
            <w:r>
              <w:t>30 active pairs at an average of 80 hours</w:t>
            </w:r>
          </w:p>
        </w:tc>
      </w:tr>
      <w:tr>
        <w:tc>
          <w:tcPr>
            <w:tcW w:type="dxa" w:w="3312"/>
          </w:tcPr>
          <w:p>
            <w:r>
              <w:t>Family sessions delivered</w:t>
            </w:r>
          </w:p>
        </w:tc>
        <w:tc>
          <w:tcPr>
            <w:tcW w:type="dxa" w:w="1728"/>
          </w:tcPr>
          <w:p>
            <w:r>
              <w:t>40</w:t>
            </w:r>
          </w:p>
        </w:tc>
        <w:tc>
          <w:tcPr>
            <w:tcW w:type="dxa" w:w="4320"/>
          </w:tcPr>
          <w:p>
            <w:r>
              <w:t>Five cohorts multiplied by eight sessions</w:t>
            </w:r>
          </w:p>
        </w:tc>
      </w:tr>
      <w:tr>
        <w:tc>
          <w:tcPr>
            <w:tcW w:type="dxa" w:w="3312"/>
          </w:tcPr>
          <w:p>
            <w:r>
              <w:t>Childcare sessions funded</w:t>
            </w:r>
          </w:p>
        </w:tc>
        <w:tc>
          <w:tcPr>
            <w:tcW w:type="dxa" w:w="1728"/>
          </w:tcPr>
          <w:p>
            <w:r>
              <w:t>40</w:t>
            </w:r>
          </w:p>
        </w:tc>
        <w:tc>
          <w:tcPr>
            <w:tcW w:type="dxa" w:w="4320"/>
          </w:tcPr>
          <w:p>
            <w:r>
              <w:t>One per family session</w:t>
            </w:r>
          </w:p>
        </w:tc>
      </w:tr>
      <w:tr>
        <w:tc>
          <w:tcPr>
            <w:tcW w:type="dxa" w:w="3312"/>
          </w:tcPr>
          <w:p>
            <w:r>
              <w:t>Cost per adult learner served</w:t>
            </w:r>
          </w:p>
        </w:tc>
        <w:tc>
          <w:tcPr>
            <w:tcW w:type="dxa" w:w="1728"/>
          </w:tcPr>
          <w:p>
            <w:r>
              <w:t>$633</w:t>
            </w:r>
          </w:p>
        </w:tc>
        <w:tc>
          <w:tcPr>
            <w:tcW w:type="dxa" w:w="4320"/>
          </w:tcPr>
          <w:p>
            <w:r>
              <w:t>Total request divided by 60, before in-kind</w:t>
            </w:r>
          </w:p>
        </w:tc>
      </w:tr>
      <w:tr>
        <w:tc>
          <w:tcPr>
            <w:tcW w:type="dxa" w:w="3312"/>
          </w:tcPr>
          <w:p>
            <w:r>
              <w:t>Documented in-kind</w:t>
            </w:r>
          </w:p>
        </w:tc>
        <w:tc>
          <w:tcPr>
            <w:tcW w:type="dxa" w:w="1728"/>
          </w:tcPr>
          <w:p>
            <w:r>
              <w:t>$19,310</w:t>
            </w:r>
          </w:p>
        </w:tc>
        <w:tc>
          <w:tcPr>
            <w:tcW w:type="dxa" w:w="4320"/>
          </w:tcPr>
          <w:p>
            <w:r>
              <w:t>Space, supervision, collection, and overhead</w:t>
            </w:r>
          </w:p>
        </w:tc>
      </w:tr>
    </w:tbl>
    <w:p/>
    <w:p>
      <w:pPr>
        <w:pStyle w:val="Heading2"/>
      </w:pPr>
      <w:r>
        <w:t>The evidence</w:t>
      </w:r>
    </w:p>
    <w:p>
      <w:r>
        <w:t>The need statement rests on three public datasets at county level and one dataset only the library holds. The public sources are the PIAAC Skills Map county literacy estimate, American Community Survey educational attainment and language tables, and the state education agency's district reading proficiency report. The private source is our own waiting list, which proves demand rather than asserting it.</w:t>
      </w:r>
    </w:p>
    <w:p>
      <w:pPr>
        <w:pStyle w:val="Heading2"/>
      </w:pPr>
      <w:r>
        <w:t>The ask, in one sentence</w:t>
      </w:r>
    </w:p>
    <w:p>
      <w:r>
        <w:t>We request $38,000 to fund a part-time literacy coordinator, tutor training, learning materials, and childcare for the 2027 program year.</w:t>
      </w:r>
    </w:p>
    <w:p>
      <w:pPr>
        <w:pStyle w:val="Heading1"/>
      </w:pPr>
      <w:r>
        <w:t>Organization Background</w:t>
      </w:r>
    </w:p>
    <w:p>
      <w:r>
        <w:t>Example County Library District is a public library district serving the city of Fairhaven and six surrounding rural townships, a service population of approximately 41,000 residents across two facilities and one bookmobile route. The district was established by voter referendum and is governed by a seven-member Board of Trustees appointed by the county commission to staggered four-year terms. It employs 14 full-time-equivalent staff and operates on an annual budget of approximately $1.9 million, of which 86 percent comes from a dedicated county millage, 9 percent from state aid, and 5 percent from fines, fees, gifts, and grants.</w:t>
      </w:r>
    </w:p>
    <w:p>
      <w:r>
        <w:t>Two facts about that structure matter to this application. First, the district is a unit of local government rather than a nonprofit corporation, so it holds no IRS determination letter of its own. Second, Friends of the Example County Library is a separately incorporated 501(c)(3) organization with its own board, its own EIN, and an annual budget of approximately $46,000 raised through book sales and memberships. The applicant of record section below explains how those two entities divide responsibility, and it is the first question to settle with any funder.</w:t>
      </w:r>
    </w:p>
    <w:p>
      <w:pPr>
        <w:pStyle w:val="Heading2"/>
      </w:pPr>
      <w:r>
        <w:t>What the library already does in literacy</w:t>
      </w:r>
    </w:p>
    <w:p>
      <w:r>
        <w:t>The district has run a volunteer adult tutoring program for eleven years. Tutors are recruited informally, trained by a retired reading specialist who volunteers her time, and matched to learners by whichever reference librarian is on desk when a learner asks. That arrangement produces real results for the learners who get matched. It also produces a waiting list, because no one owns the matching process and no one is measuring anything.</w:t>
      </w:r>
    </w:p>
    <w:p>
      <w:r>
        <w:t>The district also hosts a weekly bilingual storytime that has outgrown its room. In the past year we turned families away for lack of space on [count] occasions, a number we began recording precisely because it kept happening. Those families are the recruitment pool for the evening family literacy track this proposal funds.</w:t>
      </w:r>
    </w:p>
    <w:p>
      <w:r>
        <w:t>Beyond those two programs, the district provides a collection of adult basic education and English language learning materials, public computers with assistive software, proctoring for high school equivalency testing, and meeting space used at no charge by two community organizations that serve immigrant residents.</w:t>
      </w:r>
    </w:p>
    <w:p>
      <w:pPr>
        <w:pStyle w:val="Heading2"/>
      </w:pPr>
      <w:r>
        <w:t>Current literacy services and their limits</w:t>
      </w:r>
    </w:p>
    <w:tbl>
      <w:tblPr>
        <w:tblStyle w:val="LightGrid-Accent1"/>
        <w:tblW w:type="auto" w:w="0"/>
        <w:tblLook w:firstColumn="1" w:firstRow="1" w:lastColumn="0" w:lastRow="0" w:noHBand="0" w:noVBand="1" w:val="04A0"/>
      </w:tblPr>
      <w:tblGrid>
        <w:gridCol w:w="3120"/>
        <w:gridCol w:w="3120"/>
        <w:gridCol w:w="3120"/>
      </w:tblGrid>
      <w:tr>
        <w:tc>
          <w:tcPr>
            <w:tcW w:type="dxa" w:w="3024"/>
          </w:tcPr>
          <w:p>
            <w:r>
              <w:rPr>
                <w:b/>
              </w:rPr>
              <w:t>Service</w:t>
            </w:r>
          </w:p>
        </w:tc>
        <w:tc>
          <w:tcPr>
            <w:tcW w:type="dxa" w:w="2448"/>
          </w:tcPr>
          <w:p>
            <w:r>
              <w:rPr>
                <w:b/>
              </w:rPr>
              <w:t>Current scale</w:t>
            </w:r>
          </w:p>
        </w:tc>
        <w:tc>
          <w:tcPr>
            <w:tcW w:type="dxa" w:w="3888"/>
          </w:tcPr>
          <w:p>
            <w:r>
              <w:rPr>
                <w:b/>
              </w:rPr>
              <w:t>The constraint</w:t>
            </w:r>
          </w:p>
        </w:tc>
      </w:tr>
      <w:tr>
        <w:tc>
          <w:tcPr>
            <w:tcW w:type="dxa" w:w="3024"/>
          </w:tcPr>
          <w:p>
            <w:r>
              <w:t>Volunteer adult tutoring</w:t>
            </w:r>
          </w:p>
        </w:tc>
        <w:tc>
          <w:tcPr>
            <w:tcW w:type="dxa" w:w="2448"/>
          </w:tcPr>
          <w:p>
            <w:r>
              <w:t>About 18 active pairs</w:t>
            </w:r>
          </w:p>
        </w:tc>
        <w:tc>
          <w:tcPr>
            <w:tcW w:type="dxa" w:w="3888"/>
          </w:tcPr>
          <w:p>
            <w:r>
              <w:t>No one owns intake, matching, or record keeping</w:t>
            </w:r>
          </w:p>
        </w:tc>
      </w:tr>
      <w:tr>
        <w:tc>
          <w:tcPr>
            <w:tcW w:type="dxa" w:w="3024"/>
          </w:tcPr>
          <w:p>
            <w:r>
              <w:t>Bilingual weekly storytime</w:t>
            </w:r>
          </w:p>
        </w:tc>
        <w:tc>
          <w:tcPr>
            <w:tcW w:type="dxa" w:w="2448"/>
          </w:tcPr>
          <w:p>
            <w:r>
              <w:t>35 to 50 children per session</w:t>
            </w:r>
          </w:p>
        </w:tc>
        <w:tc>
          <w:tcPr>
            <w:tcW w:type="dxa" w:w="3888"/>
          </w:tcPr>
          <w:p>
            <w:r>
              <w:t>Room capacity; families turned away</w:t>
            </w:r>
          </w:p>
        </w:tc>
      </w:tr>
      <w:tr>
        <w:tc>
          <w:tcPr>
            <w:tcW w:type="dxa" w:w="3024"/>
          </w:tcPr>
          <w:p>
            <w:r>
              <w:t>Adult basic education collection</w:t>
            </w:r>
          </w:p>
        </w:tc>
        <w:tc>
          <w:tcPr>
            <w:tcW w:type="dxa" w:w="2448"/>
          </w:tcPr>
          <w:p>
            <w:r>
              <w:t>About 900 items</w:t>
            </w:r>
          </w:p>
        </w:tc>
        <w:tc>
          <w:tcPr>
            <w:tcW w:type="dxa" w:w="3888"/>
          </w:tcPr>
          <w:p>
            <w:r>
              <w:t>Aging; little at the lowest reading levels</w:t>
            </w:r>
          </w:p>
        </w:tc>
      </w:tr>
      <w:tr>
        <w:tc>
          <w:tcPr>
            <w:tcW w:type="dxa" w:w="3024"/>
          </w:tcPr>
          <w:p>
            <w:r>
              <w:t>Equivalency test proctoring</w:t>
            </w:r>
          </w:p>
        </w:tc>
        <w:tc>
          <w:tcPr>
            <w:tcW w:type="dxa" w:w="2448"/>
          </w:tcPr>
          <w:p>
            <w:r>
              <w:t>Roughly 60 sessions a year</w:t>
            </w:r>
          </w:p>
        </w:tc>
        <w:tc>
          <w:tcPr>
            <w:tcW w:type="dxa" w:w="3888"/>
          </w:tcPr>
          <w:p>
            <w:r>
              <w:t>Available, but no instruction pathway feeds it</w:t>
            </w:r>
          </w:p>
        </w:tc>
      </w:tr>
      <w:tr>
        <w:tc>
          <w:tcPr>
            <w:tcW w:type="dxa" w:w="3024"/>
          </w:tcPr>
          <w:p>
            <w:r>
              <w:t>Public computers with assistive software</w:t>
            </w:r>
          </w:p>
        </w:tc>
        <w:tc>
          <w:tcPr>
            <w:tcW w:type="dxa" w:w="2448"/>
          </w:tcPr>
          <w:p>
            <w:r>
              <w:t>22 workstations</w:t>
            </w:r>
          </w:p>
        </w:tc>
        <w:tc>
          <w:tcPr>
            <w:tcW w:type="dxa" w:w="3888"/>
          </w:tcPr>
          <w:p>
            <w:r>
              <w:t>Used heavily; no literacy instruction attached</w:t>
            </w:r>
          </w:p>
        </w:tc>
      </w:tr>
      <w:tr>
        <w:tc>
          <w:tcPr>
            <w:tcW w:type="dxa" w:w="3024"/>
          </w:tcPr>
          <w:p>
            <w:r>
              <w:t>Evening family literacy</w:t>
            </w:r>
          </w:p>
        </w:tc>
        <w:tc>
          <w:tcPr>
            <w:tcW w:type="dxa" w:w="2448"/>
          </w:tcPr>
          <w:p>
            <w:r>
              <w:t>Not currently offered</w:t>
            </w:r>
          </w:p>
        </w:tc>
        <w:tc>
          <w:tcPr>
            <w:tcW w:type="dxa" w:w="3888"/>
          </w:tcPr>
          <w:p>
            <w:r>
              <w:t>No staff time and no childcare</w:t>
            </w:r>
          </w:p>
        </w:tc>
      </w:tr>
    </w:tbl>
    <w:p/>
    <w:p>
      <w:pPr>
        <w:pStyle w:val="Heading2"/>
      </w:pPr>
      <w:r>
        <w:t>Why the library is the right host</w:t>
      </w:r>
    </w:p>
    <w:p>
      <w:r>
        <w:t>Three reasons, and none of them is that libraries like books. The library is open evenings and Saturdays, which is when adult learners can attend. It is a non-stigmatizing address, which matters to an adult who does not want a neighbor to know why he is walking into a building. And it already holds the relationships this program needs: the school district refers families to our storytime, the workforce office sends job seekers to our computers, and the two immigrant-serving organizations meet in our rooms every month.</w:t>
      </w:r>
    </w:p>
    <w:p>
      <w:r>
        <w:t>What the library does not have is a person whose job is literacy. This request buys that person, and the coordination that person makes possible.</w:t>
      </w:r>
    </w:p>
    <w:p>
      <w:pPr>
        <w:pStyle w:val="Heading1"/>
      </w:pPr>
      <w:r>
        <w:t>Applicant of Record and Fiscal Agent</w:t>
      </w:r>
    </w:p>
    <w:p>
      <w:r>
        <w:t>Many public libraries are units of local government rather than 501(c)(3) corporations, so the eligibility field on a foundation form frequently does not match the applicant. Settle this before drafting. It decides whose name goes on the cover letter, whose financial statements you attach, and who signs the grant agreement.</w:t>
      </w:r>
    </w:p>
    <w:tbl>
      <w:tblPr>
        <w:tblStyle w:val="LightGrid-Accent1"/>
        <w:tblW w:type="auto" w:w="0"/>
        <w:tblLook w:firstColumn="1" w:firstRow="1" w:lastColumn="0" w:lastRow="0" w:noHBand="0" w:noVBand="1" w:val="04A0"/>
      </w:tblPr>
      <w:tblGrid>
        <w:gridCol w:w="3120"/>
        <w:gridCol w:w="3120"/>
        <w:gridCol w:w="3120"/>
      </w:tblGrid>
      <w:tr>
        <w:tc>
          <w:tcPr>
            <w:tcW w:type="dxa" w:w="2736"/>
          </w:tcPr>
          <w:p>
            <w:r>
              <w:rPr>
                <w:b/>
              </w:rPr>
              <w:t>Applicant structure</w:t>
            </w:r>
          </w:p>
        </w:tc>
        <w:tc>
          <w:tcPr>
            <w:tcW w:type="dxa" w:w="3888"/>
          </w:tcPr>
          <w:p>
            <w:r>
              <w:rPr>
                <w:b/>
              </w:rPr>
              <w:t>How it usually works</w:t>
            </w:r>
          </w:p>
        </w:tc>
        <w:tc>
          <w:tcPr>
            <w:tcW w:type="dxa" w:w="2736"/>
          </w:tcPr>
          <w:p>
            <w:r>
              <w:rPr>
                <w:b/>
              </w:rPr>
              <w:t>What to check first</w:t>
            </w:r>
          </w:p>
        </w:tc>
      </w:tr>
      <w:tr>
        <w:tc>
          <w:tcPr>
            <w:tcW w:type="dxa" w:w="2736"/>
          </w:tcPr>
          <w:p>
            <w:r>
              <w:t>Public library, unit of local government</w:t>
            </w:r>
          </w:p>
        </w:tc>
        <w:tc>
          <w:tcPr>
            <w:tcW w:type="dxa" w:w="3888"/>
          </w:tcPr>
          <w:p>
            <w:r>
              <w:t>The library applies under its own governmental identifier and reports directly to the funder</w:t>
            </w:r>
          </w:p>
        </w:tc>
        <w:tc>
          <w:tcPr>
            <w:tcW w:type="dxa" w:w="2736"/>
          </w:tcPr>
          <w:p>
            <w:r>
              <w:t>Whether the application form accepts a governmental applicant at all</w:t>
            </w:r>
          </w:p>
        </w:tc>
      </w:tr>
      <w:tr>
        <w:tc>
          <w:tcPr>
            <w:tcW w:type="dxa" w:w="2736"/>
          </w:tcPr>
          <w:p>
            <w:r>
              <w:t>Friends of the Library or library foundation</w:t>
            </w:r>
          </w:p>
        </w:tc>
        <w:tc>
          <w:tcPr>
            <w:tcW w:type="dxa" w:w="3888"/>
          </w:tcPr>
          <w:p>
            <w:r>
              <w:t>The 501(c)(3) applies and holds the award; the library delivers the program under a memorandum</w:t>
            </w:r>
          </w:p>
        </w:tc>
        <w:tc>
          <w:tcPr>
            <w:tcW w:type="dxa" w:w="2736"/>
          </w:tcPr>
          <w:p>
            <w:r>
              <w:t>Whether a pass-through is allowed, who signs, and who files the report</w:t>
            </w:r>
          </w:p>
        </w:tc>
      </w:tr>
      <w:tr>
        <w:tc>
          <w:tcPr>
            <w:tcW w:type="dxa" w:w="2736"/>
          </w:tcPr>
          <w:p>
            <w:r>
              <w:t>Independent literacy council</w:t>
            </w:r>
          </w:p>
        </w:tc>
        <w:tc>
          <w:tcPr>
            <w:tcW w:type="dxa" w:w="3888"/>
          </w:tcPr>
          <w:p>
            <w:r>
              <w:t>A nonprofit applies; the library hosts space, staff time, and the collection as in-kind</w:t>
            </w:r>
          </w:p>
        </w:tc>
        <w:tc>
          <w:tcPr>
            <w:tcW w:type="dxa" w:w="2736"/>
          </w:tcPr>
          <w:p>
            <w:r>
              <w:t>Which partner owns the learner data and the outcome reporting</w:t>
            </w:r>
          </w:p>
        </w:tc>
      </w:tr>
      <w:tr>
        <w:tc>
          <w:tcPr>
            <w:tcW w:type="dxa" w:w="2736"/>
          </w:tcPr>
          <w:p>
            <w:r>
              <w:t>School or academic library</w:t>
            </w:r>
          </w:p>
        </w:tc>
        <w:tc>
          <w:tcPr>
            <w:tcW w:type="dxa" w:w="3888"/>
          </w:tcPr>
          <w:p>
            <w:r>
              <w:t>The request routes through the district or the institution's sponsored programs office</w:t>
            </w:r>
          </w:p>
        </w:tc>
        <w:tc>
          <w:tcPr>
            <w:tcW w:type="dxa" w:w="2736"/>
          </w:tcPr>
          <w:p>
            <w:r>
              <w:t>Internal approval lead time, which is longer than it looks</w:t>
            </w:r>
          </w:p>
        </w:tc>
      </w:tr>
    </w:tbl>
    <w:p/>
    <w:p>
      <w:r>
        <w:t>Email the program officer and ask. One line saves a rejection that has nothing to do with program quality: Our library is a district organized as a unit of local government and does not hold its own 501(c)(3) determination. Does your program accept a governmental applicant, or should the request come through our Friends corporation?</w:t>
      </w:r>
    </w:p>
    <w:p>
      <w:pPr>
        <w:pStyle w:val="Heading2"/>
      </w:pPr>
      <w:r>
        <w:t>How this proposal is structured</w:t>
      </w:r>
    </w:p>
    <w:p>
      <w:r>
        <w:t>This template assumes the library district is the applicant of record and the Friends corporation stands ready as an alternate if the funder requires a 501(c)(3). Both entities have approved the request. If the Friends corporation becomes the applicant, three things change and nothing else does: the cover letter signature block, the financial attachments, and the memorandum specifying that the library district holds the learner records under its own confidentiality policy.</w:t>
      </w:r>
    </w:p>
    <w:p>
      <w:pPr>
        <w:pStyle w:val="Heading2"/>
      </w:pPr>
      <w:r>
        <w:t>Who holds the learner data</w:t>
      </w:r>
    </w:p>
    <w:p>
      <w:r>
        <w:t>Whichever entity applies, the library district holds the learner records, and the proposal says so explicitly. Adult literacy intake records contain educational history and sometimes immigration-adjacent information, and library patron records are protected under [State] law. A funder that receives aggregate outcome data and no learner-level data is getting exactly what it needs. Name your state statute here; a reviewer familiar with libraries expects to see it, and a reviewer unfamiliar with libraries is reassured by it.</w:t>
      </w:r>
    </w:p>
    <w:p>
      <w:pPr>
        <w:pStyle w:val="Heading1"/>
      </w:pPr>
      <w:r>
        <w:t>Statement of Need</w:t>
      </w:r>
    </w:p>
    <w:p>
      <w:r>
        <w:t>Write this section at county level, and source every figure. National literacy percentages appear in nearly every application a funder reads, so they carry no information about you. The two paragraphs that follow are the model; the bracketed values are the ones you replace.</w:t>
      </w:r>
    </w:p>
    <w:p>
      <w:r>
        <w:t>The PIAAC Skills Map estimates that [county literacy estimate] percent of adults in Example County perform at or below the lowest literacy proficiency level, with a 95 percent credible interval of [credible interval]. The comparable state figure is [state literacy estimate] percent. Our adult tutoring waiting list has carried more names than we have matched tutors for every month of the past year, and as of [month, year] it held [waiting list count] adults.</w:t>
      </w:r>
    </w:p>
    <w:p>
      <w:r>
        <w:t>Those two sentences do the work of the section. The first establishes that the need exists at the geography the funder cares about, using a source the funder can verify. The second establishes that the need is reaching us specifically, using evidence no other applicant has. Everything below expands on them.</w:t>
      </w:r>
    </w:p>
    <w:p>
      <w:pPr>
        <w:pStyle w:val="Heading2"/>
      </w:pPr>
      <w:r>
        <w:t>Adult literacy in the service area</w:t>
      </w:r>
    </w:p>
    <w:p>
      <w:r>
        <w:t>The PIAAC Skills Map publishes model-based small area estimates of adult literacy proficiency for all 50 states and 3,141 counties, drawn from the Program for the International Assessment of Adult Competencies and broken out by age and education group. The National Center for Education Statistics asks users to report the 95 percent credible interval alongside any county estimate, because these are modeled figures rather than direct counts, and the downloadable file supplies both bounds. Report the interval. A reviewer who knows the dataset will notice if you do not, and a reviewer who does not know it will read the interval as care.</w:t>
      </w:r>
    </w:p>
    <w:p>
      <w:r>
        <w:t>Add the age and education breakouts if they help your case. In a county where the estimate is driven by adults over 55, a workforce-framed proposal is the wrong frame. In a county where it is driven by adults aged 25 to 44 without a high school credential, the workforce frame is exactly right and the equivalency proctoring the library already does becomes a selling point.</w:t>
      </w:r>
    </w:p>
    <w:p>
      <w:pPr>
        <w:pStyle w:val="Heading2"/>
      </w:pPr>
      <w:r>
        <w:t>Educational attainment and language spoken at home</w:t>
      </w:r>
    </w:p>
    <w:p>
      <w:r>
        <w:t>American Community Survey tables give educational attainment and language spoken at home for the same geography, which lets you describe who the learners are rather than only how many there are. In our service area, [share] percent of adults 25 and over have not completed high school, and [share] percent of households speak a language other than English at home, with [language] the most common. That second figure is why this budget carries an interpretation line and why the family kits are bilingual.</w:t>
      </w:r>
    </w:p>
    <w:p>
      <w:r>
        <w:t>Pull these from the current five-year estimates rather than the one-year file. For a county of 41,000, the one-year estimates either do not exist or carry margins of error wide enough to undercut your own argument.</w:t>
      </w:r>
    </w:p>
    <w:p>
      <w:pPr>
        <w:pStyle w:val="Heading2"/>
      </w:pPr>
      <w:r>
        <w:t>Children's reading in the same county</w:t>
      </w:r>
    </w:p>
    <w:p>
      <w:r>
        <w:t>For the family literacy track, the relevant number comes from your state education agency. Example Area School District reports [district reading proficiency] percent of third graders reading at or above grade level, against a state figure of [state figure]. Third grade is the conventional checkpoint because it is where reading to learn replaces learning to read, and it is the grade most state report cards break out.</w:t>
      </w:r>
    </w:p>
    <w:p>
      <w:r>
        <w:t>Connect the two datasets in one sentence rather than leaving the reviewer to do it: the adults on our tutoring waiting list and the children in those third grade classrooms are frequently in the same households, which is the premise of a family literacy model and the reason the adult and family tracks in this proposal share a coordinator.</w:t>
      </w:r>
    </w:p>
    <w:p>
      <w:pPr>
        <w:pStyle w:val="Heading2"/>
      </w:pPr>
      <w:r>
        <w:t>The evidence only the library holds</w:t>
      </w:r>
    </w:p>
    <w:p>
      <w:r>
        <w:t>Public data proves the condition. Your own records prove the demand. Include at least three of the following, with the counting method stated plainly.</w:t>
      </w:r>
    </w:p>
    <w:p>
      <w:pPr>
        <w:pStyle w:val="ListBullet"/>
      </w:pPr>
      <w:r>
        <w:t>Waiting list: [waiting list count] adults waiting for a tutor as of [month, year], with an average wait of [weeks] weeks. State how you count and how you remove names, because a reviewer will wonder whether the list is stale.</w:t>
      </w:r>
    </w:p>
    <w:p>
      <w:pPr>
        <w:pStyle w:val="ListBullet"/>
      </w:pPr>
      <w:r>
        <w:t>Turned-away storytime families: [count] occasions in the past year when families were turned away for lack of room capacity.</w:t>
      </w:r>
    </w:p>
    <w:p>
      <w:pPr>
        <w:pStyle w:val="ListBullet"/>
      </w:pPr>
      <w:r>
        <w:t>Referrals we cannot serve: [count] referrals from the workforce office and the school district in the past year that we logged and could not place with a tutor.</w:t>
      </w:r>
    </w:p>
    <w:p>
      <w:pPr>
        <w:pStyle w:val="ListBullet"/>
      </w:pPr>
      <w:r>
        <w:t>Equivalency proctoring without instruction: roughly 60 test sessions a year proctored at the library, with no instructional pathway feeding them.</w:t>
      </w:r>
    </w:p>
    <w:p>
      <w:pPr>
        <w:pStyle w:val="ListBullet"/>
      </w:pPr>
      <w:r>
        <w:t>Circulation of adult basic education materials: [count] checkouts, against a collection that has not been meaningfully refreshed since [year].</w:t>
      </w:r>
    </w:p>
    <w:p>
      <w:pPr>
        <w:pStyle w:val="ListBullet"/>
      </w:pPr>
      <w:r>
        <w:t>Language access requests: [count] requests for interpretation at the reference desk in the past year.</w:t>
      </w:r>
    </w:p>
    <w:p>
      <w:r>
        <w:t>A waiting list proves demand rather than asserting it, which no borrowed statistic can do. It is also the single most persuasive paragraph available to a library applicant, so do not bury it beneath the national figures.</w:t>
      </w:r>
    </w:p>
    <w:p>
      <w:pPr>
        <w:pStyle w:val="Heading2"/>
      </w:pPr>
      <w:r>
        <w:t>What the need is not</w:t>
      </w:r>
    </w:p>
    <w:p>
      <w:r>
        <w:t>The need is not the library's budget pressure. Two failure patterns end library literacy proposals, and both are easy to avoid once named.</w:t>
      </w:r>
    </w:p>
    <w:p>
      <w:r>
        <w:t>The first is opening with a national literacy percentage the funder has already read in three other applications on the desk. It signals that no one looked up the county. The second is writing about the library's financial strain when the funder is buying a change in community reading levels. A funder that wanted to subsidize a public institution's operating budget would have written a different set of guidelines.</w:t>
      </w:r>
    </w:p>
    <w:p>
      <w:r>
        <w:t>The correct framing is that the county has an adult literacy gap, the library is the institution positioned to close part of it, and the specific missing ingredient is paid coordination capacity. That framing keeps the community at the center of the section while still explaining why the money should come to you.</w:t>
      </w:r>
    </w:p>
    <w:p>
      <w:pPr>
        <w:pStyle w:val="Heading2"/>
      </w:pPr>
      <w:r>
        <w:t>Need statement, assembled</w:t>
      </w:r>
    </w:p>
    <w:p>
      <w:r>
        <w:t>Read the assembled version below as a model of length and order. It runs about 300 words, which fits most need fields, and it moves from county to institution to the specific gap this request closes.</w:t>
      </w:r>
    </w:p>
    <w:p>
      <w:pPr>
        <w:pStyle w:val="IntenseQuote"/>
      </w:pPr>
      <w:r>
        <w:t>The PIAAC Skills Map estimates that [county literacy estimate] percent of adults in Example County perform at or below the lowest literacy proficiency level, with a 95 percent credible interval of [credible interval], against a state figure of [state literacy estimate] percent. American Community Survey five-year estimates show [share] percent of adults 25 and over without a high school credential and [share] percent of households speaking a language other than English at home. In the same county, Example Area School District reports [district reading proficiency] percent of third graders reading at or above grade level. Those adults and those children frequently live in the same households. Example County Library District has run volunteer adult tutoring for eleven years, and the waiting list has exceeded the number of matched tutors in every month of the past year; as of [month, year], [waiting list count] adults were waiting. We turned families away from our bilingual storytime on [count] occasions in the same period. The constraint is not volunteer supply and not space. It is that no staff member owns intake, assessment, tutor matching, or record keeping, so the program cannot grow past the capacity of whichever librarian is on desk when a learner walks in. Our county appropriation funds the collection, the buildings, the existing staff, and utilities; it has never funded a literacy coordinator or evening childcare, and no reduction to that appropriation is contemplated. This request funds the coordination capacity that converts an informal tutoring arrangement into a measured program serving 60 adult learners and 45 families.</w:t>
      </w:r>
    </w:p>
    <w:p>
      <w:pPr>
        <w:pStyle w:val="Heading1"/>
      </w:pPr>
      <w:r>
        <w:t>Program Description</w:t>
      </w:r>
    </w:p>
    <w:p>
      <w:r>
        <w:t>The program has two tracks that share a coordinator, a physical location, and a data system. The adult track delivers one-to-one volunteer tutoring. The family track delivers group instruction to caregivers with childcare provided next door. Both are described below in the order a reviewer reads them: who is served, how they enter, what they receive, how much of it they receive, and who delivers it.</w:t>
      </w:r>
    </w:p>
    <w:p>
      <w:pPr>
        <w:pStyle w:val="Heading2"/>
      </w:pPr>
      <w:r>
        <w:t>Adult tutoring track</w:t>
      </w:r>
    </w:p>
    <w:p>
      <w:pPr>
        <w:pStyle w:val="Heading3"/>
      </w:pPr>
      <w:r>
        <w:t>Recruitment and intake</w:t>
      </w:r>
    </w:p>
    <w:p>
      <w:r>
        <w:t>Learners enter three ways: by walking into either building and asking, by referral from the workforce office or the school district, or through the two community organizations that meet in our rooms. Intake is a 45-minute appointment with the literacy coordinator covering goals, schedule constraints, transportation, childcare needs, and language preference. The appointment ends with a scheduled assessment, not with a promise to call back.</w:t>
      </w:r>
    </w:p>
    <w:p>
      <w:r>
        <w:t>Intake is the single largest change this grant produces. Today a learner's entry point is whoever is on the reference desk. Under this program it is a scheduled appointment with a staff member who owns the outcome.</w:t>
      </w:r>
    </w:p>
    <w:p>
      <w:pPr>
        <w:pStyle w:val="Heading3"/>
      </w:pPr>
      <w:r>
        <w:t>Assessment and placement</w:t>
      </w:r>
    </w:p>
    <w:p>
      <w:r>
        <w:t>Each learner completes a standardized pre-assessment within two weeks of intake, administered by the literacy coordinator using [assessment name], the instrument approved for reporting in [State]. Assessment establishes the educational functioning level that the post-test will be measured against, and it drives tutor matching, because a learner at the lowest level needs a tutor trained in phonemic instruction rather than a conversation partner.</w:t>
      </w:r>
    </w:p>
    <w:p>
      <w:r>
        <w:t>Confirm which instruments your state approves before you name one in a proposal. Federal rules at 34 CFR Part 462 require providers funded under Title II of the Workforce Innovation and Opportunity Act to measure educational functioning level gain with an approved assessment and report it to the National Reporting System, and states publish their own approved lists under that framework. Naming the wrong instrument is a small error that reads as unfamiliarity.</w:t>
      </w:r>
    </w:p>
    <w:p>
      <w:pPr>
        <w:pStyle w:val="Heading3"/>
      </w:pPr>
      <w:r>
        <w:t>Tutor recruitment, screening, and training</w:t>
      </w:r>
    </w:p>
    <w:p>
      <w:r>
        <w:t>We will recruit and train 40 volunteer tutors in two cohorts of 20, in months two and seven. Recruitment runs through the Friends membership, two local congregations, the community college's education program, and a retired teachers association. Every tutor completes a background check before being matched, at the district's expense under existing volunteer policy.</w:t>
      </w:r>
    </w:p>
    <w:p>
      <w:r>
        <w:t>Training is twelve hours delivered over four sessions, covering adult learning principles, the assessment framework and what the levels mean, phonemic and comprehension instruction at the lowest levels, working with English language learners, session planning, record keeping, and boundaries. Each tutor receives a training manual and a set of instructional materials to keep. Tutors who complete training but do not take a match remain on a substitute list, which is why we train 40 to sustain roughly 30 active pairs.</w:t>
      </w:r>
    </w:p>
    <w:p>
      <w:r>
        <w:t>Ongoing support is a monthly one-hour tutor meeting facilitated by the coordinator and an observed session in each tutor's first eight weeks. Volunteer programs lose tutors to silence more often than to schedule conflicts.</w:t>
      </w:r>
    </w:p>
    <w:p>
      <w:pPr>
        <w:pStyle w:val="Heading3"/>
      </w:pPr>
      <w:r>
        <w:t>Instruction and dosage</w:t>
      </w:r>
    </w:p>
    <w:p>
      <w:r>
        <w:t>Matched pairs meet twice a week for 75 minutes at a library facility or, for the rural townships, at one of three partner sites on the bookmobile route. Sixteen weeks at that pace reaches 40 instructional hours, which is the dosage threshold the outcome targets are built on. Learners may continue past 40 hours and most do; the threshold is a measurement point, not an exit.</w:t>
      </w:r>
    </w:p>
    <w:p>
      <w:r>
        <w:t>Tutors log every session in a shared record within 48 hours: date, duration, materials used, and a one-line note. The coordinator reviews logs weekly and contacts any pair that has missed two consecutive sessions. That single practice is the largest driver of the twelve-week persistence target.</w:t>
      </w:r>
    </w:p>
    <w:p>
      <w:pPr>
        <w:pStyle w:val="Heading3"/>
      </w:pPr>
      <w:r>
        <w:t>Exit, post-testing, and transitions</w:t>
      </w:r>
    </w:p>
    <w:p>
      <w:r>
        <w:t>Learners are post-tested at 40 instructional hours or at the end of the program year, whichever comes first, using the parallel form of the intake instrument. The coordinator conducts an exit conversation covering next steps: equivalency testing, which we proctor on site; enrollment at the community college; the workforce office; or continued tutoring in the following cycle.</w:t>
      </w:r>
    </w:p>
    <w:p>
      <w:pPr>
        <w:pStyle w:val="Heading2"/>
      </w:pPr>
      <w:r>
        <w:t>Family literacy track</w:t>
      </w:r>
    </w:p>
    <w:p>
      <w:pPr>
        <w:pStyle w:val="Heading3"/>
      </w:pPr>
      <w:r>
        <w:t>Structure</w:t>
      </w:r>
    </w:p>
    <w:p>
      <w:r>
        <w:t>The family track serves 45 families in five cohorts of nine, each cohort meeting for eight weekly evening sessions. Sessions run 90 minutes: 60 minutes with caregivers led by the youth services librarian, then 30 minutes of shared reading with the children who have been in childcare in the adjacent meeting room. Every family receives a take-home reading kit at the first session and adds to it each week.</w:t>
      </w:r>
    </w:p>
    <w:p>
      <w:pPr>
        <w:pStyle w:val="Heading3"/>
      </w:pPr>
      <w:r>
        <w:t>Content</w:t>
      </w:r>
    </w:p>
    <w:p>
      <w:r>
        <w:t>The caregiver hour covers dialogic reading technique, choosing books at a child's level, building a reading routine that survives a difficult week, using the library's collection and digital resources, and what the school will ask of their child at kindergarten entry. Sessions seven and eight bring in a school district early literacy staff member and a school librarian, so the transition to school is a relationship rather than a handoff.</w:t>
      </w:r>
    </w:p>
    <w:p>
      <w:pPr>
        <w:pStyle w:val="Heading3"/>
      </w:pPr>
      <w:r>
        <w:t>Childcare, and why it is a funded line</w:t>
      </w:r>
    </w:p>
    <w:p>
      <w:r>
        <w:t>Childcare runs in the adjacent meeting room for every one of the 40 family sessions, staffed by two paid childcare workers who hold current clearances. This is a direct participation cost, not a convenience. Evening adult programming without childcare selects for caregivers who have another adult at home, which excludes a large share of the families this program is designed for. Cutting the line to shrink the ask costs the attendance target, and the attendance target is what the outcomes are calculated from.</w:t>
      </w:r>
    </w:p>
    <w:p>
      <w:pPr>
        <w:pStyle w:val="Heading3"/>
      </w:pPr>
      <w:r>
        <w:t>Materials and language access</w:t>
      </w:r>
    </w:p>
    <w:p>
      <w:r>
        <w:t>Kits are bilingual where the family requests it, and interpretation is available at intake and at the first session of each cohort. The interpretation budget line is small and it is load bearing. A caregiver who cannot follow the first session does not return for the second.</w:t>
      </w:r>
    </w:p>
    <w:p>
      <w:pPr>
        <w:pStyle w:val="Heading2"/>
      </w:pPr>
      <w:r>
        <w:t>Participant flow</w:t>
      </w:r>
    </w:p>
    <w:tbl>
      <w:tblPr>
        <w:tblStyle w:val="LightGrid-Accent1"/>
        <w:tblW w:type="auto" w:w="0"/>
        <w:tblLook w:firstColumn="1" w:firstRow="1" w:lastColumn="0" w:lastRow="0" w:noHBand="0" w:noVBand="1" w:val="04A0"/>
      </w:tblPr>
      <w:tblGrid>
        <w:gridCol w:w="2340"/>
        <w:gridCol w:w="2340"/>
        <w:gridCol w:w="2340"/>
        <w:gridCol w:w="2340"/>
      </w:tblGrid>
      <w:tr>
        <w:tc>
          <w:tcPr>
            <w:tcW w:type="dxa" w:w="2016"/>
          </w:tcPr>
          <w:p>
            <w:r>
              <w:rPr>
                <w:b/>
              </w:rPr>
              <w:t>Stage</w:t>
            </w:r>
          </w:p>
        </w:tc>
        <w:tc>
          <w:tcPr>
            <w:tcW w:type="dxa" w:w="3312"/>
          </w:tcPr>
          <w:p>
            <w:r>
              <w:rPr>
                <w:b/>
              </w:rPr>
              <w:t>What happens</w:t>
            </w:r>
          </w:p>
        </w:tc>
        <w:tc>
          <w:tcPr>
            <w:tcW w:type="dxa" w:w="2304"/>
          </w:tcPr>
          <w:p>
            <w:r>
              <w:rPr>
                <w:b/>
              </w:rPr>
              <w:t>Who does it</w:t>
            </w:r>
          </w:p>
        </w:tc>
        <w:tc>
          <w:tcPr>
            <w:tcW w:type="dxa" w:w="1728"/>
          </w:tcPr>
          <w:p>
            <w:r>
              <w:rPr>
                <w:b/>
              </w:rPr>
              <w:t>Record created</w:t>
            </w:r>
          </w:p>
        </w:tc>
      </w:tr>
      <w:tr>
        <w:tc>
          <w:tcPr>
            <w:tcW w:type="dxa" w:w="2016"/>
          </w:tcPr>
          <w:p>
            <w:r>
              <w:t>Referral or walk-in</w:t>
            </w:r>
          </w:p>
        </w:tc>
        <w:tc>
          <w:tcPr>
            <w:tcW w:type="dxa" w:w="3312"/>
          </w:tcPr>
          <w:p>
            <w:r>
              <w:t>Learner or family expresses interest</w:t>
            </w:r>
          </w:p>
        </w:tc>
        <w:tc>
          <w:tcPr>
            <w:tcW w:type="dxa" w:w="2304"/>
          </w:tcPr>
          <w:p>
            <w:r>
              <w:t>Any staff member</w:t>
            </w:r>
          </w:p>
        </w:tc>
        <w:tc>
          <w:tcPr>
            <w:tcW w:type="dxa" w:w="1728"/>
          </w:tcPr>
          <w:p>
            <w:r>
              <w:t>Interest log entry</w:t>
            </w:r>
          </w:p>
        </w:tc>
      </w:tr>
      <w:tr>
        <w:tc>
          <w:tcPr>
            <w:tcW w:type="dxa" w:w="2016"/>
          </w:tcPr>
          <w:p>
            <w:r>
              <w:t>Intake appointment</w:t>
            </w:r>
          </w:p>
        </w:tc>
        <w:tc>
          <w:tcPr>
            <w:tcW w:type="dxa" w:w="3312"/>
          </w:tcPr>
          <w:p>
            <w:r>
              <w:t>45-minute goals and logistics conversation</w:t>
            </w:r>
          </w:p>
        </w:tc>
        <w:tc>
          <w:tcPr>
            <w:tcW w:type="dxa" w:w="2304"/>
          </w:tcPr>
          <w:p>
            <w:r>
              <w:t>Literacy coordinator</w:t>
            </w:r>
          </w:p>
        </w:tc>
        <w:tc>
          <w:tcPr>
            <w:tcW w:type="dxa" w:w="1728"/>
          </w:tcPr>
          <w:p>
            <w:r>
              <w:t>Intake record</w:t>
            </w:r>
          </w:p>
        </w:tc>
      </w:tr>
      <w:tr>
        <w:tc>
          <w:tcPr>
            <w:tcW w:type="dxa" w:w="2016"/>
          </w:tcPr>
          <w:p>
            <w:r>
              <w:t>Assessment</w:t>
            </w:r>
          </w:p>
        </w:tc>
        <w:tc>
          <w:tcPr>
            <w:tcW w:type="dxa" w:w="3312"/>
          </w:tcPr>
          <w:p>
            <w:r>
              <w:t>Standardized pre-test administered</w:t>
            </w:r>
          </w:p>
        </w:tc>
        <w:tc>
          <w:tcPr>
            <w:tcW w:type="dxa" w:w="2304"/>
          </w:tcPr>
          <w:p>
            <w:r>
              <w:t>Literacy coordinator</w:t>
            </w:r>
          </w:p>
        </w:tc>
        <w:tc>
          <w:tcPr>
            <w:tcW w:type="dxa" w:w="1728"/>
          </w:tcPr>
          <w:p>
            <w:r>
              <w:t>Baseline level</w:t>
            </w:r>
          </w:p>
        </w:tc>
      </w:tr>
      <w:tr>
        <w:tc>
          <w:tcPr>
            <w:tcW w:type="dxa" w:w="2016"/>
          </w:tcPr>
          <w:p>
            <w:r>
              <w:t>Matching or cohort assignment</w:t>
            </w:r>
          </w:p>
        </w:tc>
        <w:tc>
          <w:tcPr>
            <w:tcW w:type="dxa" w:w="3312"/>
          </w:tcPr>
          <w:p>
            <w:r>
              <w:t>Pair formed or family placed in a cohort</w:t>
            </w:r>
          </w:p>
        </w:tc>
        <w:tc>
          <w:tcPr>
            <w:tcW w:type="dxa" w:w="2304"/>
          </w:tcPr>
          <w:p>
            <w:r>
              <w:t>Literacy coordinator</w:t>
            </w:r>
          </w:p>
        </w:tc>
        <w:tc>
          <w:tcPr>
            <w:tcW w:type="dxa" w:w="1728"/>
          </w:tcPr>
          <w:p>
            <w:r>
              <w:t>Match record</w:t>
            </w:r>
          </w:p>
        </w:tc>
      </w:tr>
      <w:tr>
        <w:tc>
          <w:tcPr>
            <w:tcW w:type="dxa" w:w="2016"/>
          </w:tcPr>
          <w:p>
            <w:r>
              <w:t>Instruction</w:t>
            </w:r>
          </w:p>
        </w:tc>
        <w:tc>
          <w:tcPr>
            <w:tcW w:type="dxa" w:w="3312"/>
          </w:tcPr>
          <w:p>
            <w:r>
              <w:t>Two weekly sessions, or eight weekly cohort sessions</w:t>
            </w:r>
          </w:p>
        </w:tc>
        <w:tc>
          <w:tcPr>
            <w:tcW w:type="dxa" w:w="2304"/>
          </w:tcPr>
          <w:p>
            <w:r>
              <w:t>Volunteer tutor or youth services librarian</w:t>
            </w:r>
          </w:p>
        </w:tc>
        <w:tc>
          <w:tcPr>
            <w:tcW w:type="dxa" w:w="1728"/>
          </w:tcPr>
          <w:p>
            <w:r>
              <w:t>Session logs</w:t>
            </w:r>
          </w:p>
        </w:tc>
      </w:tr>
      <w:tr>
        <w:tc>
          <w:tcPr>
            <w:tcW w:type="dxa" w:w="2016"/>
          </w:tcPr>
          <w:p>
            <w:r>
              <w:t>Twelve-week check</w:t>
            </w:r>
          </w:p>
        </w:tc>
        <w:tc>
          <w:tcPr>
            <w:tcW w:type="dxa" w:w="3312"/>
          </w:tcPr>
          <w:p>
            <w:r>
              <w:t>Persistence confirmed, barriers addressed</w:t>
            </w:r>
          </w:p>
        </w:tc>
        <w:tc>
          <w:tcPr>
            <w:tcW w:type="dxa" w:w="2304"/>
          </w:tcPr>
          <w:p>
            <w:r>
              <w:t>Literacy coordinator</w:t>
            </w:r>
          </w:p>
        </w:tc>
        <w:tc>
          <w:tcPr>
            <w:tcW w:type="dxa" w:w="1728"/>
          </w:tcPr>
          <w:p>
            <w:r>
              <w:t>Retention flag</w:t>
            </w:r>
          </w:p>
        </w:tc>
      </w:tr>
      <w:tr>
        <w:tc>
          <w:tcPr>
            <w:tcW w:type="dxa" w:w="2016"/>
          </w:tcPr>
          <w:p>
            <w:r>
              <w:t>Post-test</w:t>
            </w:r>
          </w:p>
        </w:tc>
        <w:tc>
          <w:tcPr>
            <w:tcW w:type="dxa" w:w="3312"/>
          </w:tcPr>
          <w:p>
            <w:r>
              <w:t>Parallel form administered at 40 hours</w:t>
            </w:r>
          </w:p>
        </w:tc>
        <w:tc>
          <w:tcPr>
            <w:tcW w:type="dxa" w:w="2304"/>
          </w:tcPr>
          <w:p>
            <w:r>
              <w:t>Literacy coordinator</w:t>
            </w:r>
          </w:p>
        </w:tc>
        <w:tc>
          <w:tcPr>
            <w:tcW w:type="dxa" w:w="1728"/>
          </w:tcPr>
          <w:p>
            <w:r>
              <w:t>Post level, gain calculated</w:t>
            </w:r>
          </w:p>
        </w:tc>
      </w:tr>
      <w:tr>
        <w:tc>
          <w:tcPr>
            <w:tcW w:type="dxa" w:w="2016"/>
          </w:tcPr>
          <w:p>
            <w:r>
              <w:t>Exit conversation</w:t>
            </w:r>
          </w:p>
        </w:tc>
        <w:tc>
          <w:tcPr>
            <w:tcW w:type="dxa" w:w="3312"/>
          </w:tcPr>
          <w:p>
            <w:r>
              <w:t>Next step identified and recorded</w:t>
            </w:r>
          </w:p>
        </w:tc>
        <w:tc>
          <w:tcPr>
            <w:tcW w:type="dxa" w:w="2304"/>
          </w:tcPr>
          <w:p>
            <w:r>
              <w:t>Literacy coordinator</w:t>
            </w:r>
          </w:p>
        </w:tc>
        <w:tc>
          <w:tcPr>
            <w:tcW w:type="dxa" w:w="1728"/>
          </w:tcPr>
          <w:p>
            <w:r>
              <w:t>Transition record</w:t>
            </w:r>
          </w:p>
        </w:tc>
      </w:tr>
    </w:tbl>
    <w:p/>
    <w:p>
      <w:pPr>
        <w:pStyle w:val="Heading2"/>
      </w:pPr>
      <w:r>
        <w:t>Staffing the program</w:t>
      </w:r>
    </w:p>
    <w:p>
      <w:r>
        <w:t>The literacy coordinator works 20 hours a week across both tracks. The position is new and grant funded, and its time divides roughly as follows: eight hours on intake, assessment, and matching; five hours on tutor recruitment, training, and support; three hours on the family track and partner coordination; two hours on record keeping and reporting; and two hours on outreach at partner sites.</w:t>
      </w:r>
    </w:p>
    <w:p>
      <w:r>
        <w:t>The youth services librarian leads the family track using existing budgeted hours, which appears in the in-kind table rather than in the request. The library director supervises the coordinator and carries the funder relationship. The Friends treasurer handles grant bookkeeping if the Friends corporation is the applicant of record.</w:t>
      </w:r>
    </w:p>
    <w:p>
      <w:pPr>
        <w:pStyle w:val="Heading2"/>
      </w:pPr>
      <w:r>
        <w:t>Sites and schedule</w:t>
      </w:r>
    </w:p>
    <w:tbl>
      <w:tblPr>
        <w:tblStyle w:val="LightGrid-Accent1"/>
        <w:tblW w:type="auto" w:w="0"/>
        <w:tblLook w:firstColumn="1" w:firstRow="1" w:lastColumn="0" w:lastRow="0" w:noHBand="0" w:noVBand="1" w:val="04A0"/>
      </w:tblPr>
      <w:tblGrid>
        <w:gridCol w:w="3120"/>
        <w:gridCol w:w="3120"/>
        <w:gridCol w:w="3120"/>
      </w:tblGrid>
      <w:tr>
        <w:tc>
          <w:tcPr>
            <w:tcW w:type="dxa" w:w="2880"/>
          </w:tcPr>
          <w:p>
            <w:r>
              <w:rPr>
                <w:b/>
              </w:rPr>
              <w:t>Site</w:t>
            </w:r>
          </w:p>
        </w:tc>
        <w:tc>
          <w:tcPr>
            <w:tcW w:type="dxa" w:w="3888"/>
          </w:tcPr>
          <w:p>
            <w:r>
              <w:rPr>
                <w:b/>
              </w:rPr>
              <w:t>Activity</w:t>
            </w:r>
          </w:p>
        </w:tc>
        <w:tc>
          <w:tcPr>
            <w:tcW w:type="dxa" w:w="2592"/>
          </w:tcPr>
          <w:p>
            <w:r>
              <w:rPr>
                <w:b/>
              </w:rPr>
              <w:t>Frequency</w:t>
            </w:r>
          </w:p>
        </w:tc>
      </w:tr>
      <w:tr>
        <w:tc>
          <w:tcPr>
            <w:tcW w:type="dxa" w:w="2880"/>
          </w:tcPr>
          <w:p>
            <w:r>
              <w:t>Fairhaven Main Library</w:t>
            </w:r>
          </w:p>
        </w:tc>
        <w:tc>
          <w:tcPr>
            <w:tcW w:type="dxa" w:w="3888"/>
          </w:tcPr>
          <w:p>
            <w:r>
              <w:t>Adult tutoring, intake, assessment, tutor training</w:t>
            </w:r>
          </w:p>
        </w:tc>
        <w:tc>
          <w:tcPr>
            <w:tcW w:type="dxa" w:w="2592"/>
          </w:tcPr>
          <w:p>
            <w:r>
              <w:t>Six days a week during open hours</w:t>
            </w:r>
          </w:p>
        </w:tc>
      </w:tr>
      <w:tr>
        <w:tc>
          <w:tcPr>
            <w:tcW w:type="dxa" w:w="2880"/>
          </w:tcPr>
          <w:p>
            <w:r>
              <w:t>Fairhaven Main meeting room</w:t>
            </w:r>
          </w:p>
        </w:tc>
        <w:tc>
          <w:tcPr>
            <w:tcW w:type="dxa" w:w="3888"/>
          </w:tcPr>
          <w:p>
            <w:r>
              <w:t>Family literacy sessions and childcare</w:t>
            </w:r>
          </w:p>
        </w:tc>
        <w:tc>
          <w:tcPr>
            <w:tcW w:type="dxa" w:w="2592"/>
          </w:tcPr>
          <w:p>
            <w:r>
              <w:t>One evening a week during cohort terms</w:t>
            </w:r>
          </w:p>
        </w:tc>
      </w:tr>
      <w:tr>
        <w:tc>
          <w:tcPr>
            <w:tcW w:type="dxa" w:w="2880"/>
          </w:tcPr>
          <w:p>
            <w:r>
              <w:t>North Township Branch</w:t>
            </w:r>
          </w:p>
        </w:tc>
        <w:tc>
          <w:tcPr>
            <w:tcW w:type="dxa" w:w="3888"/>
          </w:tcPr>
          <w:p>
            <w:r>
              <w:t>Adult tutoring, evening hours</w:t>
            </w:r>
          </w:p>
        </w:tc>
        <w:tc>
          <w:tcPr>
            <w:tcW w:type="dxa" w:w="2592"/>
          </w:tcPr>
          <w:p>
            <w:r>
              <w:t>Three evenings a week</w:t>
            </w:r>
          </w:p>
        </w:tc>
      </w:tr>
      <w:tr>
        <w:tc>
          <w:tcPr>
            <w:tcW w:type="dxa" w:w="2880"/>
          </w:tcPr>
          <w:p>
            <w:r>
              <w:t>Three bookmobile partner sites</w:t>
            </w:r>
          </w:p>
        </w:tc>
        <w:tc>
          <w:tcPr>
            <w:tcW w:type="dxa" w:w="3888"/>
          </w:tcPr>
          <w:p>
            <w:r>
              <w:t>Rural tutoring by arrangement</w:t>
            </w:r>
          </w:p>
        </w:tc>
        <w:tc>
          <w:tcPr>
            <w:tcW w:type="dxa" w:w="2592"/>
          </w:tcPr>
          <w:p>
            <w:r>
              <w:t>Weekly, aligned to the route</w:t>
            </w:r>
          </w:p>
        </w:tc>
      </w:tr>
      <w:tr>
        <w:tc>
          <w:tcPr>
            <w:tcW w:type="dxa" w:w="2880"/>
          </w:tcPr>
          <w:p>
            <w:r>
              <w:t>School district family center</w:t>
            </w:r>
          </w:p>
        </w:tc>
        <w:tc>
          <w:tcPr>
            <w:tcW w:type="dxa" w:w="3888"/>
          </w:tcPr>
          <w:p>
            <w:r>
              <w:t>Family track recruitment and referral</w:t>
            </w:r>
          </w:p>
        </w:tc>
        <w:tc>
          <w:tcPr>
            <w:tcW w:type="dxa" w:w="2592"/>
          </w:tcPr>
          <w:p>
            <w:r>
              <w:t>Monthly coordination meeting</w:t>
            </w:r>
          </w:p>
        </w:tc>
      </w:tr>
    </w:tbl>
    <w:p/>
    <w:p>
      <w:pPr>
        <w:pStyle w:val="Heading2"/>
      </w:pPr>
      <w:r>
        <w:t>What this program does not do</w:t>
      </w:r>
    </w:p>
    <w:p>
      <w:r>
        <w:t>Naming the boundary is a credibility move, not a hedge. This program does not provide formal adult secondary education instruction leading to a credential; it prepares learners for it and refers them to the community college and the state adult education provider. It does not provide transportation, although the rural site strategy exists because transportation is a real barrier. It does not provide childcare for the adult tutoring track, only for the family sessions, and the twelve-week persistence figure will reflect that limit.</w:t>
      </w:r>
    </w:p>
    <w:p>
      <w:pPr>
        <w:pStyle w:val="Heading1"/>
      </w:pPr>
      <w:r>
        <w:t>Goals, Objectives, and Outcome Measures</w:t>
      </w:r>
    </w:p>
    <w:p>
      <w:r>
        <w:t>Goals are directional. Objectives are countable, dated, and attached to a source. A reviewer reads the objectives and ignores the goals, so write the objectives first and let the goals summarize them.</w:t>
      </w:r>
    </w:p>
    <w:p>
      <w:pPr>
        <w:pStyle w:val="Heading2"/>
      </w:pPr>
      <w:r>
        <w:t>Goal 1: Adults in Example County gain measurable reading proficiency</w:t>
      </w:r>
    </w:p>
    <w:p>
      <w:pPr>
        <w:pStyle w:val="ListBullet"/>
      </w:pPr>
      <w:r>
        <w:t>Objective 1.1: Sixty adult learners complete intake and a standardized pre-assessment by [date].</w:t>
      </w:r>
    </w:p>
    <w:p>
      <w:pPr>
        <w:pStyle w:val="ListBullet"/>
      </w:pPr>
      <w:r>
        <w:t>Objective 1.2: Forty of 60 adult learners complete at least 40 instructional hours by [date], verified from tutor session logs.</w:t>
      </w:r>
    </w:p>
    <w:p>
      <w:pPr>
        <w:pStyle w:val="ListBullet"/>
      </w:pPr>
      <w:r>
        <w:t>Objective 1.3: Twenty-five adult learners advance at least one educational functioning level on a standardized post-test by [date].</w:t>
      </w:r>
    </w:p>
    <w:p>
      <w:pPr>
        <w:pStyle w:val="ListBullet"/>
      </w:pPr>
      <w:r>
        <w:t>Objective 1.4: Seventy percent of enrolled adult learners are still attending at twelve weeks from their match date.</w:t>
      </w:r>
    </w:p>
    <w:p>
      <w:pPr>
        <w:pStyle w:val="ListBullet"/>
      </w:pPr>
      <w:r>
        <w:t>Objective 1.5: Fifteen learners record a credential or workforce transition, defined as equivalency testing attempted, a course enrolled, or a job entered, by [date].</w:t>
      </w:r>
    </w:p>
    <w:p>
      <w:pPr>
        <w:pStyle w:val="Heading2"/>
      </w:pPr>
      <w:r>
        <w:t>Goal 2: Families with young children build sustained reading practice at home</w:t>
      </w:r>
    </w:p>
    <w:p>
      <w:pPr>
        <w:pStyle w:val="ListBullet"/>
      </w:pPr>
      <w:r>
        <w:t>Objective 2.1: Forty-five families complete at least six of eight family literacy sessions by [date].</w:t>
      </w:r>
    </w:p>
    <w:p>
      <w:pPr>
        <w:pStyle w:val="ListBullet"/>
      </w:pPr>
      <w:r>
        <w:t>Objective 2.2: Seventy percent of participating caregivers report an increase in weekly shared reading time on a pre and post survey.</w:t>
      </w:r>
    </w:p>
    <w:p>
      <w:pPr>
        <w:pStyle w:val="ListBullet"/>
      </w:pPr>
      <w:r>
        <w:t>Objective 2.3: Forty family reading kits remain in active home use at the eight-week checkpoint, confirmed by caregiver report.</w:t>
      </w:r>
    </w:p>
    <w:p>
      <w:pPr>
        <w:pStyle w:val="ListBullet"/>
      </w:pPr>
      <w:r>
        <w:t>Objective 2.4: Thirty participating families hold or obtain a library card and record at least one checkout in the three months following their cohort.</w:t>
      </w:r>
    </w:p>
    <w:p>
      <w:pPr>
        <w:pStyle w:val="Heading2"/>
      </w:pPr>
      <w:r>
        <w:t>Goal 3: The library builds durable literacy capacity</w:t>
      </w:r>
    </w:p>
    <w:p>
      <w:pPr>
        <w:pStyle w:val="ListBullet"/>
      </w:pPr>
      <w:r>
        <w:t>Objective 3.1: Forty volunteer tutors complete twelve hours of training and a background check by [date].</w:t>
      </w:r>
    </w:p>
    <w:p>
      <w:pPr>
        <w:pStyle w:val="ListBullet"/>
      </w:pPr>
      <w:r>
        <w:t>Objective 3.2: A documented intake, assessment, and matching workflow is in operation by month three and remains in use after the grant period.</w:t>
      </w:r>
    </w:p>
    <w:p>
      <w:pPr>
        <w:pStyle w:val="ListBullet"/>
      </w:pPr>
      <w:r>
        <w:t>Objective 3.3: One hundred ninety-four leveled readers and bilingual kits are cataloged into the circulating collection by [date].</w:t>
      </w:r>
    </w:p>
    <w:p>
      <w:pPr>
        <w:pStyle w:val="ListBullet"/>
      </w:pPr>
      <w:r>
        <w:t>Objective 3.4: The Board of Trustees adopts a [fiscal year] budget line for the coordinator position at [share] of its cost by [date].</w:t>
      </w:r>
    </w:p>
    <w:p>
      <w:pPr>
        <w:pStyle w:val="Heading2"/>
      </w:pPr>
      <w:r>
        <w:t>Measures literacy funders recognize</w:t>
      </w:r>
    </w:p>
    <w:p>
      <w:r>
        <w:t>The six measures below need no definition for a literacy reviewer. Use them, and resist inventing a house metric that only your organization understands.</w:t>
      </w:r>
    </w:p>
    <w:tbl>
      <w:tblPr>
        <w:tblStyle w:val="LightGrid-Accent1"/>
        <w:tblW w:type="auto" w:w="0"/>
        <w:tblLook w:firstColumn="1" w:firstRow="1" w:lastColumn="0" w:lastRow="0" w:noHBand="0" w:noVBand="1" w:val="04A0"/>
      </w:tblPr>
      <w:tblGrid>
        <w:gridCol w:w="1872"/>
        <w:gridCol w:w="1872"/>
        <w:gridCol w:w="1872"/>
        <w:gridCol w:w="1872"/>
        <w:gridCol w:w="1872"/>
      </w:tblGrid>
      <w:tr>
        <w:tc>
          <w:tcPr>
            <w:tcW w:type="dxa" w:w="2160"/>
          </w:tcPr>
          <w:p>
            <w:r>
              <w:rPr>
                <w:b/>
              </w:rPr>
              <w:t>Measure</w:t>
            </w:r>
          </w:p>
        </w:tc>
        <w:tc>
          <w:tcPr>
            <w:tcW w:type="dxa" w:w="2448"/>
          </w:tcPr>
          <w:p>
            <w:r>
              <w:rPr>
                <w:b/>
              </w:rPr>
              <w:t>What it counts</w:t>
            </w:r>
          </w:p>
        </w:tc>
        <w:tc>
          <w:tcPr>
            <w:tcW w:type="dxa" w:w="1872"/>
          </w:tcPr>
          <w:p>
            <w:r>
              <w:rPr>
                <w:b/>
              </w:rPr>
              <w:t>Baseline</w:t>
            </w:r>
          </w:p>
        </w:tc>
        <w:tc>
          <w:tcPr>
            <w:tcW w:type="dxa" w:w="1728"/>
          </w:tcPr>
          <w:p>
            <w:r>
              <w:rPr>
                <w:b/>
              </w:rPr>
              <w:t>Target</w:t>
            </w:r>
          </w:p>
        </w:tc>
        <w:tc>
          <w:tcPr>
            <w:tcW w:type="dxa" w:w="1872"/>
          </w:tcPr>
          <w:p>
            <w:r>
              <w:rPr>
                <w:b/>
              </w:rPr>
              <w:t>Source</w:t>
            </w:r>
          </w:p>
        </w:tc>
      </w:tr>
      <w:tr>
        <w:tc>
          <w:tcPr>
            <w:tcW w:type="dxa" w:w="2160"/>
          </w:tcPr>
          <w:p>
            <w:r>
              <w:t>Educational functioning level gain</w:t>
            </w:r>
          </w:p>
        </w:tc>
        <w:tc>
          <w:tcPr>
            <w:tcW w:type="dxa" w:w="2448"/>
          </w:tcPr>
          <w:p>
            <w:r>
              <w:t>Advancing a level between a standardized pre and post test</w:t>
            </w:r>
          </w:p>
        </w:tc>
        <w:tc>
          <w:tcPr>
            <w:tcW w:type="dxa" w:w="1872"/>
          </w:tcPr>
          <w:p>
            <w:r>
              <w:t>Not currently measured</w:t>
            </w:r>
          </w:p>
        </w:tc>
        <w:tc>
          <w:tcPr>
            <w:tcW w:type="dxa" w:w="1728"/>
          </w:tcPr>
          <w:p>
            <w:r>
              <w:t>25 of 60 learners</w:t>
            </w:r>
          </w:p>
        </w:tc>
        <w:tc>
          <w:tcPr>
            <w:tcW w:type="dxa" w:w="1872"/>
          </w:tcPr>
          <w:p>
            <w:r>
              <w:t>Assessment records</w:t>
            </w:r>
          </w:p>
        </w:tc>
      </w:tr>
      <w:tr>
        <w:tc>
          <w:tcPr>
            <w:tcW w:type="dxa" w:w="2160"/>
          </w:tcPr>
          <w:p>
            <w:r>
              <w:t>Instructional contact hours per learner</w:t>
            </w:r>
          </w:p>
        </w:tc>
        <w:tc>
          <w:tcPr>
            <w:tcW w:type="dxa" w:w="2448"/>
          </w:tcPr>
          <w:p>
            <w:r>
              <w:t>Hours each learner actually receives</w:t>
            </w:r>
          </w:p>
        </w:tc>
        <w:tc>
          <w:tcPr>
            <w:tcW w:type="dxa" w:w="1872"/>
          </w:tcPr>
          <w:p>
            <w:r>
              <w:t>Not currently logged</w:t>
            </w:r>
          </w:p>
        </w:tc>
        <w:tc>
          <w:tcPr>
            <w:tcW w:type="dxa" w:w="1728"/>
          </w:tcPr>
          <w:p>
            <w:r>
              <w:t>40 of 60 reach 40 hours</w:t>
            </w:r>
          </w:p>
        </w:tc>
        <w:tc>
          <w:tcPr>
            <w:tcW w:type="dxa" w:w="1872"/>
          </w:tcPr>
          <w:p>
            <w:r>
              <w:t>Tutor session logs</w:t>
            </w:r>
          </w:p>
        </w:tc>
      </w:tr>
      <w:tr>
        <w:tc>
          <w:tcPr>
            <w:tcW w:type="dxa" w:w="2160"/>
          </w:tcPr>
          <w:p>
            <w:r>
              <w:t>Persistence at 12 weeks</w:t>
            </w:r>
          </w:p>
        </w:tc>
        <w:tc>
          <w:tcPr>
            <w:tcW w:type="dxa" w:w="2448"/>
          </w:tcPr>
          <w:p>
            <w:r>
              <w:t>Share of enrolled learners still attending</w:t>
            </w:r>
          </w:p>
        </w:tc>
        <w:tc>
          <w:tcPr>
            <w:tcW w:type="dxa" w:w="1872"/>
          </w:tcPr>
          <w:p>
            <w:r>
              <w:t>Not currently tracked</w:t>
            </w:r>
          </w:p>
        </w:tc>
        <w:tc>
          <w:tcPr>
            <w:tcW w:type="dxa" w:w="1728"/>
          </w:tcPr>
          <w:p>
            <w:r>
              <w:t>70 percent</w:t>
            </w:r>
          </w:p>
        </w:tc>
        <w:tc>
          <w:tcPr>
            <w:tcW w:type="dxa" w:w="1872"/>
          </w:tcPr>
          <w:p>
            <w:r>
              <w:t>Session logs and retention flag</w:t>
            </w:r>
          </w:p>
        </w:tc>
      </w:tr>
      <w:tr>
        <w:tc>
          <w:tcPr>
            <w:tcW w:type="dxa" w:w="2160"/>
          </w:tcPr>
          <w:p>
            <w:r>
              <w:t>Credential and workforce transitions</w:t>
            </w:r>
          </w:p>
        </w:tc>
        <w:tc>
          <w:tcPr>
            <w:tcW w:type="dxa" w:w="2448"/>
          </w:tcPr>
          <w:p>
            <w:r>
              <w:t>Equivalency attempted, course enrolled, job entered</w:t>
            </w:r>
          </w:p>
        </w:tc>
        <w:tc>
          <w:tcPr>
            <w:tcW w:type="dxa" w:w="1872"/>
          </w:tcPr>
          <w:p>
            <w:r>
              <w:t>Not currently tracked</w:t>
            </w:r>
          </w:p>
        </w:tc>
        <w:tc>
          <w:tcPr>
            <w:tcW w:type="dxa" w:w="1728"/>
          </w:tcPr>
          <w:p>
            <w:r>
              <w:t>15 learners</w:t>
            </w:r>
          </w:p>
        </w:tc>
        <w:tc>
          <w:tcPr>
            <w:tcW w:type="dxa" w:w="1872"/>
          </w:tcPr>
          <w:p>
            <w:r>
              <w:t>Exit conversation record</w:t>
            </w:r>
          </w:p>
        </w:tc>
      </w:tr>
      <w:tr>
        <w:tc>
          <w:tcPr>
            <w:tcW w:type="dxa" w:w="2160"/>
          </w:tcPr>
          <w:p>
            <w:r>
              <w:t>Early literacy indicators</w:t>
            </w:r>
          </w:p>
        </w:tc>
        <w:tc>
          <w:tcPr>
            <w:tcW w:type="dxa" w:w="2448"/>
          </w:tcPr>
          <w:p>
            <w:r>
              <w:t>Children reaching benchmark before kindergarten</w:t>
            </w:r>
          </w:p>
        </w:tc>
        <w:tc>
          <w:tcPr>
            <w:tcW w:type="dxa" w:w="1872"/>
          </w:tcPr>
          <w:p>
            <w:r>
              <w:t>District reported</w:t>
            </w:r>
          </w:p>
        </w:tc>
        <w:tc>
          <w:tcPr>
            <w:tcW w:type="dxa" w:w="1728"/>
          </w:tcPr>
          <w:p>
            <w:r>
              <w:t>Reported, not claimed as attribution</w:t>
            </w:r>
          </w:p>
        </w:tc>
        <w:tc>
          <w:tcPr>
            <w:tcW w:type="dxa" w:w="1872"/>
          </w:tcPr>
          <w:p>
            <w:r>
              <w:t>District partner data</w:t>
            </w:r>
          </w:p>
        </w:tc>
      </w:tr>
      <w:tr>
        <w:tc>
          <w:tcPr>
            <w:tcW w:type="dxa" w:w="2160"/>
          </w:tcPr>
          <w:p>
            <w:r>
              <w:t>Caregiver reading behavior</w:t>
            </w:r>
          </w:p>
        </w:tc>
        <w:tc>
          <w:tcPr>
            <w:tcW w:type="dxa" w:w="2448"/>
          </w:tcPr>
          <w:p>
            <w:r>
              <w:t>Reported change in shared reading at home</w:t>
            </w:r>
          </w:p>
        </w:tc>
        <w:tc>
          <w:tcPr>
            <w:tcW w:type="dxa" w:w="1872"/>
          </w:tcPr>
          <w:p>
            <w:r>
              <w:t>Collected at cohort intake</w:t>
            </w:r>
          </w:p>
        </w:tc>
        <w:tc>
          <w:tcPr>
            <w:tcW w:type="dxa" w:w="1728"/>
          </w:tcPr>
          <w:p>
            <w:r>
              <w:t>70 percent report an increase</w:t>
            </w:r>
          </w:p>
        </w:tc>
        <w:tc>
          <w:tcPr>
            <w:tcW w:type="dxa" w:w="1872"/>
          </w:tcPr>
          <w:p>
            <w:r>
              <w:t>Pre and post caregiver survey</w:t>
            </w:r>
          </w:p>
        </w:tc>
      </w:tr>
    </w:tbl>
    <w:p/>
    <w:p>
      <w:r>
        <w:t>An educational functioning level is a standardized band of adult reading ability that programs use to record progress between an intake assessment and a post-test. Because federal rules require Title II providers to measure and report that gain, the term is understood across adult education, and using it correctly signals that you know the field.</w:t>
      </w:r>
    </w:p>
    <w:p>
      <w:r>
        <w:t>On the early literacy row, note the deliberate restraint. Kindergarten readiness moves for many reasons, and an eight-session family track is one small contributor. Reporting a district figure as context while declining to claim attribution for it is more persuasive than claiming a causal share you cannot defend.</w:t>
      </w:r>
    </w:p>
    <w:p>
      <w:pPr>
        <w:pStyle w:val="Heading2"/>
      </w:pPr>
      <w:r>
        <w:t>Outputs and outcomes, kept separate</w:t>
      </w:r>
    </w:p>
    <w:tbl>
      <w:tblPr>
        <w:tblStyle w:val="LightGrid-Accent1"/>
        <w:tblW w:type="auto" w:w="0"/>
        <w:tblLook w:firstColumn="1" w:firstRow="1" w:lastColumn="0" w:lastRow="0" w:noHBand="0" w:noVBand="1" w:val="04A0"/>
      </w:tblPr>
      <w:tblGrid>
        <w:gridCol w:w="4680"/>
        <w:gridCol w:w="4680"/>
      </w:tblGrid>
      <w:tr>
        <w:tc>
          <w:tcPr>
            <w:tcW w:type="dxa" w:w="4608"/>
          </w:tcPr>
          <w:p>
            <w:r>
              <w:rPr>
                <w:b/>
              </w:rPr>
              <w:t>Outputs, what we deliver</w:t>
            </w:r>
          </w:p>
        </w:tc>
        <w:tc>
          <w:tcPr>
            <w:tcW w:type="dxa" w:w="4752"/>
          </w:tcPr>
          <w:p>
            <w:r>
              <w:rPr>
                <w:b/>
              </w:rPr>
              <w:t>Outcomes, what changes</w:t>
            </w:r>
          </w:p>
        </w:tc>
      </w:tr>
      <w:tr>
        <w:tc>
          <w:tcPr>
            <w:tcW w:type="dxa" w:w="4608"/>
          </w:tcPr>
          <w:p>
            <w:r>
              <w:t>60 adult learners enrolled and assessed</w:t>
            </w:r>
          </w:p>
        </w:tc>
        <w:tc>
          <w:tcPr>
            <w:tcW w:type="dxa" w:w="4752"/>
          </w:tcPr>
          <w:p>
            <w:r>
              <w:t>25 learners advance one educational functioning level</w:t>
            </w:r>
          </w:p>
        </w:tc>
      </w:tr>
      <w:tr>
        <w:tc>
          <w:tcPr>
            <w:tcW w:type="dxa" w:w="4608"/>
          </w:tcPr>
          <w:p>
            <w:r>
              <w:t>2,400 volunteer instruction hours delivered</w:t>
            </w:r>
          </w:p>
        </w:tc>
        <w:tc>
          <w:tcPr>
            <w:tcW w:type="dxa" w:w="4752"/>
          </w:tcPr>
          <w:p>
            <w:r>
              <w:t>40 learners reach the 40-hour dosage threshold</w:t>
            </w:r>
          </w:p>
        </w:tc>
      </w:tr>
      <w:tr>
        <w:tc>
          <w:tcPr>
            <w:tcW w:type="dxa" w:w="4608"/>
          </w:tcPr>
          <w:p>
            <w:r>
              <w:t>40 tutors trained and background checked</w:t>
            </w:r>
          </w:p>
        </w:tc>
        <w:tc>
          <w:tcPr>
            <w:tcW w:type="dxa" w:w="4752"/>
          </w:tcPr>
          <w:p>
            <w:r>
              <w:t>70 percent persistence at twelve weeks</w:t>
            </w:r>
          </w:p>
        </w:tc>
      </w:tr>
      <w:tr>
        <w:tc>
          <w:tcPr>
            <w:tcW w:type="dxa" w:w="4608"/>
          </w:tcPr>
          <w:p>
            <w:r>
              <w:t>45 families complete a cohort</w:t>
            </w:r>
          </w:p>
        </w:tc>
        <w:tc>
          <w:tcPr>
            <w:tcW w:type="dxa" w:w="4752"/>
          </w:tcPr>
          <w:p>
            <w:r>
              <w:t>70 percent of caregivers report more shared reading</w:t>
            </w:r>
          </w:p>
        </w:tc>
      </w:tr>
      <w:tr>
        <w:tc>
          <w:tcPr>
            <w:tcW w:type="dxa" w:w="4608"/>
          </w:tcPr>
          <w:p>
            <w:r>
              <w:t>194 kits and leveled readers cataloged</w:t>
            </w:r>
          </w:p>
        </w:tc>
        <w:tc>
          <w:tcPr>
            <w:tcW w:type="dxa" w:w="4752"/>
          </w:tcPr>
          <w:p>
            <w:r>
              <w:t>Materials remain in circulation after the grant closes</w:t>
            </w:r>
          </w:p>
        </w:tc>
      </w:tr>
      <w:tr>
        <w:tc>
          <w:tcPr>
            <w:tcW w:type="dxa" w:w="4608"/>
          </w:tcPr>
          <w:p>
            <w:r>
              <w:t>40 childcare sessions provided</w:t>
            </w:r>
          </w:p>
        </w:tc>
        <w:tc>
          <w:tcPr>
            <w:tcW w:type="dxa" w:w="4752"/>
          </w:tcPr>
          <w:p>
            <w:r>
              <w:t>Caregiver attendance sustained across the eight sessions</w:t>
            </w:r>
          </w:p>
        </w:tc>
      </w:tr>
    </w:tbl>
    <w:p/>
    <w:p>
      <w:r>
        <w:t>Funders fund outcomes and monitor outputs. Presenting them in one undifferentiated list is the most common weakness in a first draft.</w:t>
      </w:r>
    </w:p>
    <w:p>
      <w:pPr>
        <w:pStyle w:val="Heading1"/>
      </w:pPr>
      <w:r>
        <w:t>Evaluation Plan</w:t>
      </w:r>
    </w:p>
    <w:p>
      <w:r>
        <w:t>The evaluation answers three questions: did learners receive the instruction we promised, did their measured reading level change, and did they stay long enough for it to matter. Each is answered from a record the program produces in the ordinary course of operating, not from a separate study.</w:t>
      </w:r>
    </w:p>
    <w:p>
      <w:pPr>
        <w:pStyle w:val="Heading2"/>
      </w:pPr>
      <w:r>
        <w:t>Instruments and schedule</w:t>
      </w:r>
    </w:p>
    <w:tbl>
      <w:tblPr>
        <w:tblStyle w:val="LightGrid-Accent1"/>
        <w:tblW w:type="auto" w:w="0"/>
        <w:tblLook w:firstColumn="1" w:firstRow="1" w:lastColumn="0" w:lastRow="0" w:noHBand="0" w:noVBand="1" w:val="04A0"/>
      </w:tblPr>
      <w:tblGrid>
        <w:gridCol w:w="2340"/>
        <w:gridCol w:w="2340"/>
        <w:gridCol w:w="2340"/>
        <w:gridCol w:w="2340"/>
      </w:tblGrid>
      <w:tr>
        <w:tc>
          <w:tcPr>
            <w:tcW w:type="dxa" w:w="2448"/>
          </w:tcPr>
          <w:p>
            <w:r>
              <w:rPr>
                <w:b/>
              </w:rPr>
              <w:t>Instrument</w:t>
            </w:r>
          </w:p>
        </w:tc>
        <w:tc>
          <w:tcPr>
            <w:tcW w:type="dxa" w:w="2160"/>
          </w:tcPr>
          <w:p>
            <w:r>
              <w:rPr>
                <w:b/>
              </w:rPr>
              <w:t>Who administers</w:t>
            </w:r>
          </w:p>
        </w:tc>
        <w:tc>
          <w:tcPr>
            <w:tcW w:type="dxa" w:w="2304"/>
          </w:tcPr>
          <w:p>
            <w:r>
              <w:rPr>
                <w:b/>
              </w:rPr>
              <w:t>When</w:t>
            </w:r>
          </w:p>
        </w:tc>
        <w:tc>
          <w:tcPr>
            <w:tcW w:type="dxa" w:w="2448"/>
          </w:tcPr>
          <w:p>
            <w:r>
              <w:rPr>
                <w:b/>
              </w:rPr>
              <w:t>What it produces</w:t>
            </w:r>
          </w:p>
        </w:tc>
      </w:tr>
      <w:tr>
        <w:tc>
          <w:tcPr>
            <w:tcW w:type="dxa" w:w="2448"/>
          </w:tcPr>
          <w:p>
            <w:r>
              <w:t>[Assessment name] pre-test</w:t>
            </w:r>
          </w:p>
        </w:tc>
        <w:tc>
          <w:tcPr>
            <w:tcW w:type="dxa" w:w="2160"/>
          </w:tcPr>
          <w:p>
            <w:r>
              <w:t>Literacy coordinator</w:t>
            </w:r>
          </w:p>
        </w:tc>
        <w:tc>
          <w:tcPr>
            <w:tcW w:type="dxa" w:w="2304"/>
          </w:tcPr>
          <w:p>
            <w:r>
              <w:t>Within two weeks of intake</w:t>
            </w:r>
          </w:p>
        </w:tc>
        <w:tc>
          <w:tcPr>
            <w:tcW w:type="dxa" w:w="2448"/>
          </w:tcPr>
          <w:p>
            <w:r>
              <w:t>Baseline educational functioning level</w:t>
            </w:r>
          </w:p>
        </w:tc>
      </w:tr>
      <w:tr>
        <w:tc>
          <w:tcPr>
            <w:tcW w:type="dxa" w:w="2448"/>
          </w:tcPr>
          <w:p>
            <w:r>
              <w:t>[Assessment name] post-test, parallel form</w:t>
            </w:r>
          </w:p>
        </w:tc>
        <w:tc>
          <w:tcPr>
            <w:tcW w:type="dxa" w:w="2160"/>
          </w:tcPr>
          <w:p>
            <w:r>
              <w:t>Literacy coordinator</w:t>
            </w:r>
          </w:p>
        </w:tc>
        <w:tc>
          <w:tcPr>
            <w:tcW w:type="dxa" w:w="2304"/>
          </w:tcPr>
          <w:p>
            <w:r>
              <w:t>At 40 hours or program year end</w:t>
            </w:r>
          </w:p>
        </w:tc>
        <w:tc>
          <w:tcPr>
            <w:tcW w:type="dxa" w:w="2448"/>
          </w:tcPr>
          <w:p>
            <w:r>
              <w:t>Level gain</w:t>
            </w:r>
          </w:p>
        </w:tc>
      </w:tr>
      <w:tr>
        <w:tc>
          <w:tcPr>
            <w:tcW w:type="dxa" w:w="2448"/>
          </w:tcPr>
          <w:p>
            <w:r>
              <w:t>Tutor session log</w:t>
            </w:r>
          </w:p>
        </w:tc>
        <w:tc>
          <w:tcPr>
            <w:tcW w:type="dxa" w:w="2160"/>
          </w:tcPr>
          <w:p>
            <w:r>
              <w:t>Volunteer tutor</w:t>
            </w:r>
          </w:p>
        </w:tc>
        <w:tc>
          <w:tcPr>
            <w:tcW w:type="dxa" w:w="2304"/>
          </w:tcPr>
          <w:p>
            <w:r>
              <w:t>Within 48 hours of each session</w:t>
            </w:r>
          </w:p>
        </w:tc>
        <w:tc>
          <w:tcPr>
            <w:tcW w:type="dxa" w:w="2448"/>
          </w:tcPr>
          <w:p>
            <w:r>
              <w:t>Contact hours, attendance pattern</w:t>
            </w:r>
          </w:p>
        </w:tc>
      </w:tr>
      <w:tr>
        <w:tc>
          <w:tcPr>
            <w:tcW w:type="dxa" w:w="2448"/>
          </w:tcPr>
          <w:p>
            <w:r>
              <w:t>Twelve-week retention check</w:t>
            </w:r>
          </w:p>
        </w:tc>
        <w:tc>
          <w:tcPr>
            <w:tcW w:type="dxa" w:w="2160"/>
          </w:tcPr>
          <w:p>
            <w:r>
              <w:t>Literacy coordinator</w:t>
            </w:r>
          </w:p>
        </w:tc>
        <w:tc>
          <w:tcPr>
            <w:tcW w:type="dxa" w:w="2304"/>
          </w:tcPr>
          <w:p>
            <w:r>
              <w:t>Twelve weeks after match</w:t>
            </w:r>
          </w:p>
        </w:tc>
        <w:tc>
          <w:tcPr>
            <w:tcW w:type="dxa" w:w="2448"/>
          </w:tcPr>
          <w:p>
            <w:r>
              <w:t>Persistence flag</w:t>
            </w:r>
          </w:p>
        </w:tc>
      </w:tr>
      <w:tr>
        <w:tc>
          <w:tcPr>
            <w:tcW w:type="dxa" w:w="2448"/>
          </w:tcPr>
          <w:p>
            <w:r>
              <w:t>Caregiver reading survey</w:t>
            </w:r>
          </w:p>
        </w:tc>
        <w:tc>
          <w:tcPr>
            <w:tcW w:type="dxa" w:w="2160"/>
          </w:tcPr>
          <w:p>
            <w:r>
              <w:t>Youth services librarian</w:t>
            </w:r>
          </w:p>
        </w:tc>
        <w:tc>
          <w:tcPr>
            <w:tcW w:type="dxa" w:w="2304"/>
          </w:tcPr>
          <w:p>
            <w:r>
              <w:t>Cohort session 1 and session 8</w:t>
            </w:r>
          </w:p>
        </w:tc>
        <w:tc>
          <w:tcPr>
            <w:tcW w:type="dxa" w:w="2448"/>
          </w:tcPr>
          <w:p>
            <w:r>
              <w:t>Change in reported home reading</w:t>
            </w:r>
          </w:p>
        </w:tc>
      </w:tr>
      <w:tr>
        <w:tc>
          <w:tcPr>
            <w:tcW w:type="dxa" w:w="2448"/>
          </w:tcPr>
          <w:p>
            <w:r>
              <w:t>Exit conversation form</w:t>
            </w:r>
          </w:p>
        </w:tc>
        <w:tc>
          <w:tcPr>
            <w:tcW w:type="dxa" w:w="2160"/>
          </w:tcPr>
          <w:p>
            <w:r>
              <w:t>Literacy coordinator</w:t>
            </w:r>
          </w:p>
        </w:tc>
        <w:tc>
          <w:tcPr>
            <w:tcW w:type="dxa" w:w="2304"/>
          </w:tcPr>
          <w:p>
            <w:r>
              <w:t>At post-test or exit</w:t>
            </w:r>
          </w:p>
        </w:tc>
        <w:tc>
          <w:tcPr>
            <w:tcW w:type="dxa" w:w="2448"/>
          </w:tcPr>
          <w:p>
            <w:r>
              <w:t>Transition recorded</w:t>
            </w:r>
          </w:p>
        </w:tc>
      </w:tr>
      <w:tr>
        <w:tc>
          <w:tcPr>
            <w:tcW w:type="dxa" w:w="2448"/>
          </w:tcPr>
          <w:p>
            <w:r>
              <w:t>Tutor experience survey</w:t>
            </w:r>
          </w:p>
        </w:tc>
        <w:tc>
          <w:tcPr>
            <w:tcW w:type="dxa" w:w="2160"/>
          </w:tcPr>
          <w:p>
            <w:r>
              <w:t>Literacy coordinator</w:t>
            </w:r>
          </w:p>
        </w:tc>
        <w:tc>
          <w:tcPr>
            <w:tcW w:type="dxa" w:w="2304"/>
          </w:tcPr>
          <w:p>
            <w:r>
              <w:t>Month 6 and month 12</w:t>
            </w:r>
          </w:p>
        </w:tc>
        <w:tc>
          <w:tcPr>
            <w:tcW w:type="dxa" w:w="2448"/>
          </w:tcPr>
          <w:p>
            <w:r>
              <w:t>Training quality, support needs</w:t>
            </w:r>
          </w:p>
        </w:tc>
      </w:tr>
      <w:tr>
        <w:tc>
          <w:tcPr>
            <w:tcW w:type="dxa" w:w="2448"/>
          </w:tcPr>
          <w:p>
            <w:r>
              <w:t>Partner check-in notes</w:t>
            </w:r>
          </w:p>
        </w:tc>
        <w:tc>
          <w:tcPr>
            <w:tcW w:type="dxa" w:w="2160"/>
          </w:tcPr>
          <w:p>
            <w:r>
              <w:t>Library director</w:t>
            </w:r>
          </w:p>
        </w:tc>
        <w:tc>
          <w:tcPr>
            <w:tcW w:type="dxa" w:w="2304"/>
          </w:tcPr>
          <w:p>
            <w:r>
              <w:t>Quarterly</w:t>
            </w:r>
          </w:p>
        </w:tc>
        <w:tc>
          <w:tcPr>
            <w:tcW w:type="dxa" w:w="2448"/>
          </w:tcPr>
          <w:p>
            <w:r>
              <w:t>Referral flow, partnership health</w:t>
            </w:r>
          </w:p>
        </w:tc>
      </w:tr>
    </w:tbl>
    <w:p/>
    <w:p>
      <w:r>
        <w:t>The Public Library Association sunset its Project Outcome online platform in 2025 and published its nine standardized surveys as free downloads through Outcome Measurement for Public Libraries. If you use one, name the instrument by its title. A funder that has seen the surveys will recognize it, and a standardized instrument is more defensible than a questionnaire you wrote yourself the week before launch.</w:t>
      </w:r>
    </w:p>
    <w:p>
      <w:pPr>
        <w:pStyle w:val="Heading2"/>
      </w:pPr>
      <w:r>
        <w:t>Data collection and quality</w:t>
      </w:r>
    </w:p>
    <w:p>
      <w:r>
        <w:t>All learner data lives in a single spreadsheet or database maintained by the coordinator, with one row per learner and columns for intake date, baseline level, match date, cumulative hours, twelve-week flag, post level, gain, and transition. Tutors submit session logs through a short form. The coordinator reconciles logs against the roster weekly, which catches missing entries while people still remember the session.</w:t>
      </w:r>
    </w:p>
    <w:p>
      <w:r>
        <w:t>Two data quality rules are stated in the proposal because reviewers ask about them. Hours are counted from tutor logs, not from schedules, so a cancelled session is not counted. Level gain is calculated only for learners who complete both a pre and a post assessment, and the number of learners without a post-test is reported alongside the gain figure rather than dropped.</w:t>
      </w:r>
    </w:p>
    <w:p>
      <w:pPr>
        <w:pStyle w:val="Heading2"/>
      </w:pPr>
      <w:r>
        <w:t>Analysis</w:t>
      </w:r>
    </w:p>
    <w:p>
      <w:r>
        <w:t>Analysis is descriptive and deliberately simple. We report counts and percentages against each objective, disaggregated by track, by site, and by whether the learner is an English language learner. Where a target is missed, we report the figure and the reason. No comparison group is proposed, because a one-to-one volunteer tutoring program at this scale cannot support one honestly and a funder should be suspicious of a proposal that claims otherwise.</w:t>
      </w:r>
    </w:p>
    <w:p>
      <w:pPr>
        <w:pStyle w:val="Heading2"/>
      </w:pPr>
      <w:r>
        <w:t>Reporting</w:t>
      </w:r>
    </w:p>
    <w:tbl>
      <w:tblPr>
        <w:tblStyle w:val="LightGrid-Accent1"/>
        <w:tblW w:type="auto" w:w="0"/>
        <w:tblLook w:firstColumn="1" w:firstRow="1" w:lastColumn="0" w:lastRow="0" w:noHBand="0" w:noVBand="1" w:val="04A0"/>
      </w:tblPr>
      <w:tblGrid>
        <w:gridCol w:w="2340"/>
        <w:gridCol w:w="2340"/>
        <w:gridCol w:w="2340"/>
        <w:gridCol w:w="2340"/>
      </w:tblGrid>
      <w:tr>
        <w:tc>
          <w:tcPr>
            <w:tcW w:type="dxa" w:w="2160"/>
          </w:tcPr>
          <w:p>
            <w:r>
              <w:rPr>
                <w:b/>
              </w:rPr>
              <w:t>Report</w:t>
            </w:r>
          </w:p>
        </w:tc>
        <w:tc>
          <w:tcPr>
            <w:tcW w:type="dxa" w:w="2016"/>
          </w:tcPr>
          <w:p>
            <w:r>
              <w:rPr>
                <w:b/>
              </w:rPr>
              <w:t>Timing</w:t>
            </w:r>
          </w:p>
        </w:tc>
        <w:tc>
          <w:tcPr>
            <w:tcW w:type="dxa" w:w="3312"/>
          </w:tcPr>
          <w:p>
            <w:r>
              <w:rPr>
                <w:b/>
              </w:rPr>
              <w:t>Contents</w:t>
            </w:r>
          </w:p>
        </w:tc>
        <w:tc>
          <w:tcPr>
            <w:tcW w:type="dxa" w:w="1872"/>
          </w:tcPr>
          <w:p>
            <w:r>
              <w:rPr>
                <w:b/>
              </w:rPr>
              <w:t>Audience</w:t>
            </w:r>
          </w:p>
        </w:tc>
      </w:tr>
      <w:tr>
        <w:tc>
          <w:tcPr>
            <w:tcW w:type="dxa" w:w="2160"/>
          </w:tcPr>
          <w:p>
            <w:r>
              <w:t>Internal dashboard</w:t>
            </w:r>
          </w:p>
        </w:tc>
        <w:tc>
          <w:tcPr>
            <w:tcW w:type="dxa" w:w="2016"/>
          </w:tcPr>
          <w:p>
            <w:r>
              <w:t>Monthly</w:t>
            </w:r>
          </w:p>
        </w:tc>
        <w:tc>
          <w:tcPr>
            <w:tcW w:type="dxa" w:w="3312"/>
          </w:tcPr>
          <w:p>
            <w:r>
              <w:t>Enrollment, active pairs, hours, waiting list</w:t>
            </w:r>
          </w:p>
        </w:tc>
        <w:tc>
          <w:tcPr>
            <w:tcW w:type="dxa" w:w="1872"/>
          </w:tcPr>
          <w:p>
            <w:r>
              <w:t>Coordinator and director</w:t>
            </w:r>
          </w:p>
        </w:tc>
      </w:tr>
      <w:tr>
        <w:tc>
          <w:tcPr>
            <w:tcW w:type="dxa" w:w="2160"/>
          </w:tcPr>
          <w:p>
            <w:r>
              <w:t>Interim report</w:t>
            </w:r>
          </w:p>
        </w:tc>
        <w:tc>
          <w:tcPr>
            <w:tcW w:type="dxa" w:w="2016"/>
          </w:tcPr>
          <w:p>
            <w:r>
              <w:t>Month 6</w:t>
            </w:r>
          </w:p>
        </w:tc>
        <w:tc>
          <w:tcPr>
            <w:tcW w:type="dxa" w:w="3312"/>
          </w:tcPr>
          <w:p>
            <w:r>
              <w:t>Progress against every objective, budget to date</w:t>
            </w:r>
          </w:p>
        </w:tc>
        <w:tc>
          <w:tcPr>
            <w:tcW w:type="dxa" w:w="1872"/>
          </w:tcPr>
          <w:p>
            <w:r>
              <w:t>Funder and board</w:t>
            </w:r>
          </w:p>
        </w:tc>
      </w:tr>
      <w:tr>
        <w:tc>
          <w:tcPr>
            <w:tcW w:type="dxa" w:w="2160"/>
          </w:tcPr>
          <w:p>
            <w:r>
              <w:t>Board update</w:t>
            </w:r>
          </w:p>
        </w:tc>
        <w:tc>
          <w:tcPr>
            <w:tcW w:type="dxa" w:w="2016"/>
          </w:tcPr>
          <w:p>
            <w:r>
              <w:t>Quarterly</w:t>
            </w:r>
          </w:p>
        </w:tc>
        <w:tc>
          <w:tcPr>
            <w:tcW w:type="dxa" w:w="3312"/>
          </w:tcPr>
          <w:p>
            <w:r>
              <w:t>Summary metrics and sustainability progress</w:t>
            </w:r>
          </w:p>
        </w:tc>
        <w:tc>
          <w:tcPr>
            <w:tcW w:type="dxa" w:w="1872"/>
          </w:tcPr>
          <w:p>
            <w:r>
              <w:t>Board of Trustees</w:t>
            </w:r>
          </w:p>
        </w:tc>
      </w:tr>
      <w:tr>
        <w:tc>
          <w:tcPr>
            <w:tcW w:type="dxa" w:w="2160"/>
          </w:tcPr>
          <w:p>
            <w:r>
              <w:t>Final report</w:t>
            </w:r>
          </w:p>
        </w:tc>
        <w:tc>
          <w:tcPr>
            <w:tcW w:type="dxa" w:w="2016"/>
          </w:tcPr>
          <w:p>
            <w:r>
              <w:t>Within 60 days of period end</w:t>
            </w:r>
          </w:p>
        </w:tc>
        <w:tc>
          <w:tcPr>
            <w:tcW w:type="dxa" w:w="3312"/>
          </w:tcPr>
          <w:p>
            <w:r>
              <w:t>Final figures, gains, expenditures, lessons</w:t>
            </w:r>
          </w:p>
        </w:tc>
        <w:tc>
          <w:tcPr>
            <w:tcW w:type="dxa" w:w="1872"/>
          </w:tcPr>
          <w:p>
            <w:r>
              <w:t>Funder</w:t>
            </w:r>
          </w:p>
        </w:tc>
      </w:tr>
      <w:tr>
        <w:tc>
          <w:tcPr>
            <w:tcW w:type="dxa" w:w="2160"/>
          </w:tcPr>
          <w:p>
            <w:r>
              <w:t>Community summary</w:t>
            </w:r>
          </w:p>
        </w:tc>
        <w:tc>
          <w:tcPr>
            <w:tcW w:type="dxa" w:w="2016"/>
          </w:tcPr>
          <w:p>
            <w:r>
              <w:t>Month 12</w:t>
            </w:r>
          </w:p>
        </w:tc>
        <w:tc>
          <w:tcPr>
            <w:tcW w:type="dxa" w:w="3312"/>
          </w:tcPr>
          <w:p>
            <w:r>
              <w:t>One-page public summary, no learner-level data</w:t>
            </w:r>
          </w:p>
        </w:tc>
        <w:tc>
          <w:tcPr>
            <w:tcW w:type="dxa" w:w="1872"/>
          </w:tcPr>
          <w:p>
            <w:r>
              <w:t>Community and partners</w:t>
            </w:r>
          </w:p>
        </w:tc>
      </w:tr>
    </w:tbl>
    <w:p/>
    <w:p>
      <w:pPr>
        <w:pStyle w:val="Heading2"/>
      </w:pPr>
      <w:r>
        <w:t>If a target is missed</w:t>
      </w:r>
    </w:p>
    <w:p>
      <w:r>
        <w:t>Say in advance what you will do. If enrollment lags at month three, we open a second recruitment channel through the workforce office and add a Saturday intake block. If persistence falls below 60 percent at the first cohort check, the coordinator moves to a weekly check-in call for new pairs in their first month. If level gains come in below target while hours hold, we examine tutor training rather than learner effort, because a dosage figure that holds while gains do not is an instruction problem.</w:t>
      </w:r>
    </w:p>
    <w:p>
      <w:r>
        <w:t>A proposal that names its failure responses in advance reads as a program that has thought about running, not only about starting.</w:t>
      </w:r>
    </w:p>
    <w:p>
      <w:pPr>
        <w:pStyle w:val="Heading1"/>
      </w:pPr>
      <w:r>
        <w:t>Work Plan and Timeline</w:t>
      </w:r>
    </w:p>
    <w:tbl>
      <w:tblPr>
        <w:tblStyle w:val="LightGrid-Accent1"/>
        <w:tblW w:type="auto" w:w="0"/>
        <w:tblLook w:firstColumn="1" w:firstRow="1" w:lastColumn="0" w:lastRow="0" w:noHBand="0" w:noVBand="1" w:val="04A0"/>
      </w:tblPr>
      <w:tblGrid>
        <w:gridCol w:w="2340"/>
        <w:gridCol w:w="2340"/>
        <w:gridCol w:w="2340"/>
        <w:gridCol w:w="2340"/>
      </w:tblGrid>
      <w:tr>
        <w:tc>
          <w:tcPr>
            <w:tcW w:type="dxa" w:w="1008"/>
          </w:tcPr>
          <w:p>
            <w:r>
              <w:rPr>
                <w:b/>
              </w:rPr>
              <w:t>Months</w:t>
            </w:r>
          </w:p>
        </w:tc>
        <w:tc>
          <w:tcPr>
            <w:tcW w:type="dxa" w:w="4176"/>
          </w:tcPr>
          <w:p>
            <w:r>
              <w:rPr>
                <w:b/>
              </w:rPr>
              <w:t>Activities</w:t>
            </w:r>
          </w:p>
        </w:tc>
        <w:tc>
          <w:tcPr>
            <w:tcW w:type="dxa" w:w="2016"/>
          </w:tcPr>
          <w:p>
            <w:r>
              <w:rPr>
                <w:b/>
              </w:rPr>
              <w:t>Responsible</w:t>
            </w:r>
          </w:p>
        </w:tc>
        <w:tc>
          <w:tcPr>
            <w:tcW w:type="dxa" w:w="2160"/>
          </w:tcPr>
          <w:p>
            <w:r>
              <w:rPr>
                <w:b/>
              </w:rPr>
              <w:t>Milestone</w:t>
            </w:r>
          </w:p>
        </w:tc>
      </w:tr>
      <w:tr>
        <w:tc>
          <w:tcPr>
            <w:tcW w:type="dxa" w:w="1008"/>
          </w:tcPr>
          <w:p>
            <w:r>
              <w:t>1</w:t>
            </w:r>
          </w:p>
        </w:tc>
        <w:tc>
          <w:tcPr>
            <w:tcW w:type="dxa" w:w="4176"/>
          </w:tcPr>
          <w:p>
            <w:r>
              <w:t>Post and hire the literacy coordinator; order assessment materials; confirm partner memoranda</w:t>
            </w:r>
          </w:p>
        </w:tc>
        <w:tc>
          <w:tcPr>
            <w:tcW w:type="dxa" w:w="2016"/>
          </w:tcPr>
          <w:p>
            <w:r>
              <w:t>Library director</w:t>
            </w:r>
          </w:p>
        </w:tc>
        <w:tc>
          <w:tcPr>
            <w:tcW w:type="dxa" w:w="2160"/>
          </w:tcPr>
          <w:p>
            <w:r>
              <w:t>Coordinator hired</w:t>
            </w:r>
          </w:p>
        </w:tc>
      </w:tr>
      <w:tr>
        <w:tc>
          <w:tcPr>
            <w:tcW w:type="dxa" w:w="1008"/>
          </w:tcPr>
          <w:p>
            <w:r>
              <w:t>2</w:t>
            </w:r>
          </w:p>
        </w:tc>
        <w:tc>
          <w:tcPr>
            <w:tcW w:type="dxa" w:w="4176"/>
          </w:tcPr>
          <w:p>
            <w:r>
              <w:t>Tutor cohort 1 recruitment and 12-hour training; build the learner record system; open intake</w:t>
            </w:r>
          </w:p>
        </w:tc>
        <w:tc>
          <w:tcPr>
            <w:tcW w:type="dxa" w:w="2016"/>
          </w:tcPr>
          <w:p>
            <w:r>
              <w:t>Coordinator</w:t>
            </w:r>
          </w:p>
        </w:tc>
        <w:tc>
          <w:tcPr>
            <w:tcW w:type="dxa" w:w="2160"/>
          </w:tcPr>
          <w:p>
            <w:r>
              <w:t>20 tutors trained</w:t>
            </w:r>
          </w:p>
        </w:tc>
      </w:tr>
      <w:tr>
        <w:tc>
          <w:tcPr>
            <w:tcW w:type="dxa" w:w="1008"/>
          </w:tcPr>
          <w:p>
            <w:r>
              <w:t>3</w:t>
            </w:r>
          </w:p>
        </w:tc>
        <w:tc>
          <w:tcPr>
            <w:tcW w:type="dxa" w:w="4176"/>
          </w:tcPr>
          <w:p>
            <w:r>
              <w:t>First 25 intakes and pre-assessments; first matches; order leveled readers and kits</w:t>
            </w:r>
          </w:p>
        </w:tc>
        <w:tc>
          <w:tcPr>
            <w:tcW w:type="dxa" w:w="2016"/>
          </w:tcPr>
          <w:p>
            <w:r>
              <w:t>Coordinator</w:t>
            </w:r>
          </w:p>
        </w:tc>
        <w:tc>
          <w:tcPr>
            <w:tcW w:type="dxa" w:w="2160"/>
          </w:tcPr>
          <w:p>
            <w:r>
              <w:t>25 learners assessed and matched</w:t>
            </w:r>
          </w:p>
        </w:tc>
      </w:tr>
      <w:tr>
        <w:tc>
          <w:tcPr>
            <w:tcW w:type="dxa" w:w="1008"/>
          </w:tcPr>
          <w:p>
            <w:r>
              <w:t>4</w:t>
            </w:r>
          </w:p>
        </w:tc>
        <w:tc>
          <w:tcPr>
            <w:tcW w:type="dxa" w:w="4176"/>
          </w:tcPr>
          <w:p>
            <w:r>
              <w:t>Family cohort 1 launches with childcare; adult tutoring at full weekly pace</w:t>
            </w:r>
          </w:p>
        </w:tc>
        <w:tc>
          <w:tcPr>
            <w:tcW w:type="dxa" w:w="2016"/>
          </w:tcPr>
          <w:p>
            <w:r>
              <w:t>Youth services librarian</w:t>
            </w:r>
          </w:p>
        </w:tc>
        <w:tc>
          <w:tcPr>
            <w:tcW w:type="dxa" w:w="2160"/>
          </w:tcPr>
          <w:p>
            <w:r>
              <w:t>Cohort 1 underway</w:t>
            </w:r>
          </w:p>
        </w:tc>
      </w:tr>
      <w:tr>
        <w:tc>
          <w:tcPr>
            <w:tcW w:type="dxa" w:w="1008"/>
          </w:tcPr>
          <w:p>
            <w:r>
              <w:t>5</w:t>
            </w:r>
          </w:p>
        </w:tc>
        <w:tc>
          <w:tcPr>
            <w:tcW w:type="dxa" w:w="4176"/>
          </w:tcPr>
          <w:p>
            <w:r>
              <w:t>Twelve-week persistence check on first matches; family cohort 2 recruitment</w:t>
            </w:r>
          </w:p>
        </w:tc>
        <w:tc>
          <w:tcPr>
            <w:tcW w:type="dxa" w:w="2016"/>
          </w:tcPr>
          <w:p>
            <w:r>
              <w:t>Coordinator</w:t>
            </w:r>
          </w:p>
        </w:tc>
        <w:tc>
          <w:tcPr>
            <w:tcW w:type="dxa" w:w="2160"/>
          </w:tcPr>
          <w:p>
            <w:r>
              <w:t>First persistence figure</w:t>
            </w:r>
          </w:p>
        </w:tc>
      </w:tr>
      <w:tr>
        <w:tc>
          <w:tcPr>
            <w:tcW w:type="dxa" w:w="1008"/>
          </w:tcPr>
          <w:p>
            <w:r>
              <w:t>6</w:t>
            </w:r>
          </w:p>
        </w:tc>
        <w:tc>
          <w:tcPr>
            <w:tcW w:type="dxa" w:w="4176"/>
          </w:tcPr>
          <w:p>
            <w:r>
              <w:t>Interim report; first post-tests at 40 hours; family cohort 2 launches</w:t>
            </w:r>
          </w:p>
        </w:tc>
        <w:tc>
          <w:tcPr>
            <w:tcW w:type="dxa" w:w="2016"/>
          </w:tcPr>
          <w:p>
            <w:r>
              <w:t>Director and coordinator</w:t>
            </w:r>
          </w:p>
        </w:tc>
        <w:tc>
          <w:tcPr>
            <w:tcW w:type="dxa" w:w="2160"/>
          </w:tcPr>
          <w:p>
            <w:r>
              <w:t>Interim report submitted</w:t>
            </w:r>
          </w:p>
        </w:tc>
      </w:tr>
      <w:tr>
        <w:tc>
          <w:tcPr>
            <w:tcW w:type="dxa" w:w="1008"/>
          </w:tcPr>
          <w:p>
            <w:r>
              <w:t>7</w:t>
            </w:r>
          </w:p>
        </w:tc>
        <w:tc>
          <w:tcPr>
            <w:tcW w:type="dxa" w:w="4176"/>
          </w:tcPr>
          <w:p>
            <w:r>
              <w:t>Tutor cohort 2 recruitment and training; rural site sessions begin on the bookmobile route</w:t>
            </w:r>
          </w:p>
        </w:tc>
        <w:tc>
          <w:tcPr>
            <w:tcW w:type="dxa" w:w="2016"/>
          </w:tcPr>
          <w:p>
            <w:r>
              <w:t>Coordinator</w:t>
            </w:r>
          </w:p>
        </w:tc>
        <w:tc>
          <w:tcPr>
            <w:tcW w:type="dxa" w:w="2160"/>
          </w:tcPr>
          <w:p>
            <w:r>
              <w:t>40 tutors trained cumulatively</w:t>
            </w:r>
          </w:p>
        </w:tc>
      </w:tr>
      <w:tr>
        <w:tc>
          <w:tcPr>
            <w:tcW w:type="dxa" w:w="1008"/>
          </w:tcPr>
          <w:p>
            <w:r>
              <w:t>8</w:t>
            </w:r>
          </w:p>
        </w:tc>
        <w:tc>
          <w:tcPr>
            <w:tcW w:type="dxa" w:w="4176"/>
          </w:tcPr>
          <w:p>
            <w:r>
              <w:t>Second intake wave to 60 learners; family cohort 3 launches</w:t>
            </w:r>
          </w:p>
        </w:tc>
        <w:tc>
          <w:tcPr>
            <w:tcW w:type="dxa" w:w="2016"/>
          </w:tcPr>
          <w:p>
            <w:r>
              <w:t>Coordinator</w:t>
            </w:r>
          </w:p>
        </w:tc>
        <w:tc>
          <w:tcPr>
            <w:tcW w:type="dxa" w:w="2160"/>
          </w:tcPr>
          <w:p>
            <w:r>
              <w:t>60 learners enrolled</w:t>
            </w:r>
          </w:p>
        </w:tc>
      </w:tr>
      <w:tr>
        <w:tc>
          <w:tcPr>
            <w:tcW w:type="dxa" w:w="1008"/>
          </w:tcPr>
          <w:p>
            <w:r>
              <w:t>9</w:t>
            </w:r>
          </w:p>
        </w:tc>
        <w:tc>
          <w:tcPr>
            <w:tcW w:type="dxa" w:w="4176"/>
          </w:tcPr>
          <w:p>
            <w:r>
              <w:t>Mid-year data reconciliation; board sustainability discussion; family cohort 4</w:t>
            </w:r>
          </w:p>
        </w:tc>
        <w:tc>
          <w:tcPr>
            <w:tcW w:type="dxa" w:w="2016"/>
          </w:tcPr>
          <w:p>
            <w:r>
              <w:t>Director</w:t>
            </w:r>
          </w:p>
        </w:tc>
        <w:tc>
          <w:tcPr>
            <w:tcW w:type="dxa" w:w="2160"/>
          </w:tcPr>
          <w:p>
            <w:r>
              <w:t>Budget line proposed to trustees</w:t>
            </w:r>
          </w:p>
        </w:tc>
      </w:tr>
      <w:tr>
        <w:tc>
          <w:tcPr>
            <w:tcW w:type="dxa" w:w="1008"/>
          </w:tcPr>
          <w:p>
            <w:r>
              <w:t>10</w:t>
            </w:r>
          </w:p>
        </w:tc>
        <w:tc>
          <w:tcPr>
            <w:tcW w:type="dxa" w:w="4176"/>
          </w:tcPr>
          <w:p>
            <w:r>
              <w:t>Post-testing continues; equivalency and college referral pathway sessions</w:t>
            </w:r>
          </w:p>
        </w:tc>
        <w:tc>
          <w:tcPr>
            <w:tcW w:type="dxa" w:w="2016"/>
          </w:tcPr>
          <w:p>
            <w:r>
              <w:t>Coordinator</w:t>
            </w:r>
          </w:p>
        </w:tc>
        <w:tc>
          <w:tcPr>
            <w:tcW w:type="dxa" w:w="2160"/>
          </w:tcPr>
          <w:p>
            <w:r>
              <w:t>Transitions recorded</w:t>
            </w:r>
          </w:p>
        </w:tc>
      </w:tr>
      <w:tr>
        <w:tc>
          <w:tcPr>
            <w:tcW w:type="dxa" w:w="1008"/>
          </w:tcPr>
          <w:p>
            <w:r>
              <w:t>11</w:t>
            </w:r>
          </w:p>
        </w:tc>
        <w:tc>
          <w:tcPr>
            <w:tcW w:type="dxa" w:w="4176"/>
          </w:tcPr>
          <w:p>
            <w:r>
              <w:t>Family cohort 5; final post-tests scheduled; kits and readers fully cataloged</w:t>
            </w:r>
          </w:p>
        </w:tc>
        <w:tc>
          <w:tcPr>
            <w:tcW w:type="dxa" w:w="2016"/>
          </w:tcPr>
          <w:p>
            <w:r>
              <w:t>Youth services librarian</w:t>
            </w:r>
          </w:p>
        </w:tc>
        <w:tc>
          <w:tcPr>
            <w:tcW w:type="dxa" w:w="2160"/>
          </w:tcPr>
          <w:p>
            <w:r>
              <w:t>194 items in circulation</w:t>
            </w:r>
          </w:p>
        </w:tc>
      </w:tr>
      <w:tr>
        <w:tc>
          <w:tcPr>
            <w:tcW w:type="dxa" w:w="1008"/>
          </w:tcPr>
          <w:p>
            <w:r>
              <w:t>12</w:t>
            </w:r>
          </w:p>
        </w:tc>
        <w:tc>
          <w:tcPr>
            <w:tcW w:type="dxa" w:w="4176"/>
          </w:tcPr>
          <w:p>
            <w:r>
              <w:t>Final post-tests, exit conversations, final report, community summary</w:t>
            </w:r>
          </w:p>
        </w:tc>
        <w:tc>
          <w:tcPr>
            <w:tcW w:type="dxa" w:w="2016"/>
          </w:tcPr>
          <w:p>
            <w:r>
              <w:t>Director and coordinator</w:t>
            </w:r>
          </w:p>
        </w:tc>
        <w:tc>
          <w:tcPr>
            <w:tcW w:type="dxa" w:w="2160"/>
          </w:tcPr>
          <w:p>
            <w:r>
              <w:t>Final report submitted</w:t>
            </w:r>
          </w:p>
        </w:tc>
      </w:tr>
    </w:tbl>
    <w:p/>
    <w:p>
      <w:r>
        <w:t>Two scheduling facts are worth stating to a reviewer. Hiring takes a month and the program cannot start before it, which is why month one produces no learners. And the 40-hour dosage threshold takes sixteen weeks of attendance, which is why the first post-tests appear in month six rather than month three. A timeline that shows outcomes in month two is a timeline no one has checked against arithmetic.</w:t>
      </w:r>
    </w:p>
    <w:p>
      <w:pPr>
        <w:pStyle w:val="Heading1"/>
      </w:pPr>
      <w:r>
        <w:t>Budget</w:t>
      </w:r>
    </w:p>
    <w:p>
      <w:r>
        <w:t>Staff time dominates a library literacy budget. Materials feel like the natural ask because they are visible and easy to describe, but the instruction hours produce the measured gain the funder is buying. The figures below are illustrative. Replace them with your own salary scale and vendor quotes.</w:t>
      </w:r>
    </w:p>
    <w:tbl>
      <w:tblPr>
        <w:tblStyle w:val="LightGrid-Accent1"/>
        <w:tblW w:type="auto" w:w="0"/>
        <w:tblLook w:firstColumn="1" w:firstRow="1" w:lastColumn="0" w:lastRow="0" w:noHBand="0" w:noVBand="1" w:val="04A0"/>
      </w:tblPr>
      <w:tblGrid>
        <w:gridCol w:w="3120"/>
        <w:gridCol w:w="3120"/>
        <w:gridCol w:w="3120"/>
      </w:tblGrid>
      <w:tr>
        <w:tc>
          <w:tcPr>
            <w:tcW w:type="dxa" w:w="3744"/>
          </w:tcPr>
          <w:p>
            <w:r>
              <w:rPr>
                <w:b/>
              </w:rPr>
              <w:t>Line item</w:t>
            </w:r>
          </w:p>
        </w:tc>
        <w:tc>
          <w:tcPr>
            <w:tcW w:type="dxa" w:w="4176"/>
          </w:tcPr>
          <w:p>
            <w:r>
              <w:rPr>
                <w:b/>
              </w:rPr>
              <w:t>Basis</w:t>
            </w:r>
          </w:p>
        </w:tc>
        <w:tc>
          <w:tcPr>
            <w:tcW w:type="dxa" w:w="1440"/>
          </w:tcPr>
          <w:p>
            <w:r>
              <w:rPr>
                <w:b/>
              </w:rPr>
              <w:t>Amount</w:t>
            </w:r>
          </w:p>
        </w:tc>
      </w:tr>
      <w:tr>
        <w:tc>
          <w:tcPr>
            <w:tcW w:type="dxa" w:w="3744"/>
          </w:tcPr>
          <w:p>
            <w:r>
              <w:t>Part-time literacy coordinator</w:t>
            </w:r>
          </w:p>
        </w:tc>
        <w:tc>
          <w:tcPr>
            <w:tcW w:type="dxa" w:w="4176"/>
          </w:tcPr>
          <w:p>
            <w:r>
              <w:t>20 hours per week for 12 months at $24 per hour</w:t>
            </w:r>
          </w:p>
        </w:tc>
        <w:tc>
          <w:tcPr>
            <w:tcW w:type="dxa" w:w="1440"/>
          </w:tcPr>
          <w:p>
            <w:r>
              <w:t>$24,960</w:t>
            </w:r>
          </w:p>
        </w:tc>
      </w:tr>
      <w:tr>
        <w:tc>
          <w:tcPr>
            <w:tcW w:type="dxa" w:w="3744"/>
          </w:tcPr>
          <w:p>
            <w:r>
              <w:t>Employer payroll taxes</w:t>
            </w:r>
          </w:p>
        </w:tc>
        <w:tc>
          <w:tcPr>
            <w:tcW w:type="dxa" w:w="4176"/>
          </w:tcPr>
          <w:p>
            <w:r>
              <w:t>7.65 percent of $24,960</w:t>
            </w:r>
          </w:p>
        </w:tc>
        <w:tc>
          <w:tcPr>
            <w:tcW w:type="dxa" w:w="1440"/>
          </w:tcPr>
          <w:p>
            <w:r>
              <w:t>$1,909</w:t>
            </w:r>
          </w:p>
        </w:tc>
      </w:tr>
      <w:tr>
        <w:tc>
          <w:tcPr>
            <w:tcW w:type="dxa" w:w="3744"/>
          </w:tcPr>
          <w:p>
            <w:r>
              <w:t>Volunteer tutor training and materials</w:t>
            </w:r>
          </w:p>
        </w:tc>
        <w:tc>
          <w:tcPr>
            <w:tcW w:type="dxa" w:w="4176"/>
          </w:tcPr>
          <w:p>
            <w:r>
              <w:t>40 tutors at $65</w:t>
            </w:r>
          </w:p>
        </w:tc>
        <w:tc>
          <w:tcPr>
            <w:tcW w:type="dxa" w:w="1440"/>
          </w:tcPr>
          <w:p>
            <w:r>
              <w:t>$2,600</w:t>
            </w:r>
          </w:p>
        </w:tc>
      </w:tr>
      <w:tr>
        <w:tc>
          <w:tcPr>
            <w:tcW w:type="dxa" w:w="3744"/>
          </w:tcPr>
          <w:p>
            <w:r>
              <w:t>Leveled readers and bilingual family kits</w:t>
            </w:r>
          </w:p>
        </w:tc>
        <w:tc>
          <w:tcPr>
            <w:tcW w:type="dxa" w:w="4176"/>
          </w:tcPr>
          <w:p>
            <w:r>
              <w:t>194 kits at $18</w:t>
            </w:r>
          </w:p>
        </w:tc>
        <w:tc>
          <w:tcPr>
            <w:tcW w:type="dxa" w:w="1440"/>
          </w:tcPr>
          <w:p>
            <w:r>
              <w:t>$3,492</w:t>
            </w:r>
          </w:p>
        </w:tc>
      </w:tr>
      <w:tr>
        <w:tc>
          <w:tcPr>
            <w:tcW w:type="dxa" w:w="3744"/>
          </w:tcPr>
          <w:p>
            <w:r>
              <w:t>Standardized assessment administrations</w:t>
            </w:r>
          </w:p>
        </w:tc>
        <w:tc>
          <w:tcPr>
            <w:tcW w:type="dxa" w:w="4176"/>
          </w:tcPr>
          <w:p>
            <w:r>
              <w:t>120 at $9</w:t>
            </w:r>
          </w:p>
        </w:tc>
        <w:tc>
          <w:tcPr>
            <w:tcW w:type="dxa" w:w="1440"/>
          </w:tcPr>
          <w:p>
            <w:r>
              <w:t>$1,080</w:t>
            </w:r>
          </w:p>
        </w:tc>
      </w:tr>
      <w:tr>
        <w:tc>
          <w:tcPr>
            <w:tcW w:type="dxa" w:w="3744"/>
          </w:tcPr>
          <w:p>
            <w:r>
              <w:t>Childcare during evening adult classes</w:t>
            </w:r>
          </w:p>
        </w:tc>
        <w:tc>
          <w:tcPr>
            <w:tcW w:type="dxa" w:w="4176"/>
          </w:tcPr>
          <w:p>
            <w:r>
              <w:t>40 sessions at $60</w:t>
            </w:r>
          </w:p>
        </w:tc>
        <w:tc>
          <w:tcPr>
            <w:tcW w:type="dxa" w:w="1440"/>
          </w:tcPr>
          <w:p>
            <w:r>
              <w:t>$2,400</w:t>
            </w:r>
          </w:p>
        </w:tc>
      </w:tr>
      <w:tr>
        <w:tc>
          <w:tcPr>
            <w:tcW w:type="dxa" w:w="3744"/>
          </w:tcPr>
          <w:p>
            <w:r>
              <w:t>Interpretation and translation</w:t>
            </w:r>
          </w:p>
        </w:tc>
        <w:tc>
          <w:tcPr>
            <w:tcW w:type="dxa" w:w="4176"/>
          </w:tcPr>
          <w:p>
            <w:r>
              <w:t>Intake and enrollment materials</w:t>
            </w:r>
          </w:p>
        </w:tc>
        <w:tc>
          <w:tcPr>
            <w:tcW w:type="dxa" w:w="1440"/>
          </w:tcPr>
          <w:p>
            <w:r>
              <w:t>$689</w:t>
            </w:r>
          </w:p>
        </w:tc>
      </w:tr>
      <w:tr>
        <w:tc>
          <w:tcPr>
            <w:tcW w:type="dxa" w:w="3744"/>
          </w:tcPr>
          <w:p>
            <w:r>
              <w:t>Outreach mileage</w:t>
            </w:r>
          </w:p>
        </w:tc>
        <w:tc>
          <w:tcPr>
            <w:tcW w:type="dxa" w:w="4176"/>
          </w:tcPr>
          <w:p>
            <w:r>
              <w:t>1,200 miles at the 2026 IRS business standard mileage rate of $0.725</w:t>
            </w:r>
          </w:p>
        </w:tc>
        <w:tc>
          <w:tcPr>
            <w:tcW w:type="dxa" w:w="1440"/>
          </w:tcPr>
          <w:p>
            <w:r>
              <w:t>$870</w:t>
            </w:r>
          </w:p>
        </w:tc>
      </w:tr>
      <w:tr>
        <w:tc>
          <w:tcPr>
            <w:tcW w:type="dxa" w:w="3744"/>
          </w:tcPr>
          <w:p>
            <w:r>
              <w:t>Total request</w:t>
            </w:r>
          </w:p>
        </w:tc>
        <w:tc>
          <w:tcPr>
            <w:tcW w:type="dxa" w:w="4176"/>
          </w:tcPr>
          <w:p>
            <w:r/>
          </w:p>
        </w:tc>
        <w:tc>
          <w:tcPr>
            <w:tcW w:type="dxa" w:w="1440"/>
          </w:tcPr>
          <w:p>
            <w:r>
              <w:t>$38,000</w:t>
            </w:r>
          </w:p>
        </w:tc>
      </w:tr>
    </w:tbl>
    <w:p/>
    <w:p>
      <w:r>
        <w:t>Check the arithmetic before you submit: 24,960 plus 1,909 plus 2,600 plus 3,492 plus 1,080 plus 2,400 plus 689 plus 870 equals 38,000. A reviewer adds the column. A budget that does not sum is the cheapest possible way to lose an application.</w:t>
      </w:r>
    </w:p>
    <w:p>
      <w:pPr>
        <w:pStyle w:val="Heading2"/>
      </w:pPr>
      <w:r>
        <w:t>Budget narrative</w:t>
      </w:r>
    </w:p>
    <w:p>
      <w:pPr>
        <w:pStyle w:val="Heading3"/>
      </w:pPr>
      <w:r>
        <w:t>Part-time literacy coordinator, $24,960</w:t>
      </w:r>
    </w:p>
    <w:p>
      <w:r>
        <w:t>Twenty hours per week for 52 weeks at [coordinator hourly rate], shown here as $24 per hour (20 hours times 52 weeks times $24 equals $24,960). This is the position the program is built around and the reason the library can grow past its current 18 tutoring pairs. The rate should be replaced with your own posted scale for a comparable paraprofessional or program coordinator position. The employer payroll tax line below carries the minimum fringe this position attracts. If your employer charges a higher [fringe rate] on a part-time position, raise that line and reduce another rather than quietly absorbing the difference, because a budget without fringe on a salaried line invites a question.</w:t>
      </w:r>
    </w:p>
    <w:p>
      <w:r>
        <w:t>If the funder caps personnel or declines to fund salaries, the fallback is to request the materials, assessment, childcare, and training lines in full and to name the coordinator position as a required match the library will seek elsewhere. Do not shrink the position to fit a cap; a ten-hour coordinator cannot run intake for 60 learners, and the outcome targets would have to fall with it.</w:t>
      </w:r>
    </w:p>
    <w:p>
      <w:pPr>
        <w:pStyle w:val="Heading3"/>
      </w:pPr>
      <w:r>
        <w:t>Employer payroll taxes, $1,909</w:t>
      </w:r>
    </w:p>
    <w:p>
      <w:r>
        <w:t>Employer payroll taxes at 7.65 percent on the coordinator's $24,960 in wages, covering the employer share of Social Security and Medicare. This is the minimum fringe a W-2 position carries, and it belongs on the page rather than inside the salary figure.</w:t>
      </w:r>
    </w:p>
    <w:p>
      <w:pPr>
        <w:pStyle w:val="Heading3"/>
      </w:pPr>
      <w:r>
        <w:t>Volunteer tutor training and materials, $2,600</w:t>
      </w:r>
    </w:p>
    <w:p>
      <w:r>
        <w:t>Forty tutors at $65 each covers the training manual, a starter set of instructional materials each tutor keeps, background check fees, refreshments across four training sessions, and the stipend paid to the reading specialist who delivers two of the twelve hours. Training 40 tutors to sustain roughly 30 active pairs reflects real volunteer attrition rather than optimism.</w:t>
      </w:r>
    </w:p>
    <w:p>
      <w:pPr>
        <w:pStyle w:val="Heading3"/>
      </w:pPr>
      <w:r>
        <w:t>Leveled readers and bilingual family kits, $3,492</w:t>
      </w:r>
    </w:p>
    <w:p>
      <w:r>
        <w:t>One hundred ninety-four kits at $18. The kits combine leveled readers for the family track with adult basic education titles at the lowest reading levels, where our collection is thinnest. Bilingual titles are included at the ratio our intake records indicate. Every item is cataloged into the circulating collection, which is the sustainability argument in this budget: books purchased with grant funds remain available to the public for years after the award closes. Few sectors can make that claim about a materials line, so make it explicitly.</w:t>
      </w:r>
    </w:p>
    <w:p>
      <w:pPr>
        <w:pStyle w:val="Heading3"/>
      </w:pPr>
      <w:r>
        <w:t>Standardized assessment administrations, $1,080</w:t>
      </w:r>
    </w:p>
    <w:p>
      <w:r>
        <w:t>One hundred twenty administrations at $9 covers a pre and post assessment for each of 60 learners, including the licensing or per-administration cost of [assessment name] and the scoring materials. If your state supplies assessment materials to approved providers at no cost, remove this line and say so; the reviewer will read it as evidence you are connected to the state system.</w:t>
      </w:r>
    </w:p>
    <w:p>
      <w:pPr>
        <w:pStyle w:val="Heading3"/>
      </w:pPr>
      <w:r>
        <w:t>Childcare during evening adult classes, $2,400</w:t>
      </w:r>
    </w:p>
    <w:p>
      <w:r>
        <w:t>Forty sessions at $60 covers two childcare workers at [rate] per hour for a two-hour block across the 40 family literacy sessions, plus clearance costs and consumable supplies. Fund this line and defend it. Evening adult programming loses caregivers without childcare, and cutting the line to shrink the ask costs the attendance target that every outcome in this proposal is calculated from.</w:t>
      </w:r>
    </w:p>
    <w:p>
      <w:pPr>
        <w:pStyle w:val="Heading3"/>
      </w:pPr>
      <w:r>
        <w:t>Interpretation and translation, $689</w:t>
      </w:r>
    </w:p>
    <w:p>
      <w:r>
        <w:t>Interpretation at intake appointments and at the first session of each family cohort, plus translation of enrollment forms, the program flyer, and the caregiver survey. A small line that determines whether a meaningful share of the service area can enroll at all.</w:t>
      </w:r>
    </w:p>
    <w:p>
      <w:pPr>
        <w:pStyle w:val="Heading3"/>
      </w:pPr>
      <w:r>
        <w:t>Outreach mileage, $870</w:t>
      </w:r>
    </w:p>
    <w:p>
      <w:r>
        <w:t>Coordinator travel to the three bookmobile partner sites, the school district family center, and the workforce office, at roughly 100 miles a month across the grant year: 1,200 miles at the 2026 IRS business standard mileage rate of $0.725 equals $870. Rural service areas cost money to reach, and a proposal that promises township coverage with no travel line has not been costed.</w:t>
      </w:r>
    </w:p>
    <w:p>
      <w:pPr>
        <w:pStyle w:val="Heading2"/>
      </w:pPr>
      <w:r>
        <w:t>In-kind and matching contributions</w:t>
      </w:r>
    </w:p>
    <w:p>
      <w:r>
        <w:t>Value volunteer instruction separately and prominently. If volunteers deliver a large share of your instruction, those hours demonstrate match value and keep the cash request small, which is one of the strongest positions a library applicant can occupy.</w:t>
      </w:r>
    </w:p>
    <w:tbl>
      <w:tblPr>
        <w:tblStyle w:val="LightGrid-Accent1"/>
        <w:tblW w:type="auto" w:w="0"/>
        <w:tblLook w:firstColumn="1" w:firstRow="1" w:lastColumn="0" w:lastRow="0" w:noHBand="0" w:noVBand="1" w:val="04A0"/>
      </w:tblPr>
      <w:tblGrid>
        <w:gridCol w:w="3120"/>
        <w:gridCol w:w="3120"/>
        <w:gridCol w:w="3120"/>
      </w:tblGrid>
      <w:tr>
        <w:tc>
          <w:tcPr>
            <w:tcW w:type="dxa" w:w="3744"/>
          </w:tcPr>
          <w:p>
            <w:r>
              <w:rPr>
                <w:b/>
              </w:rPr>
              <w:t>In-kind contribution</w:t>
            </w:r>
          </w:p>
        </w:tc>
        <w:tc>
          <w:tcPr>
            <w:tcW w:type="dxa" w:w="3744"/>
          </w:tcPr>
          <w:p>
            <w:r>
              <w:rPr>
                <w:b/>
              </w:rPr>
              <w:t>Basis</w:t>
            </w:r>
          </w:p>
        </w:tc>
        <w:tc>
          <w:tcPr>
            <w:tcW w:type="dxa" w:w="1872"/>
          </w:tcPr>
          <w:p>
            <w:r>
              <w:rPr>
                <w:b/>
              </w:rPr>
              <w:t>Value</w:t>
            </w:r>
          </w:p>
        </w:tc>
      </w:tr>
      <w:tr>
        <w:tc>
          <w:tcPr>
            <w:tcW w:type="dxa" w:w="3744"/>
          </w:tcPr>
          <w:p>
            <w:r>
              <w:t>Volunteer tutor instruction</w:t>
            </w:r>
          </w:p>
        </w:tc>
        <w:tc>
          <w:tcPr>
            <w:tcW w:type="dxa" w:w="3744"/>
          </w:tcPr>
          <w:p>
            <w:r>
              <w:t>2,400 hours at [volunteer hour value] for [State]</w:t>
            </w:r>
          </w:p>
        </w:tc>
        <w:tc>
          <w:tcPr>
            <w:tcW w:type="dxa" w:w="1872"/>
          </w:tcPr>
          <w:p>
            <w:r>
              <w:t>[calculate]</w:t>
            </w:r>
          </w:p>
        </w:tc>
      </w:tr>
      <w:tr>
        <w:tc>
          <w:tcPr>
            <w:tcW w:type="dxa" w:w="3744"/>
          </w:tcPr>
          <w:p>
            <w:r>
              <w:t>Library meeting room and study space</w:t>
            </w:r>
          </w:p>
        </w:tc>
        <w:tc>
          <w:tcPr>
            <w:tcW w:type="dxa" w:w="3744"/>
          </w:tcPr>
          <w:p>
            <w:r>
              <w:t>320 hours at $25 per hour</w:t>
            </w:r>
          </w:p>
        </w:tc>
        <w:tc>
          <w:tcPr>
            <w:tcW w:type="dxa" w:w="1872"/>
          </w:tcPr>
          <w:p>
            <w:r>
              <w:t>$8,000</w:t>
            </w:r>
          </w:p>
        </w:tc>
      </w:tr>
      <w:tr>
        <w:tc>
          <w:tcPr>
            <w:tcW w:type="dxa" w:w="3744"/>
          </w:tcPr>
          <w:p>
            <w:r>
              <w:t>Director and branch staff supervision</w:t>
            </w:r>
          </w:p>
        </w:tc>
        <w:tc>
          <w:tcPr>
            <w:tcW w:type="dxa" w:w="3744"/>
          </w:tcPr>
          <w:p>
            <w:r>
              <w:t>120 hours at $38 per hour</w:t>
            </w:r>
          </w:p>
        </w:tc>
        <w:tc>
          <w:tcPr>
            <w:tcW w:type="dxa" w:w="1872"/>
          </w:tcPr>
          <w:p>
            <w:r>
              <w:t>$4,560</w:t>
            </w:r>
          </w:p>
        </w:tc>
      </w:tr>
      <w:tr>
        <w:tc>
          <w:tcPr>
            <w:tcW w:type="dxa" w:w="3744"/>
          </w:tcPr>
          <w:p>
            <w:r>
              <w:t>Youth services librarian time on the family track</w:t>
            </w:r>
          </w:p>
        </w:tc>
        <w:tc>
          <w:tcPr>
            <w:tcW w:type="dxa" w:w="3744"/>
          </w:tcPr>
          <w:p>
            <w:r>
              <w:t>Existing budgeted hours</w:t>
            </w:r>
          </w:p>
        </w:tc>
        <w:tc>
          <w:tcPr>
            <w:tcW w:type="dxa" w:w="1872"/>
          </w:tcPr>
          <w:p>
            <w:r>
              <w:t>Included in supervision above</w:t>
            </w:r>
          </w:p>
        </w:tc>
      </w:tr>
      <w:tr>
        <w:tc>
          <w:tcPr>
            <w:tcW w:type="dxa" w:w="3744"/>
          </w:tcPr>
          <w:p>
            <w:r>
              <w:t>Existing adult basic education collection</w:t>
            </w:r>
          </w:p>
        </w:tc>
        <w:tc>
          <w:tcPr>
            <w:tcW w:type="dxa" w:w="3744"/>
          </w:tcPr>
          <w:p>
            <w:r>
              <w:t>Materials made available to the program</w:t>
            </w:r>
          </w:p>
        </w:tc>
        <w:tc>
          <w:tcPr>
            <w:tcW w:type="dxa" w:w="1872"/>
          </w:tcPr>
          <w:p>
            <w:r>
              <w:t>$3,200</w:t>
            </w:r>
          </w:p>
        </w:tc>
      </w:tr>
      <w:tr>
        <w:tc>
          <w:tcPr>
            <w:tcW w:type="dxa" w:w="3744"/>
          </w:tcPr>
          <w:p>
            <w:r>
              <w:t>Utilities, custodial, and technology</w:t>
            </w:r>
          </w:p>
        </w:tc>
        <w:tc>
          <w:tcPr>
            <w:tcW w:type="dxa" w:w="3744"/>
          </w:tcPr>
          <w:p>
            <w:r>
              <w:t>Allocated share of facility cost</w:t>
            </w:r>
          </w:p>
        </w:tc>
        <w:tc>
          <w:tcPr>
            <w:tcW w:type="dxa" w:w="1872"/>
          </w:tcPr>
          <w:p>
            <w:r>
              <w:t>$2,150</w:t>
            </w:r>
          </w:p>
        </w:tc>
      </w:tr>
      <w:tr>
        <w:tc>
          <w:tcPr>
            <w:tcW w:type="dxa" w:w="3744"/>
          </w:tcPr>
          <w:p>
            <w:r>
              <w:t>Friends corporation bookkeeping and audit inclusion</w:t>
            </w:r>
          </w:p>
        </w:tc>
        <w:tc>
          <w:tcPr>
            <w:tcW w:type="dxa" w:w="3744"/>
          </w:tcPr>
          <w:p>
            <w:r>
              <w:t>Annual service</w:t>
            </w:r>
          </w:p>
        </w:tc>
        <w:tc>
          <w:tcPr>
            <w:tcW w:type="dxa" w:w="1872"/>
          </w:tcPr>
          <w:p>
            <w:r>
              <w:t>$1,400</w:t>
            </w:r>
          </w:p>
        </w:tc>
      </w:tr>
      <w:tr>
        <w:tc>
          <w:tcPr>
            <w:tcW w:type="dxa" w:w="3744"/>
          </w:tcPr>
          <w:p>
            <w:r>
              <w:t>Documented in-kind excluding volunteer hours</w:t>
            </w:r>
          </w:p>
        </w:tc>
        <w:tc>
          <w:tcPr>
            <w:tcW w:type="dxa" w:w="3744"/>
          </w:tcPr>
          <w:p>
            <w:r/>
          </w:p>
        </w:tc>
        <w:tc>
          <w:tcPr>
            <w:tcW w:type="dxa" w:w="1872"/>
          </w:tcPr>
          <w:p>
            <w:r>
              <w:t>$19,310</w:t>
            </w:r>
          </w:p>
        </w:tc>
      </w:tr>
    </w:tbl>
    <w:p/>
    <w:p>
      <w:r>
        <w:t>Use your state's published volunteer time value for the grant year rather than a number you remember, and cite the source in a footnote on the budget page. Check the arithmetic on this table too: 8,000 plus 4,560 plus 3,200 plus 2,150 plus 1,400 equals 19,310, before the volunteer instruction line is added.</w:t>
      </w:r>
    </w:p>
    <w:p>
      <w:pPr>
        <w:pStyle w:val="Heading2"/>
      </w:pPr>
      <w:r>
        <w:t>Supplanting statement</w:t>
      </w:r>
    </w:p>
    <w:p>
      <w:r>
        <w:t>State this plainly and early, in its own short section, because a reviewer is already thinking about it.</w:t>
      </w:r>
    </w:p>
    <w:p>
      <w:pPr>
        <w:pStyle w:val="IntenseQuote"/>
      </w:pPr>
      <w:r>
        <w:t>Example County Library District's county appropriation for [fiscal year] is budgeted at [amount], unchanged from the prior year, and no reduction is contemplated as a result of this award. Appropriated funds pay for the collection, facilities, existing personnel, and utilities. The district has never funded a literacy coordinator position or evening childcare from appropriated funds. Grant funds under this request will add new service hours and will not replace, offset, or free up local tax revenue.</w:t>
      </w:r>
    </w:p>
    <w:p>
      <w:r>
        <w:t>One paragraph removes the objection before it is raised. Attach the adopted budget page that supports the appropriation figure if the funder allows attachments.</w:t>
      </w:r>
    </w:p>
    <w:p>
      <w:pPr>
        <w:pStyle w:val="Heading2"/>
      </w:pPr>
      <w:r>
        <w:t>Other funding for this project</w:t>
      </w:r>
    </w:p>
    <w:tbl>
      <w:tblPr>
        <w:tblStyle w:val="LightGrid-Accent1"/>
        <w:tblW w:type="auto" w:w="0"/>
        <w:tblLook w:firstColumn="1" w:firstRow="1" w:lastColumn="0" w:lastRow="0" w:noHBand="0" w:noVBand="1" w:val="04A0"/>
      </w:tblPr>
      <w:tblGrid>
        <w:gridCol w:w="2340"/>
        <w:gridCol w:w="2340"/>
        <w:gridCol w:w="2340"/>
        <w:gridCol w:w="2340"/>
      </w:tblGrid>
      <w:tr>
        <w:tc>
          <w:tcPr>
            <w:tcW w:type="dxa" w:w="2736"/>
          </w:tcPr>
          <w:p>
            <w:r>
              <w:rPr>
                <w:b/>
              </w:rPr>
              <w:t>Source</w:t>
            </w:r>
          </w:p>
        </w:tc>
        <w:tc>
          <w:tcPr>
            <w:tcW w:type="dxa" w:w="2304"/>
          </w:tcPr>
          <w:p>
            <w:r>
              <w:rPr>
                <w:b/>
              </w:rPr>
              <w:t>Status</w:t>
            </w:r>
          </w:p>
        </w:tc>
        <w:tc>
          <w:tcPr>
            <w:tcW w:type="dxa" w:w="2016"/>
          </w:tcPr>
          <w:p>
            <w:r>
              <w:rPr>
                <w:b/>
              </w:rPr>
              <w:t>Amount</w:t>
            </w:r>
          </w:p>
        </w:tc>
        <w:tc>
          <w:tcPr>
            <w:tcW w:type="dxa" w:w="3744"/>
          </w:tcPr>
          <w:p>
            <w:r>
              <w:rPr>
                <w:b/>
              </w:rPr>
              <w:t>Purpose</w:t>
            </w:r>
          </w:p>
        </w:tc>
      </w:tr>
      <w:tr>
        <w:tc>
          <w:tcPr>
            <w:tcW w:type="dxa" w:w="2736"/>
          </w:tcPr>
          <w:p>
            <w:r>
              <w:t>This request</w:t>
            </w:r>
          </w:p>
        </w:tc>
        <w:tc>
          <w:tcPr>
            <w:tcW w:type="dxa" w:w="2304"/>
          </w:tcPr>
          <w:p>
            <w:r>
              <w:t>Pending</w:t>
            </w:r>
          </w:p>
        </w:tc>
        <w:tc>
          <w:tcPr>
            <w:tcW w:type="dxa" w:w="2016"/>
          </w:tcPr>
          <w:p>
            <w:r>
              <w:t>$38,000</w:t>
            </w:r>
          </w:p>
        </w:tc>
        <w:tc>
          <w:tcPr>
            <w:tcW w:type="dxa" w:w="3744"/>
          </w:tcPr>
          <w:p>
            <w:r>
              <w:t>Coordinator, training, materials, assessment, childcare</w:t>
            </w:r>
          </w:p>
        </w:tc>
      </w:tr>
      <w:tr>
        <w:tc>
          <w:tcPr>
            <w:tcW w:type="dxa" w:w="2736"/>
          </w:tcPr>
          <w:p>
            <w:r>
              <w:t>Friends of the Example County Library</w:t>
            </w:r>
          </w:p>
        </w:tc>
        <w:tc>
          <w:tcPr>
            <w:tcW w:type="dxa" w:w="2304"/>
          </w:tcPr>
          <w:p>
            <w:r>
              <w:t>Committed [date]</w:t>
            </w:r>
          </w:p>
        </w:tc>
        <w:tc>
          <w:tcPr>
            <w:tcW w:type="dxa" w:w="2016"/>
          </w:tcPr>
          <w:p>
            <w:r>
              <w:t>$4,000</w:t>
            </w:r>
          </w:p>
        </w:tc>
        <w:tc>
          <w:tcPr>
            <w:tcW w:type="dxa" w:w="3744"/>
          </w:tcPr>
          <w:p>
            <w:r>
              <w:t>Book sale proceeds toward materials and refreshments</w:t>
            </w:r>
          </w:p>
        </w:tc>
      </w:tr>
      <w:tr>
        <w:tc>
          <w:tcPr>
            <w:tcW w:type="dxa" w:w="2736"/>
          </w:tcPr>
          <w:p>
            <w:r>
              <w:t>Library district operating budget</w:t>
            </w:r>
          </w:p>
        </w:tc>
        <w:tc>
          <w:tcPr>
            <w:tcW w:type="dxa" w:w="2304"/>
          </w:tcPr>
          <w:p>
            <w:r>
              <w:t>Appropriated</w:t>
            </w:r>
          </w:p>
        </w:tc>
        <w:tc>
          <w:tcPr>
            <w:tcW w:type="dxa" w:w="2016"/>
          </w:tcPr>
          <w:p>
            <w:r>
              <w:t>In-kind, $19,310</w:t>
            </w:r>
          </w:p>
        </w:tc>
        <w:tc>
          <w:tcPr>
            <w:tcW w:type="dxa" w:w="3744"/>
          </w:tcPr>
          <w:p>
            <w:r>
              <w:t>Space, supervision, collection, overhead</w:t>
            </w:r>
          </w:p>
        </w:tc>
      </w:tr>
      <w:tr>
        <w:tc>
          <w:tcPr>
            <w:tcW w:type="dxa" w:w="2736"/>
          </w:tcPr>
          <w:p>
            <w:r>
              <w:t>State library agency mini-grant</w:t>
            </w:r>
          </w:p>
        </w:tc>
        <w:tc>
          <w:tcPr>
            <w:tcW w:type="dxa" w:w="2304"/>
          </w:tcPr>
          <w:p>
            <w:r>
              <w:t>Application planned [month]</w:t>
            </w:r>
          </w:p>
        </w:tc>
        <w:tc>
          <w:tcPr>
            <w:tcW w:type="dxa" w:w="2016"/>
          </w:tcPr>
          <w:p>
            <w:r>
              <w:t>$5,000 requested</w:t>
            </w:r>
          </w:p>
        </w:tc>
        <w:tc>
          <w:tcPr>
            <w:tcW w:type="dxa" w:w="3744"/>
          </w:tcPr>
          <w:p>
            <w:r>
              <w:t>Bookmobile route materials for rural sites</w:t>
            </w:r>
          </w:p>
        </w:tc>
      </w:tr>
      <w:tr>
        <w:tc>
          <w:tcPr>
            <w:tcW w:type="dxa" w:w="2736"/>
          </w:tcPr>
          <w:p>
            <w:r>
              <w:t>Local service club</w:t>
            </w:r>
          </w:p>
        </w:tc>
        <w:tc>
          <w:tcPr>
            <w:tcW w:type="dxa" w:w="2304"/>
          </w:tcPr>
          <w:p>
            <w:r>
              <w:t>Conversation underway</w:t>
            </w:r>
          </w:p>
        </w:tc>
        <w:tc>
          <w:tcPr>
            <w:tcW w:type="dxa" w:w="2016"/>
          </w:tcPr>
          <w:p>
            <w:r>
              <w:t>$1,500 anticipated</w:t>
            </w:r>
          </w:p>
        </w:tc>
        <w:tc>
          <w:tcPr>
            <w:tcW w:type="dxa" w:w="3744"/>
          </w:tcPr>
          <w:p>
            <w:r>
              <w:t>Childcare supplies and family kit expansion</w:t>
            </w:r>
          </w:p>
        </w:tc>
      </w:tr>
    </w:tbl>
    <w:p/>
    <w:p>
      <w:r>
        <w:t>Do not leave this table empty and do not overstate it. Listing a small committed local gift alongside a pending state application shows a funder that its money joins a plan rather than carrying one alone. Mark statuses honestly; program officers talk to each other.</w:t>
      </w:r>
    </w:p>
    <w:p>
      <w:pPr>
        <w:pStyle w:val="Heading1"/>
      </w:pPr>
      <w:r>
        <w:t>Sustainability Plan</w:t>
      </w:r>
    </w:p>
    <w:p>
      <w:r>
        <w:t>The year-two question is asked in every review, and a library has a better answer available than most applicants. Two of the three cost categories in this budget are genuinely one-time, and the third has a credible absorption path into an institution that will still exist in ten years.</w:t>
      </w:r>
    </w:p>
    <w:tbl>
      <w:tblPr>
        <w:tblStyle w:val="LightGrid-Accent1"/>
        <w:tblW w:type="auto" w:w="0"/>
        <w:tblLook w:firstColumn="1" w:firstRow="1" w:lastColumn="0" w:lastRow="0" w:noHBand="0" w:noVBand="1" w:val="04A0"/>
      </w:tblPr>
      <w:tblGrid>
        <w:gridCol w:w="2340"/>
        <w:gridCol w:w="2340"/>
        <w:gridCol w:w="2340"/>
        <w:gridCol w:w="2340"/>
      </w:tblGrid>
      <w:tr>
        <w:tc>
          <w:tcPr>
            <w:tcW w:type="dxa" w:w="1872"/>
          </w:tcPr>
          <w:p>
            <w:r>
              <w:rPr>
                <w:b/>
              </w:rPr>
              <w:t>Cost</w:t>
            </w:r>
          </w:p>
        </w:tc>
        <w:tc>
          <w:tcPr>
            <w:tcW w:type="dxa" w:w="1872"/>
          </w:tcPr>
          <w:p>
            <w:r>
              <w:rPr>
                <w:b/>
              </w:rPr>
              <w:t>Year 1 source</w:t>
            </w:r>
          </w:p>
        </w:tc>
        <w:tc>
          <w:tcPr>
            <w:tcW w:type="dxa" w:w="3744"/>
          </w:tcPr>
          <w:p>
            <w:r>
              <w:rPr>
                <w:b/>
              </w:rPr>
              <w:t>Year 2 plan</w:t>
            </w:r>
          </w:p>
        </w:tc>
        <w:tc>
          <w:tcPr>
            <w:tcW w:type="dxa" w:w="2304"/>
          </w:tcPr>
          <w:p>
            <w:r>
              <w:rPr>
                <w:b/>
              </w:rPr>
              <w:t>Committed by</w:t>
            </w:r>
          </w:p>
        </w:tc>
      </w:tr>
      <w:tr>
        <w:tc>
          <w:tcPr>
            <w:tcW w:type="dxa" w:w="1872"/>
          </w:tcPr>
          <w:p>
            <w:r>
              <w:t>Literacy coordinator</w:t>
            </w:r>
          </w:p>
        </w:tc>
        <w:tc>
          <w:tcPr>
            <w:tcW w:type="dxa" w:w="1872"/>
          </w:tcPr>
          <w:p>
            <w:r>
              <w:t>This grant</w:t>
            </w:r>
          </w:p>
        </w:tc>
        <w:tc>
          <w:tcPr>
            <w:tcW w:type="dxa" w:w="3744"/>
          </w:tcPr>
          <w:p>
            <w:r>
              <w:t>Operating budget at [share], remainder sought from the state adult education agency</w:t>
            </w:r>
          </w:p>
        </w:tc>
        <w:tc>
          <w:tcPr>
            <w:tcW w:type="dxa" w:w="2304"/>
          </w:tcPr>
          <w:p>
            <w:r>
              <w:t>Board of Trustees, [date]</w:t>
            </w:r>
          </w:p>
        </w:tc>
      </w:tr>
      <w:tr>
        <w:tc>
          <w:tcPr>
            <w:tcW w:type="dxa" w:w="1872"/>
          </w:tcPr>
          <w:p>
            <w:r>
              <w:t>Tutor training</w:t>
            </w:r>
          </w:p>
        </w:tc>
        <w:tc>
          <w:tcPr>
            <w:tcW w:type="dxa" w:w="1872"/>
          </w:tcPr>
          <w:p>
            <w:r>
              <w:t>This grant</w:t>
            </w:r>
          </w:p>
        </w:tc>
        <w:tc>
          <w:tcPr>
            <w:tcW w:type="dxa" w:w="3744"/>
          </w:tcPr>
          <w:p>
            <w:r>
              <w:t>Curriculum retained; delivered by trained tutor leads at minimal cost</w:t>
            </w:r>
          </w:p>
        </w:tc>
        <w:tc>
          <w:tcPr>
            <w:tcW w:type="dxa" w:w="2304"/>
          </w:tcPr>
          <w:p>
            <w:r>
              <w:t>Coordinator and volunteer leads</w:t>
            </w:r>
          </w:p>
        </w:tc>
      </w:tr>
      <w:tr>
        <w:tc>
          <w:tcPr>
            <w:tcW w:type="dxa" w:w="1872"/>
          </w:tcPr>
          <w:p>
            <w:r>
              <w:t>Materials</w:t>
            </w:r>
          </w:p>
        </w:tc>
        <w:tc>
          <w:tcPr>
            <w:tcW w:type="dxa" w:w="1872"/>
          </w:tcPr>
          <w:p>
            <w:r>
              <w:t>This grant</w:t>
            </w:r>
          </w:p>
        </w:tc>
        <w:tc>
          <w:tcPr>
            <w:tcW w:type="dxa" w:w="3744"/>
          </w:tcPr>
          <w:p>
            <w:r>
              <w:t>Friends book sale proceeds plus normal collection budget</w:t>
            </w:r>
          </w:p>
        </w:tc>
        <w:tc>
          <w:tcPr>
            <w:tcW w:type="dxa" w:w="2304"/>
          </w:tcPr>
          <w:p>
            <w:r>
              <w:t>Friends board, [date]</w:t>
            </w:r>
          </w:p>
        </w:tc>
      </w:tr>
      <w:tr>
        <w:tc>
          <w:tcPr>
            <w:tcW w:type="dxa" w:w="1872"/>
          </w:tcPr>
          <w:p>
            <w:r>
              <w:t>Assessment</w:t>
            </w:r>
          </w:p>
        </w:tc>
        <w:tc>
          <w:tcPr>
            <w:tcW w:type="dxa" w:w="1872"/>
          </w:tcPr>
          <w:p>
            <w:r>
              <w:t>This grant</w:t>
            </w:r>
          </w:p>
        </w:tc>
        <w:tc>
          <w:tcPr>
            <w:tcW w:type="dxa" w:w="3744"/>
          </w:tcPr>
          <w:p>
            <w:r>
              <w:t>State-supplied materials if approved provider status is obtained</w:t>
            </w:r>
          </w:p>
        </w:tc>
        <w:tc>
          <w:tcPr>
            <w:tcW w:type="dxa" w:w="2304"/>
          </w:tcPr>
          <w:p>
            <w:r>
              <w:t>Pending state application</w:t>
            </w:r>
          </w:p>
        </w:tc>
      </w:tr>
      <w:tr>
        <w:tc>
          <w:tcPr>
            <w:tcW w:type="dxa" w:w="1872"/>
          </w:tcPr>
          <w:p>
            <w:r>
              <w:t>Childcare</w:t>
            </w:r>
          </w:p>
        </w:tc>
        <w:tc>
          <w:tcPr>
            <w:tcW w:type="dxa" w:w="1872"/>
          </w:tcPr>
          <w:p>
            <w:r>
              <w:t>This grant</w:t>
            </w:r>
          </w:p>
        </w:tc>
        <w:tc>
          <w:tcPr>
            <w:tcW w:type="dxa" w:w="3744"/>
          </w:tcPr>
          <w:p>
            <w:r>
              <w:t>Local service club sponsorship, one cohort per sponsor</w:t>
            </w:r>
          </w:p>
        </w:tc>
        <w:tc>
          <w:tcPr>
            <w:tcW w:type="dxa" w:w="2304"/>
          </w:tcPr>
          <w:p>
            <w:r>
              <w:t>Conversation underway</w:t>
            </w:r>
          </w:p>
        </w:tc>
      </w:tr>
      <w:tr>
        <w:tc>
          <w:tcPr>
            <w:tcW w:type="dxa" w:w="1872"/>
          </w:tcPr>
          <w:p>
            <w:r>
              <w:t>Interpretation</w:t>
            </w:r>
          </w:p>
        </w:tc>
        <w:tc>
          <w:tcPr>
            <w:tcW w:type="dxa" w:w="1872"/>
          </w:tcPr>
          <w:p>
            <w:r>
              <w:t>This grant</w:t>
            </w:r>
          </w:p>
        </w:tc>
        <w:tc>
          <w:tcPr>
            <w:tcW w:type="dxa" w:w="3744"/>
          </w:tcPr>
          <w:p>
            <w:r>
              <w:t>Existing language access budget line</w:t>
            </w:r>
          </w:p>
        </w:tc>
        <w:tc>
          <w:tcPr>
            <w:tcW w:type="dxa" w:w="2304"/>
          </w:tcPr>
          <w:p>
            <w:r>
              <w:t>Library director</w:t>
            </w:r>
          </w:p>
        </w:tc>
      </w:tr>
    </w:tbl>
    <w:p/>
    <w:p>
      <w:pPr>
        <w:pStyle w:val="Heading2"/>
      </w:pPr>
      <w:r>
        <w:t>The institutional absorption argument</w:t>
      </w:r>
    </w:p>
    <w:p>
      <w:r>
        <w:t>The library is not going anywhere. It has a dedicated revenue stream, a governing board, a building, and a staff that will still be here in year three. That is a materially different sustainability position from a project-based nonprofit, and it should be stated rather than implied. What the grant buys is the demonstration that a coordinated literacy program works here at a measurable scale, which is the evidence the board needs to add a permanent line.</w:t>
      </w:r>
    </w:p>
    <w:p>
      <w:pPr>
        <w:pStyle w:val="Heading2"/>
      </w:pPr>
      <w:r>
        <w:t>What the board has committed</w:t>
      </w:r>
    </w:p>
    <w:p>
      <w:r>
        <w:t>The Board of Trustees adopted a resolution on [board resolution date] authorizing this application and directing the director to bring a [fiscal year] budget proposal that includes the coordinator position at [share] of its cost, contingent on the program meeting its twelve-week persistence and level-gain targets. Naming the contingency is stronger than promising unconditional absorption. It tells the funder the board is watching the same measures the funder is.</w:t>
      </w:r>
    </w:p>
    <w:p>
      <w:pPr>
        <w:pStyle w:val="Heading2"/>
      </w:pPr>
      <w:r>
        <w:t>What outlives the grant regardless</w:t>
      </w:r>
    </w:p>
    <w:p>
      <w:pPr>
        <w:pStyle w:val="ListBullet"/>
      </w:pPr>
      <w:r>
        <w:t>One hundred ninety-four cataloged items remain in the circulating collection for years.</w:t>
      </w:r>
    </w:p>
    <w:p>
      <w:pPr>
        <w:pStyle w:val="ListBullet"/>
      </w:pPr>
      <w:r>
        <w:t>Forty trained, background-checked tutors remain on the volunteer roster.</w:t>
      </w:r>
    </w:p>
    <w:p>
      <w:pPr>
        <w:pStyle w:val="ListBullet"/>
      </w:pPr>
      <w:r>
        <w:t>A documented intake, assessment, matching, and logging workflow stays in operation.</w:t>
      </w:r>
    </w:p>
    <w:p>
      <w:pPr>
        <w:pStyle w:val="ListBullet"/>
      </w:pPr>
      <w:r>
        <w:t>The training curriculum and manual belong to the library.</w:t>
      </w:r>
    </w:p>
    <w:p>
      <w:pPr>
        <w:pStyle w:val="ListBullet"/>
      </w:pPr>
      <w:r>
        <w:t>The referral relationships with the school district and the workforce office persist.</w:t>
      </w:r>
    </w:p>
    <w:p>
      <w:pPr>
        <w:pStyle w:val="ListBullet"/>
      </w:pPr>
      <w:r>
        <w:t>Baseline data now exists where none existed before, which makes the next application easier.</w:t>
      </w:r>
    </w:p>
    <w:p>
      <w:pPr>
        <w:pStyle w:val="Heading1"/>
      </w:pPr>
      <w:r>
        <w:t>Organizational Capacity and Key Personnel</w:t>
      </w:r>
    </w:p>
    <w:p>
      <w:r>
        <w:t>A funder is assessing whether you can execute. Name the people, state their time on the project, and describe the position you have not yet filled as concretely as the ones you have.</w:t>
      </w:r>
    </w:p>
    <w:tbl>
      <w:tblPr>
        <w:tblStyle w:val="LightGrid-Accent1"/>
        <w:tblW w:type="auto" w:w="0"/>
        <w:tblLook w:firstColumn="1" w:firstRow="1" w:lastColumn="0" w:lastRow="0" w:noHBand="0" w:noVBand="1" w:val="04A0"/>
      </w:tblPr>
      <w:tblGrid>
        <w:gridCol w:w="2340"/>
        <w:gridCol w:w="2340"/>
        <w:gridCol w:w="2340"/>
        <w:gridCol w:w="2340"/>
      </w:tblGrid>
      <w:tr>
        <w:tc>
          <w:tcPr>
            <w:tcW w:type="dxa" w:w="2160"/>
          </w:tcPr>
          <w:p>
            <w:r>
              <w:rPr>
                <w:b/>
              </w:rPr>
              <w:t>Role</w:t>
            </w:r>
          </w:p>
        </w:tc>
        <w:tc>
          <w:tcPr>
            <w:tcW w:type="dxa" w:w="2016"/>
          </w:tcPr>
          <w:p>
            <w:r>
              <w:rPr>
                <w:b/>
              </w:rPr>
              <w:t>Person</w:t>
            </w:r>
          </w:p>
        </w:tc>
        <w:tc>
          <w:tcPr>
            <w:tcW w:type="dxa" w:w="2016"/>
          </w:tcPr>
          <w:p>
            <w:r>
              <w:rPr>
                <w:b/>
              </w:rPr>
              <w:t>Time on project</w:t>
            </w:r>
          </w:p>
        </w:tc>
        <w:tc>
          <w:tcPr>
            <w:tcW w:type="dxa" w:w="3312"/>
          </w:tcPr>
          <w:p>
            <w:r>
              <w:rPr>
                <w:b/>
              </w:rPr>
              <w:t>Responsibility</w:t>
            </w:r>
          </w:p>
        </w:tc>
      </w:tr>
      <w:tr>
        <w:tc>
          <w:tcPr>
            <w:tcW w:type="dxa" w:w="2160"/>
          </w:tcPr>
          <w:p>
            <w:r>
              <w:t>Library Director</w:t>
            </w:r>
          </w:p>
        </w:tc>
        <w:tc>
          <w:tcPr>
            <w:tcW w:type="dxa" w:w="2016"/>
          </w:tcPr>
          <w:p>
            <w:r>
              <w:t>[Name]</w:t>
            </w:r>
          </w:p>
        </w:tc>
        <w:tc>
          <w:tcPr>
            <w:tcW w:type="dxa" w:w="2016"/>
          </w:tcPr>
          <w:p>
            <w:r>
              <w:t>5 percent</w:t>
            </w:r>
          </w:p>
        </w:tc>
        <w:tc>
          <w:tcPr>
            <w:tcW w:type="dxa" w:w="3312"/>
          </w:tcPr>
          <w:p>
            <w:r>
              <w:t>Supervision, funder relationship, board reporting</w:t>
            </w:r>
          </w:p>
        </w:tc>
      </w:tr>
      <w:tr>
        <w:tc>
          <w:tcPr>
            <w:tcW w:type="dxa" w:w="2160"/>
          </w:tcPr>
          <w:p>
            <w:r>
              <w:t>Literacy Coordinator</w:t>
            </w:r>
          </w:p>
        </w:tc>
        <w:tc>
          <w:tcPr>
            <w:tcW w:type="dxa" w:w="2016"/>
          </w:tcPr>
          <w:p>
            <w:r>
              <w:t>To be hired in month 1</w:t>
            </w:r>
          </w:p>
        </w:tc>
        <w:tc>
          <w:tcPr>
            <w:tcW w:type="dxa" w:w="2016"/>
          </w:tcPr>
          <w:p>
            <w:r>
              <w:t>20 hours per week</w:t>
            </w:r>
          </w:p>
        </w:tc>
        <w:tc>
          <w:tcPr>
            <w:tcW w:type="dxa" w:w="3312"/>
          </w:tcPr>
          <w:p>
            <w:r>
              <w:t>Intake, assessment, matching, tutor support, records</w:t>
            </w:r>
          </w:p>
        </w:tc>
      </w:tr>
      <w:tr>
        <w:tc>
          <w:tcPr>
            <w:tcW w:type="dxa" w:w="2160"/>
          </w:tcPr>
          <w:p>
            <w:r>
              <w:t>Youth Services Librarian</w:t>
            </w:r>
          </w:p>
        </w:tc>
        <w:tc>
          <w:tcPr>
            <w:tcW w:type="dxa" w:w="2016"/>
          </w:tcPr>
          <w:p>
            <w:r>
              <w:t>[Name]</w:t>
            </w:r>
          </w:p>
        </w:tc>
        <w:tc>
          <w:tcPr>
            <w:tcW w:type="dxa" w:w="2016"/>
          </w:tcPr>
          <w:p>
            <w:r>
              <w:t>15 percent, in-kind</w:t>
            </w:r>
          </w:p>
        </w:tc>
        <w:tc>
          <w:tcPr>
            <w:tcW w:type="dxa" w:w="3312"/>
          </w:tcPr>
          <w:p>
            <w:r>
              <w:t>Family literacy track instruction and curriculum</w:t>
            </w:r>
          </w:p>
        </w:tc>
      </w:tr>
      <w:tr>
        <w:tc>
          <w:tcPr>
            <w:tcW w:type="dxa" w:w="2160"/>
          </w:tcPr>
          <w:p>
            <w:r>
              <w:t>Circulation Supervisor</w:t>
            </w:r>
          </w:p>
        </w:tc>
        <w:tc>
          <w:tcPr>
            <w:tcW w:type="dxa" w:w="2016"/>
          </w:tcPr>
          <w:p>
            <w:r>
              <w:t>[Name]</w:t>
            </w:r>
          </w:p>
        </w:tc>
        <w:tc>
          <w:tcPr>
            <w:tcW w:type="dxa" w:w="2016"/>
          </w:tcPr>
          <w:p>
            <w:r>
              <w:t>5 percent, in-kind</w:t>
            </w:r>
          </w:p>
        </w:tc>
        <w:tc>
          <w:tcPr>
            <w:tcW w:type="dxa" w:w="3312"/>
          </w:tcPr>
          <w:p>
            <w:r>
              <w:t>Cataloging kits, room scheduling, site logistics</w:t>
            </w:r>
          </w:p>
        </w:tc>
      </w:tr>
      <w:tr>
        <w:tc>
          <w:tcPr>
            <w:tcW w:type="dxa" w:w="2160"/>
          </w:tcPr>
          <w:p>
            <w:r>
              <w:t>Volunteer Tutor Leads</w:t>
            </w:r>
          </w:p>
        </w:tc>
        <w:tc>
          <w:tcPr>
            <w:tcW w:type="dxa" w:w="2016"/>
          </w:tcPr>
          <w:p>
            <w:r>
              <w:t>Two volunteers</w:t>
            </w:r>
          </w:p>
        </w:tc>
        <w:tc>
          <w:tcPr>
            <w:tcW w:type="dxa" w:w="2016"/>
          </w:tcPr>
          <w:p>
            <w:r>
              <w:t>Volunteer</w:t>
            </w:r>
          </w:p>
        </w:tc>
        <w:tc>
          <w:tcPr>
            <w:tcW w:type="dxa" w:w="3312"/>
          </w:tcPr>
          <w:p>
            <w:r>
              <w:t>Peer support, observed sessions, substitute coverage</w:t>
            </w:r>
          </w:p>
        </w:tc>
      </w:tr>
      <w:tr>
        <w:tc>
          <w:tcPr>
            <w:tcW w:type="dxa" w:w="2160"/>
          </w:tcPr>
          <w:p>
            <w:r>
              <w:t>Friends Treasurer</w:t>
            </w:r>
          </w:p>
        </w:tc>
        <w:tc>
          <w:tcPr>
            <w:tcW w:type="dxa" w:w="2016"/>
          </w:tcPr>
          <w:p>
            <w:r>
              <w:t>[Name]</w:t>
            </w:r>
          </w:p>
        </w:tc>
        <w:tc>
          <w:tcPr>
            <w:tcW w:type="dxa" w:w="2016"/>
          </w:tcPr>
          <w:p>
            <w:r>
              <w:t>Volunteer</w:t>
            </w:r>
          </w:p>
        </w:tc>
        <w:tc>
          <w:tcPr>
            <w:tcW w:type="dxa" w:w="3312"/>
          </w:tcPr>
          <w:p>
            <w:r>
              <w:t>Grant bookkeeping if the Friends corporation applies</w:t>
            </w:r>
          </w:p>
        </w:tc>
      </w:tr>
      <w:tr>
        <w:tc>
          <w:tcPr>
            <w:tcW w:type="dxa" w:w="2160"/>
          </w:tcPr>
          <w:p>
            <w:r>
              <w:t>Board of Trustees</w:t>
            </w:r>
          </w:p>
        </w:tc>
        <w:tc>
          <w:tcPr>
            <w:tcW w:type="dxa" w:w="2016"/>
          </w:tcPr>
          <w:p>
            <w:r>
              <w:t>Seven members</w:t>
            </w:r>
          </w:p>
        </w:tc>
        <w:tc>
          <w:tcPr>
            <w:tcW w:type="dxa" w:w="2016"/>
          </w:tcPr>
          <w:p>
            <w:r>
              <w:t>Governance</w:t>
            </w:r>
          </w:p>
        </w:tc>
        <w:tc>
          <w:tcPr>
            <w:tcW w:type="dxa" w:w="3312"/>
          </w:tcPr>
          <w:p>
            <w:r>
              <w:t>Resolution, budget adoption, sustainability decision</w:t>
            </w:r>
          </w:p>
        </w:tc>
      </w:tr>
    </w:tbl>
    <w:p/>
    <w:p>
      <w:pPr>
        <w:pStyle w:val="Heading2"/>
      </w:pPr>
      <w:r>
        <w:t>Literacy coordinator position summary</w:t>
      </w:r>
    </w:p>
    <w:p>
      <w:r>
        <w:t>Include an abbreviated position description when the funder is paying for a position that does not yet exist. It converts a salary line into a job a reviewer can picture.</w:t>
      </w:r>
    </w:p>
    <w:p>
      <w:r>
        <w:t>The literacy coordinator conducts learner intake and standardized assessment, recruits, trains and supports volunteer tutors, matches learners to tutors, maintains program records including contact hours and outcome data, coordinates the family literacy track with the youth services librarian, staffs outreach at rural partner sites, and prepares data for interim and final reports. Qualifications: an associate degree or equivalent experience in adult education, tutoring, or social services; experience with volunteers; comfort with spreadsheets and records; and bilingual [language] and English strongly preferred. Twenty hours per week including two evenings, reporting to the library director.</w:t>
      </w:r>
    </w:p>
    <w:p>
      <w:pPr>
        <w:pStyle w:val="Heading2"/>
      </w:pPr>
      <w:r>
        <w:t>Fiscal and grant management capacity</w:t>
      </w:r>
    </w:p>
    <w:p>
      <w:r>
        <w:t>The district's finances are audited annually by an independent firm, [auditor], and the most recent audit contained no findings. The district follows a purchasing policy adopted by the trustees, and grant expenditures are tracked in a dedicated account code so that the final financial report can be produced from the general ledger rather than reconstructed. The district has administered [number] prior grants including [example], and the Friends corporation files a Form 990 annually.</w:t>
      </w:r>
    </w:p>
    <w:p>
      <w:r>
        <w:t>If your organization has not managed a grant of this size before, say so and name the control that compensates: a monthly reconciliation with the treasurer, a fiscal sponsor arrangement, or an outside bookkeeper. A candid capacity statement with a named control beats a vague claim of experience.</w:t>
      </w:r>
    </w:p>
    <w:p>
      <w:pPr>
        <w:pStyle w:val="Heading2"/>
      </w:pPr>
      <w:r>
        <w:t>Partnerships</w:t>
      </w:r>
    </w:p>
    <w:tbl>
      <w:tblPr>
        <w:tblStyle w:val="LightGrid-Accent1"/>
        <w:tblW w:type="auto" w:w="0"/>
        <w:tblLook w:firstColumn="1" w:firstRow="1" w:lastColumn="0" w:lastRow="0" w:noHBand="0" w:noVBand="1" w:val="04A0"/>
      </w:tblPr>
      <w:tblGrid>
        <w:gridCol w:w="3120"/>
        <w:gridCol w:w="3120"/>
        <w:gridCol w:w="3120"/>
      </w:tblGrid>
      <w:tr>
        <w:tc>
          <w:tcPr>
            <w:tcW w:type="dxa" w:w="3024"/>
          </w:tcPr>
          <w:p>
            <w:r>
              <w:rPr>
                <w:b/>
              </w:rPr>
              <w:t>Partner</w:t>
            </w:r>
          </w:p>
        </w:tc>
        <w:tc>
          <w:tcPr>
            <w:tcW w:type="dxa" w:w="4176"/>
          </w:tcPr>
          <w:p>
            <w:r>
              <w:rPr>
                <w:b/>
              </w:rPr>
              <w:t>Role in this program</w:t>
            </w:r>
          </w:p>
        </w:tc>
        <w:tc>
          <w:tcPr>
            <w:tcW w:type="dxa" w:w="2160"/>
          </w:tcPr>
          <w:p>
            <w:r>
              <w:rPr>
                <w:b/>
              </w:rPr>
              <w:t>Documentation attached</w:t>
            </w:r>
          </w:p>
        </w:tc>
      </w:tr>
      <w:tr>
        <w:tc>
          <w:tcPr>
            <w:tcW w:type="dxa" w:w="3024"/>
          </w:tcPr>
          <w:p>
            <w:r>
              <w:t>Example Area School District</w:t>
            </w:r>
          </w:p>
        </w:tc>
        <w:tc>
          <w:tcPr>
            <w:tcW w:type="dxa" w:w="4176"/>
          </w:tcPr>
          <w:p>
            <w:r>
              <w:t>Family track referrals, early literacy staff at sessions 7 and 8</w:t>
            </w:r>
          </w:p>
        </w:tc>
        <w:tc>
          <w:tcPr>
            <w:tcW w:type="dxa" w:w="2160"/>
          </w:tcPr>
          <w:p>
            <w:r>
              <w:t>Memorandum of understanding</w:t>
            </w:r>
          </w:p>
        </w:tc>
      </w:tr>
      <w:tr>
        <w:tc>
          <w:tcPr>
            <w:tcW w:type="dxa" w:w="3024"/>
          </w:tcPr>
          <w:p>
            <w:r>
              <w:t>County workforce office</w:t>
            </w:r>
          </w:p>
        </w:tc>
        <w:tc>
          <w:tcPr>
            <w:tcW w:type="dxa" w:w="4176"/>
          </w:tcPr>
          <w:p>
            <w:r>
              <w:t>Adult learner referrals and transition support</w:t>
            </w:r>
          </w:p>
        </w:tc>
        <w:tc>
          <w:tcPr>
            <w:tcW w:type="dxa" w:w="2160"/>
          </w:tcPr>
          <w:p>
            <w:r>
              <w:t>Letter of support</w:t>
            </w:r>
          </w:p>
        </w:tc>
      </w:tr>
      <w:tr>
        <w:tc>
          <w:tcPr>
            <w:tcW w:type="dxa" w:w="3024"/>
          </w:tcPr>
          <w:p>
            <w:r>
              <w:t>Community college adult education program</w:t>
            </w:r>
          </w:p>
        </w:tc>
        <w:tc>
          <w:tcPr>
            <w:tcW w:type="dxa" w:w="4176"/>
          </w:tcPr>
          <w:p>
            <w:r>
              <w:t>Transition pathway for learners exiting the program</w:t>
            </w:r>
          </w:p>
        </w:tc>
        <w:tc>
          <w:tcPr>
            <w:tcW w:type="dxa" w:w="2160"/>
          </w:tcPr>
          <w:p>
            <w:r>
              <w:t>Letter of support</w:t>
            </w:r>
          </w:p>
        </w:tc>
      </w:tr>
      <w:tr>
        <w:tc>
          <w:tcPr>
            <w:tcW w:type="dxa" w:w="3024"/>
          </w:tcPr>
          <w:p>
            <w:r>
              <w:t>Two immigrant-serving community organizations</w:t>
            </w:r>
          </w:p>
        </w:tc>
        <w:tc>
          <w:tcPr>
            <w:tcW w:type="dxa" w:w="4176"/>
          </w:tcPr>
          <w:p>
            <w:r>
              <w:t>Recruitment, interpretation, trust</w:t>
            </w:r>
          </w:p>
        </w:tc>
        <w:tc>
          <w:tcPr>
            <w:tcW w:type="dxa" w:w="2160"/>
          </w:tcPr>
          <w:p>
            <w:r>
              <w:t>Letters of support</w:t>
            </w:r>
          </w:p>
        </w:tc>
      </w:tr>
      <w:tr>
        <w:tc>
          <w:tcPr>
            <w:tcW w:type="dxa" w:w="3024"/>
          </w:tcPr>
          <w:p>
            <w:r>
              <w:t>Friends of the Example County Library</w:t>
            </w:r>
          </w:p>
        </w:tc>
        <w:tc>
          <w:tcPr>
            <w:tcW w:type="dxa" w:w="4176"/>
          </w:tcPr>
          <w:p>
            <w:r>
              <w:t>Alternate applicant of record; materials funding</w:t>
            </w:r>
          </w:p>
        </w:tc>
        <w:tc>
          <w:tcPr>
            <w:tcW w:type="dxa" w:w="2160"/>
          </w:tcPr>
          <w:p>
            <w:r>
              <w:t>Board resolution and determination letter</w:t>
            </w:r>
          </w:p>
        </w:tc>
      </w:tr>
      <w:tr>
        <w:tc>
          <w:tcPr>
            <w:tcW w:type="dxa" w:w="3024"/>
          </w:tcPr>
          <w:p>
            <w:r>
              <w:t>Retired teachers association</w:t>
            </w:r>
          </w:p>
        </w:tc>
        <w:tc>
          <w:tcPr>
            <w:tcW w:type="dxa" w:w="4176"/>
          </w:tcPr>
          <w:p>
            <w:r>
              <w:t>Volunteer tutor recruitment pipeline</w:t>
            </w:r>
          </w:p>
        </w:tc>
        <w:tc>
          <w:tcPr>
            <w:tcW w:type="dxa" w:w="2160"/>
          </w:tcPr>
          <w:p>
            <w:r>
              <w:t>Letter of support</w:t>
            </w:r>
          </w:p>
        </w:tc>
      </w:tr>
    </w:tbl>
    <w:p/>
    <w:p>
      <w:pPr>
        <w:pStyle w:val="Heading1"/>
      </w:pPr>
      <w:r>
        <w:t>Risks and Mitigation</w:t>
      </w:r>
    </w:p>
    <w:p>
      <w:r>
        <w:t>Naming risks is not an admission of weakness. A reviewer has seen programs fail in exactly these ways and is checking whether you have.</w:t>
      </w:r>
    </w:p>
    <w:tbl>
      <w:tblPr>
        <w:tblStyle w:val="LightGrid-Accent1"/>
        <w:tblW w:type="auto" w:w="0"/>
        <w:tblLook w:firstColumn="1" w:firstRow="1" w:lastColumn="0" w:lastRow="0" w:noHBand="0" w:noVBand="1" w:val="04A0"/>
      </w:tblPr>
      <w:tblGrid>
        <w:gridCol w:w="3120"/>
        <w:gridCol w:w="3120"/>
        <w:gridCol w:w="3120"/>
      </w:tblGrid>
      <w:tr>
        <w:tc>
          <w:tcPr>
            <w:tcW w:type="dxa" w:w="3024"/>
          </w:tcPr>
          <w:p>
            <w:r>
              <w:rPr>
                <w:b/>
              </w:rPr>
              <w:t>Risk</w:t>
            </w:r>
          </w:p>
        </w:tc>
        <w:tc>
          <w:tcPr>
            <w:tcW w:type="dxa" w:w="1440"/>
          </w:tcPr>
          <w:p>
            <w:r>
              <w:rPr>
                <w:b/>
              </w:rPr>
              <w:t>Likelihood</w:t>
            </w:r>
          </w:p>
        </w:tc>
        <w:tc>
          <w:tcPr>
            <w:tcW w:type="dxa" w:w="4896"/>
          </w:tcPr>
          <w:p>
            <w:r>
              <w:rPr>
                <w:b/>
              </w:rPr>
              <w:t>Mitigation</w:t>
            </w:r>
          </w:p>
        </w:tc>
      </w:tr>
      <w:tr>
        <w:tc>
          <w:tcPr>
            <w:tcW w:type="dxa" w:w="3024"/>
          </w:tcPr>
          <w:p>
            <w:r>
              <w:t>Coordinator hiring takes longer than one month</w:t>
            </w:r>
          </w:p>
        </w:tc>
        <w:tc>
          <w:tcPr>
            <w:tcW w:type="dxa" w:w="1440"/>
          </w:tcPr>
          <w:p>
            <w:r>
              <w:t>Moderate</w:t>
            </w:r>
          </w:p>
        </w:tc>
        <w:tc>
          <w:tcPr>
            <w:tcW w:type="dxa" w:w="4896"/>
          </w:tcPr>
          <w:p>
            <w:r>
              <w:t>Post before the award date, use an existing county job classification, and shift the first cohort by four weeks rather than reducing hours per learner</w:t>
            </w:r>
          </w:p>
        </w:tc>
      </w:tr>
      <w:tr>
        <w:tc>
          <w:tcPr>
            <w:tcW w:type="dxa" w:w="3024"/>
          </w:tcPr>
          <w:p>
            <w:r>
              <w:t>Volunteer tutor attrition drops active pairs below 30</w:t>
            </w:r>
          </w:p>
        </w:tc>
        <w:tc>
          <w:tcPr>
            <w:tcW w:type="dxa" w:w="1440"/>
          </w:tcPr>
          <w:p>
            <w:r>
              <w:t>Moderate</w:t>
            </w:r>
          </w:p>
        </w:tc>
        <w:tc>
          <w:tcPr>
            <w:tcW w:type="dxa" w:w="4896"/>
          </w:tcPr>
          <w:p>
            <w:r>
              <w:t>Train 40 to sustain 30, run a second cohort in month 7, maintain a substitute list, monthly tutor meetings</w:t>
            </w:r>
          </w:p>
        </w:tc>
      </w:tr>
      <w:tr>
        <w:tc>
          <w:tcPr>
            <w:tcW w:type="dxa" w:w="3024"/>
          </w:tcPr>
          <w:p>
            <w:r>
              <w:t>Learner persistence falls below the 70 percent target</w:t>
            </w:r>
          </w:p>
        </w:tc>
        <w:tc>
          <w:tcPr>
            <w:tcW w:type="dxa" w:w="1440"/>
          </w:tcPr>
          <w:p>
            <w:r>
              <w:t>Moderate</w:t>
            </w:r>
          </w:p>
        </w:tc>
        <w:tc>
          <w:tcPr>
            <w:tcW w:type="dxa" w:w="4896"/>
          </w:tcPr>
          <w:p>
            <w:r>
              <w:t>Weekly log review, contact after two missed sessions, address transportation and childcare barriers at intake rather than at exit</w:t>
            </w:r>
          </w:p>
        </w:tc>
      </w:tr>
      <w:tr>
        <w:tc>
          <w:tcPr>
            <w:tcW w:type="dxa" w:w="3024"/>
          </w:tcPr>
          <w:p>
            <w:r>
              <w:t>Post-test completion is low, leaving gains unmeasurable</w:t>
            </w:r>
          </w:p>
        </w:tc>
        <w:tc>
          <w:tcPr>
            <w:tcW w:type="dxa" w:w="1440"/>
          </w:tcPr>
          <w:p>
            <w:r>
              <w:t>Moderate</w:t>
            </w:r>
          </w:p>
        </w:tc>
        <w:tc>
          <w:tcPr>
            <w:tcW w:type="dxa" w:w="4896"/>
          </w:tcPr>
          <w:p>
            <w:r>
              <w:t>Schedule the post-test at the 40-hour mark rather than at year end, and report the number without a post-test alongside the gain figure</w:t>
            </w:r>
          </w:p>
        </w:tc>
      </w:tr>
      <w:tr>
        <w:tc>
          <w:tcPr>
            <w:tcW w:type="dxa" w:w="3024"/>
          </w:tcPr>
          <w:p>
            <w:r>
              <w:t>Family cohorts under-enroll in rural townships</w:t>
            </w:r>
          </w:p>
        </w:tc>
        <w:tc>
          <w:tcPr>
            <w:tcW w:type="dxa" w:w="1440"/>
          </w:tcPr>
          <w:p>
            <w:r>
              <w:t>Lower</w:t>
            </w:r>
          </w:p>
        </w:tc>
        <w:tc>
          <w:tcPr>
            <w:tcW w:type="dxa" w:w="4896"/>
          </w:tcPr>
          <w:p>
            <w:r>
              <w:t>Recruit through storytime and district pre-kindergarten screening, and hold two cohorts at the North Township Branch</w:t>
            </w:r>
          </w:p>
        </w:tc>
      </w:tr>
      <w:tr>
        <w:tc>
          <w:tcPr>
            <w:tcW w:type="dxa" w:w="3024"/>
          </w:tcPr>
          <w:p>
            <w:r>
              <w:t>Childcare staffing or clearance delays</w:t>
            </w:r>
          </w:p>
        </w:tc>
        <w:tc>
          <w:tcPr>
            <w:tcW w:type="dxa" w:w="1440"/>
          </w:tcPr>
          <w:p>
            <w:r>
              <w:t>Lower</w:t>
            </w:r>
          </w:p>
        </w:tc>
        <w:tc>
          <w:tcPr>
            <w:tcW w:type="dxa" w:w="4896"/>
          </w:tcPr>
          <w:p>
            <w:r>
              <w:t>Contract with an established provider holding current clearances; budget line is sized to a contracted rate</w:t>
            </w:r>
          </w:p>
        </w:tc>
      </w:tr>
      <w:tr>
        <w:tc>
          <w:tcPr>
            <w:tcW w:type="dxa" w:w="3024"/>
          </w:tcPr>
          <w:p>
            <w:r>
              <w:t>Assessment instrument changes at the state level</w:t>
            </w:r>
          </w:p>
        </w:tc>
        <w:tc>
          <w:tcPr>
            <w:tcW w:type="dxa" w:w="1440"/>
          </w:tcPr>
          <w:p>
            <w:r>
              <w:t>Lower</w:t>
            </w:r>
          </w:p>
        </w:tc>
        <w:tc>
          <w:tcPr>
            <w:tcW w:type="dxa" w:w="4896"/>
          </w:tcPr>
          <w:p>
            <w:r>
              <w:t>Confirm the approved list before purchase and re-baseline mid-year if required, reporting both instruments</w:t>
            </w:r>
          </w:p>
        </w:tc>
      </w:tr>
      <w:tr>
        <w:tc>
          <w:tcPr>
            <w:tcW w:type="dxa" w:w="3024"/>
          </w:tcPr>
          <w:p>
            <w:r>
              <w:t>Local appropriation is reduced during the grant year</w:t>
            </w:r>
          </w:p>
        </w:tc>
        <w:tc>
          <w:tcPr>
            <w:tcW w:type="dxa" w:w="1440"/>
          </w:tcPr>
          <w:p>
            <w:r>
              <w:t>Lower</w:t>
            </w:r>
          </w:p>
        </w:tc>
        <w:tc>
          <w:tcPr>
            <w:tcW w:type="dxa" w:w="4896"/>
          </w:tcPr>
          <w:p>
            <w:r>
              <w:t>Notify the funder within 30 days, and confirm in writing that grant-funded service hours continue at the promised level</w:t>
            </w:r>
          </w:p>
        </w:tc>
      </w:tr>
    </w:tbl>
    <w:p/>
    <w:p>
      <w:pPr>
        <w:pStyle w:val="Heading1"/>
      </w:pPr>
      <w:r>
        <w:t>Answering the Four Objections Library Literacy Funders Raise</w:t>
      </w:r>
    </w:p>
    <w:p>
      <w:r>
        <w:t>Four objections recur across library literacy reviews: the existing tax base, supplanting, weak learning evidence, and year-two survival. Answer all four inside the proposal, before the site visit, in language you would be comfortable saying out loud.</w:t>
      </w:r>
    </w:p>
    <w:p>
      <w:pPr>
        <w:pStyle w:val="Heading2"/>
      </w:pPr>
      <w:r>
        <w:t>The library already has a tax base</w:t>
      </w:r>
    </w:p>
    <w:p>
      <w:r>
        <w:t>Name what the appropriation covers and what it does not. Operating funds pay for the collection, the buildings, existing staffing, and utilities. In this district they have never stretched to a dedicated literacy coordinator or to evening childcare, and the reason is structural rather than temporary: a millage sized to keep two buildings open six days a week does not accumulate a surplus large enough to add a position. The request is for the capacity the appropriation cannot reach, and the appropriation is doing its own job in the meantime.</w:t>
      </w:r>
    </w:p>
    <w:p>
      <w:pPr>
        <w:pStyle w:val="Heading2"/>
      </w:pPr>
      <w:r>
        <w:t>Is this replacing money the county should be paying?</w:t>
      </w:r>
    </w:p>
    <w:p>
      <w:r>
        <w:t>State that local appropriation continues at its current level and that the grant funds new service hours. Attach the adopted budget page. Offer the funder a written notification commitment: if the appropriation is reduced during the grant year, we will notify you within 30 days and confirm that grant-funded service hours continue as promised. That offer costs nothing and settles the question.</w:t>
      </w:r>
    </w:p>
    <w:p>
      <w:pPr>
        <w:pStyle w:val="Heading2"/>
      </w:pPr>
      <w:r>
        <w:t>How do you know anyone actually learned to read better?</w:t>
      </w:r>
    </w:p>
    <w:p>
      <w:r>
        <w:t>Name the assessment, who administers it, and the interval. A proposal that reports only headcount and attendance invites this objection, because attendance is not learning. This program pre-tests within two weeks of intake, post-tests at 40 instructional hours using a parallel form, calculates gain only for learners with both scores, and reports the number of learners without a post-test alongside the gain. That last detail is what separates measurement from marketing.</w:t>
      </w:r>
    </w:p>
    <w:p>
      <w:pPr>
        <w:pStyle w:val="Heading2"/>
      </w:pPr>
      <w:r>
        <w:t>What happens in year two?</w:t>
      </w:r>
    </w:p>
    <w:p>
      <w:r>
        <w:t>Show the absorption path with names and dates rather than intentions. The trustees have committed to bringing a budget proposal that includes the coordinator position at [share] of its cost, contingent on the persistence and gain targets. The Friends board has designated book sale proceeds to the materials line. The tutor training curriculum stays with the library and is delivered thereafter by trained volunteer leads. And the 194 items this grant buys stay in circulation regardless of what any future budget does.</w:t>
      </w:r>
    </w:p>
    <w:p>
      <w:pPr>
        <w:pStyle w:val="Heading1"/>
      </w:pPr>
      <w:r>
        <w:t>Attachments</w:t>
      </w:r>
    </w:p>
    <w:p>
      <w:r>
        <w:t>The applicant structure decides the attachment list. Assemble these early. Chasing a signed board resolution in the final week is how library applications miss deadlines that had nothing to do with the writing.</w:t>
      </w:r>
    </w:p>
    <w:tbl>
      <w:tblPr>
        <w:tblStyle w:val="LightGrid-Accent1"/>
        <w:tblW w:type="auto" w:w="0"/>
        <w:tblLook w:firstColumn="1" w:firstRow="1" w:lastColumn="0" w:lastRow="0" w:noHBand="0" w:noVBand="1" w:val="04A0"/>
      </w:tblPr>
      <w:tblGrid>
        <w:gridCol w:w="3120"/>
        <w:gridCol w:w="3120"/>
        <w:gridCol w:w="3120"/>
      </w:tblGrid>
      <w:tr>
        <w:tc>
          <w:tcPr>
            <w:tcW w:type="dxa" w:w="2880"/>
          </w:tcPr>
          <w:p>
            <w:r>
              <w:rPr>
                <w:b/>
              </w:rPr>
              <w:t>Document</w:t>
            </w:r>
          </w:p>
        </w:tc>
        <w:tc>
          <w:tcPr>
            <w:tcW w:type="dxa" w:w="3312"/>
          </w:tcPr>
          <w:p>
            <w:r>
              <w:rPr>
                <w:b/>
              </w:rPr>
              <w:t>If the library district applies</w:t>
            </w:r>
          </w:p>
        </w:tc>
        <w:tc>
          <w:tcPr>
            <w:tcW w:type="dxa" w:w="3168"/>
          </w:tcPr>
          <w:p>
            <w:r>
              <w:rPr>
                <w:b/>
              </w:rPr>
              <w:t>If the Friends corporation applies</w:t>
            </w:r>
          </w:p>
        </w:tc>
      </w:tr>
      <w:tr>
        <w:tc>
          <w:tcPr>
            <w:tcW w:type="dxa" w:w="2880"/>
          </w:tcPr>
          <w:p>
            <w:r>
              <w:t>IRS determination letter</w:t>
            </w:r>
          </w:p>
        </w:tc>
        <w:tc>
          <w:tcPr>
            <w:tcW w:type="dxa" w:w="3312"/>
          </w:tcPr>
          <w:p>
            <w:r>
              <w:t>Not applicable; supply a governmental status letter if requested</w:t>
            </w:r>
          </w:p>
        </w:tc>
        <w:tc>
          <w:tcPr>
            <w:tcW w:type="dxa" w:w="3168"/>
          </w:tcPr>
          <w:p>
            <w:r>
              <w:t>Required</w:t>
            </w:r>
          </w:p>
        </w:tc>
      </w:tr>
      <w:tr>
        <w:tc>
          <w:tcPr>
            <w:tcW w:type="dxa" w:w="2880"/>
          </w:tcPr>
          <w:p>
            <w:r>
              <w:t>Most recent Form 990</w:t>
            </w:r>
          </w:p>
        </w:tc>
        <w:tc>
          <w:tcPr>
            <w:tcW w:type="dxa" w:w="3312"/>
          </w:tcPr>
          <w:p>
            <w:r>
              <w:t>Not applicable</w:t>
            </w:r>
          </w:p>
        </w:tc>
        <w:tc>
          <w:tcPr>
            <w:tcW w:type="dxa" w:w="3168"/>
          </w:tcPr>
          <w:p>
            <w:r>
              <w:t>Required</w:t>
            </w:r>
          </w:p>
        </w:tc>
      </w:tr>
      <w:tr>
        <w:tc>
          <w:tcPr>
            <w:tcW w:type="dxa" w:w="2880"/>
          </w:tcPr>
          <w:p>
            <w:r>
              <w:t>Audited financial statements</w:t>
            </w:r>
          </w:p>
        </w:tc>
        <w:tc>
          <w:tcPr>
            <w:tcW w:type="dxa" w:w="3312"/>
          </w:tcPr>
          <w:p>
            <w:r>
              <w:t>District audit, most recent year</w:t>
            </w:r>
          </w:p>
        </w:tc>
        <w:tc>
          <w:tcPr>
            <w:tcW w:type="dxa" w:w="3168"/>
          </w:tcPr>
          <w:p>
            <w:r>
              <w:t>Friends financial statements or review</w:t>
            </w:r>
          </w:p>
        </w:tc>
      </w:tr>
      <w:tr>
        <w:tc>
          <w:tcPr>
            <w:tcW w:type="dxa" w:w="2880"/>
          </w:tcPr>
          <w:p>
            <w:r>
              <w:t>Adopted annual budget</w:t>
            </w:r>
          </w:p>
        </w:tc>
        <w:tc>
          <w:tcPr>
            <w:tcW w:type="dxa" w:w="3312"/>
          </w:tcPr>
          <w:p>
            <w:r>
              <w:t>District budget with the appropriation line visible</w:t>
            </w:r>
          </w:p>
        </w:tc>
        <w:tc>
          <w:tcPr>
            <w:tcW w:type="dxa" w:w="3168"/>
          </w:tcPr>
          <w:p>
            <w:r>
              <w:t>Both entities' budgets</w:t>
            </w:r>
          </w:p>
        </w:tc>
      </w:tr>
      <w:tr>
        <w:tc>
          <w:tcPr>
            <w:tcW w:type="dxa" w:w="2880"/>
          </w:tcPr>
          <w:p>
            <w:r>
              <w:t>Governing body roster</w:t>
            </w:r>
          </w:p>
        </w:tc>
        <w:tc>
          <w:tcPr>
            <w:tcW w:type="dxa" w:w="3312"/>
          </w:tcPr>
          <w:p>
            <w:r>
              <w:t>Trustee roster with terms and appointing authority</w:t>
            </w:r>
          </w:p>
        </w:tc>
        <w:tc>
          <w:tcPr>
            <w:tcW w:type="dxa" w:w="3168"/>
          </w:tcPr>
          <w:p>
            <w:r>
              <w:t>Friends board roster plus trustee roster</w:t>
            </w:r>
          </w:p>
        </w:tc>
      </w:tr>
      <w:tr>
        <w:tc>
          <w:tcPr>
            <w:tcW w:type="dxa" w:w="2880"/>
          </w:tcPr>
          <w:p>
            <w:r>
              <w:t>Authorizing resolution</w:t>
            </w:r>
          </w:p>
        </w:tc>
        <w:tc>
          <w:tcPr>
            <w:tcW w:type="dxa" w:w="3312"/>
          </w:tcPr>
          <w:p>
            <w:r>
              <w:t>Trustee resolution dated [board resolution date]</w:t>
            </w:r>
          </w:p>
        </w:tc>
        <w:tc>
          <w:tcPr>
            <w:tcW w:type="dxa" w:w="3168"/>
          </w:tcPr>
          <w:p>
            <w:r>
              <w:t>Friends board resolution plus trustee concurrence</w:t>
            </w:r>
          </w:p>
        </w:tc>
      </w:tr>
      <w:tr>
        <w:tc>
          <w:tcPr>
            <w:tcW w:type="dxa" w:w="2880"/>
          </w:tcPr>
          <w:p>
            <w:r>
              <w:t>Memorandum between entities</w:t>
            </w:r>
          </w:p>
        </w:tc>
        <w:tc>
          <w:tcPr>
            <w:tcW w:type="dxa" w:w="3312"/>
          </w:tcPr>
          <w:p>
            <w:r>
              <w:t>Not required</w:t>
            </w:r>
          </w:p>
        </w:tc>
        <w:tc>
          <w:tcPr>
            <w:tcW w:type="dxa" w:w="3168"/>
          </w:tcPr>
          <w:p>
            <w:r>
              <w:t>Required: program delivery, records, reporting, funds handling</w:t>
            </w:r>
          </w:p>
        </w:tc>
      </w:tr>
      <w:tr>
        <w:tc>
          <w:tcPr>
            <w:tcW w:type="dxa" w:w="2880"/>
          </w:tcPr>
          <w:p>
            <w:r>
              <w:t>Partner letters and memoranda</w:t>
            </w:r>
          </w:p>
        </w:tc>
        <w:tc>
          <w:tcPr>
            <w:tcW w:type="dxa" w:w="3312"/>
          </w:tcPr>
          <w:p>
            <w:r>
              <w:t>School district, workforce office, community organizations</w:t>
            </w:r>
          </w:p>
        </w:tc>
        <w:tc>
          <w:tcPr>
            <w:tcW w:type="dxa" w:w="3168"/>
          </w:tcPr>
          <w:p>
            <w:r>
              <w:t>Same</w:t>
            </w:r>
          </w:p>
        </w:tc>
      </w:tr>
      <w:tr>
        <w:tc>
          <w:tcPr>
            <w:tcW w:type="dxa" w:w="2880"/>
          </w:tcPr>
          <w:p>
            <w:r>
              <w:t>Position description</w:t>
            </w:r>
          </w:p>
        </w:tc>
        <w:tc>
          <w:tcPr>
            <w:tcW w:type="dxa" w:w="3312"/>
          </w:tcPr>
          <w:p>
            <w:r>
              <w:t>Literacy coordinator</w:t>
            </w:r>
          </w:p>
        </w:tc>
        <w:tc>
          <w:tcPr>
            <w:tcW w:type="dxa" w:w="3168"/>
          </w:tcPr>
          <w:p>
            <w:r>
              <w:t>Same</w:t>
            </w:r>
          </w:p>
        </w:tc>
      </w:tr>
      <w:tr>
        <w:tc>
          <w:tcPr>
            <w:tcW w:type="dxa" w:w="2880"/>
          </w:tcPr>
          <w:p>
            <w:r>
              <w:t>Program budget and narrative</w:t>
            </w:r>
          </w:p>
        </w:tc>
        <w:tc>
          <w:tcPr>
            <w:tcW w:type="dxa" w:w="3312"/>
          </w:tcPr>
          <w:p>
            <w:r>
              <w:t>This document's budget section</w:t>
            </w:r>
          </w:p>
        </w:tc>
        <w:tc>
          <w:tcPr>
            <w:tcW w:type="dxa" w:w="3168"/>
          </w:tcPr>
          <w:p>
            <w:r>
              <w:t>Same</w:t>
            </w:r>
          </w:p>
        </w:tc>
      </w:tr>
      <w:tr>
        <w:tc>
          <w:tcPr>
            <w:tcW w:type="dxa" w:w="2880"/>
          </w:tcPr>
          <w:p>
            <w:r>
              <w:t>Assessment documentation</w:t>
            </w:r>
          </w:p>
        </w:tc>
        <w:tc>
          <w:tcPr>
            <w:tcW w:type="dxa" w:w="3312"/>
          </w:tcPr>
          <w:p>
            <w:r>
              <w:t>Instrument name and state approval status</w:t>
            </w:r>
          </w:p>
        </w:tc>
        <w:tc>
          <w:tcPr>
            <w:tcW w:type="dxa" w:w="3168"/>
          </w:tcPr>
          <w:p>
            <w:r>
              <w:t>Same</w:t>
            </w:r>
          </w:p>
        </w:tc>
      </w:tr>
      <w:tr>
        <w:tc>
          <w:tcPr>
            <w:tcW w:type="dxa" w:w="2880"/>
          </w:tcPr>
          <w:p>
            <w:r>
              <w:t>Data and privacy policy</w:t>
            </w:r>
          </w:p>
        </w:tc>
        <w:tc>
          <w:tcPr>
            <w:tcW w:type="dxa" w:w="3312"/>
          </w:tcPr>
          <w:p>
            <w:r>
              <w:t>Patron confidentiality policy under [State] law</w:t>
            </w:r>
          </w:p>
        </w:tc>
        <w:tc>
          <w:tcPr>
            <w:tcW w:type="dxa" w:w="3168"/>
          </w:tcPr>
          <w:p>
            <w:r>
              <w:t>Same, plus which entity holds records</w:t>
            </w:r>
          </w:p>
        </w:tc>
      </w:tr>
      <w:tr>
        <w:tc>
          <w:tcPr>
            <w:tcW w:type="dxa" w:w="2880"/>
          </w:tcPr>
          <w:p>
            <w:r>
              <w:t>Letters of support</w:t>
            </w:r>
          </w:p>
        </w:tc>
        <w:tc>
          <w:tcPr>
            <w:tcW w:type="dxa" w:w="3312"/>
          </w:tcPr>
          <w:p>
            <w:r>
              <w:t>Three to five, dated within the last year</w:t>
            </w:r>
          </w:p>
        </w:tc>
        <w:tc>
          <w:tcPr>
            <w:tcW w:type="dxa" w:w="3168"/>
          </w:tcPr>
          <w:p>
            <w:r>
              <w:t>Same</w:t>
            </w:r>
          </w:p>
        </w:tc>
      </w:tr>
      <w:tr>
        <w:tc>
          <w:tcPr>
            <w:tcW w:type="dxa" w:w="2880"/>
          </w:tcPr>
          <w:p>
            <w:r>
              <w:t>Photographs or program materials</w:t>
            </w:r>
          </w:p>
        </w:tc>
        <w:tc>
          <w:tcPr>
            <w:tcW w:type="dxa" w:w="3312"/>
          </w:tcPr>
          <w:p>
            <w:r>
              <w:t>Optional; storytime and tutoring, with releases on file</w:t>
            </w:r>
          </w:p>
        </w:tc>
        <w:tc>
          <w:tcPr>
            <w:tcW w:type="dxa" w:w="3168"/>
          </w:tcPr>
          <w:p>
            <w:r>
              <w:t>Same</w:t>
            </w:r>
          </w:p>
        </w:tc>
      </w:tr>
    </w:tbl>
    <w:p/>
    <w:p>
      <w:r>
        <w:t>A note on letters of support. Three specific letters beat eight generic ones. The strongest letter names what the writer will actually do: the school district's early literacy staff member will attend sessions seven and eight of every cohort, the workforce office will refer job seekers who screen below a reading threshold, the community college will accept exiting learners into its adult education intake without a second assessment. A letter that only admires you tells a reviewer nothing.</w:t>
      </w:r>
    </w:p>
    <w:p>
      <w:pPr>
        <w:pStyle w:val="Heading1"/>
      </w:pPr>
      <w:r>
        <w:t>Appendix A: Logic Model</w:t>
      </w:r>
    </w:p>
    <w:tbl>
      <w:tblPr>
        <w:tblStyle w:val="LightGrid-Accent1"/>
        <w:tblW w:type="auto" w:w="0"/>
        <w:tblLook w:firstColumn="1" w:firstRow="1" w:lastColumn="0" w:lastRow="0" w:noHBand="0" w:noVBand="1" w:val="04A0"/>
      </w:tblPr>
      <w:tblGrid>
        <w:gridCol w:w="1872"/>
        <w:gridCol w:w="1872"/>
        <w:gridCol w:w="1872"/>
        <w:gridCol w:w="1872"/>
        <w:gridCol w:w="1872"/>
      </w:tblGrid>
      <w:tr>
        <w:tc>
          <w:tcPr>
            <w:tcW w:type="dxa" w:w="1872"/>
          </w:tcPr>
          <w:p>
            <w:r>
              <w:rPr>
                <w:b/>
              </w:rPr>
              <w:t>Inputs</w:t>
            </w:r>
          </w:p>
        </w:tc>
        <w:tc>
          <w:tcPr>
            <w:tcW w:type="dxa" w:w="1872"/>
          </w:tcPr>
          <w:p>
            <w:r>
              <w:rPr>
                <w:b/>
              </w:rPr>
              <w:t>Activities</w:t>
            </w:r>
          </w:p>
        </w:tc>
        <w:tc>
          <w:tcPr>
            <w:tcW w:type="dxa" w:w="1872"/>
          </w:tcPr>
          <w:p>
            <w:r>
              <w:rPr>
                <w:b/>
              </w:rPr>
              <w:t>Outputs</w:t>
            </w:r>
          </w:p>
        </w:tc>
        <w:tc>
          <w:tcPr>
            <w:tcW w:type="dxa" w:w="1872"/>
          </w:tcPr>
          <w:p>
            <w:r>
              <w:rPr>
                <w:b/>
              </w:rPr>
              <w:t>Short-term outcomes</w:t>
            </w:r>
          </w:p>
        </w:tc>
        <w:tc>
          <w:tcPr>
            <w:tcW w:type="dxa" w:w="1872"/>
          </w:tcPr>
          <w:p>
            <w:r>
              <w:rPr>
                <w:b/>
              </w:rPr>
              <w:t>Longer-term outcomes</w:t>
            </w:r>
          </w:p>
        </w:tc>
      </w:tr>
      <w:tr>
        <w:tc>
          <w:tcPr>
            <w:tcW w:type="dxa" w:w="1872"/>
          </w:tcPr>
          <w:p>
            <w:r>
              <w:t>$38,000 grant; 20-hour coordinator; library space and collection; 40 volunteers; partner referrals</w:t>
            </w:r>
          </w:p>
        </w:tc>
        <w:tc>
          <w:tcPr>
            <w:tcW w:type="dxa" w:w="1872"/>
          </w:tcPr>
          <w:p>
            <w:r>
              <w:t>Intake and assessment; tutor training; one-to-one tutoring; family cohorts with childcare; outreach at rural sites</w:t>
            </w:r>
          </w:p>
        </w:tc>
        <w:tc>
          <w:tcPr>
            <w:tcW w:type="dxa" w:w="1872"/>
          </w:tcPr>
          <w:p>
            <w:r>
              <w:t>60 adults enrolled; 2,400 volunteer hours; 40 tutors trained; 45 families completing; 194 items cataloged</w:t>
            </w:r>
          </w:p>
        </w:tc>
        <w:tc>
          <w:tcPr>
            <w:tcW w:type="dxa" w:w="1872"/>
          </w:tcPr>
          <w:p>
            <w:r>
              <w:t>40 learners reach 40 hours; 70 percent persist at 12 weeks; 70 percent of caregivers read more at home</w:t>
            </w:r>
          </w:p>
        </w:tc>
        <w:tc>
          <w:tcPr>
            <w:tcW w:type="dxa" w:w="1872"/>
          </w:tcPr>
          <w:p>
            <w:r>
              <w:t>25 learners advance a level; 15 credential or workforce transitions; children enter kindergarten with home reading routines</w:t>
            </w:r>
          </w:p>
        </w:tc>
      </w:tr>
    </w:tbl>
    <w:p/>
    <w:p>
      <w:r>
        <w:t>Assumptions worth stating beneath a logic model: volunteers are available in this community and have been for eleven years; adults will attend a library when they will not attend a school building; and caregivers will come to evening sessions if childcare is provided. External factors outside program control include transportation, work schedule volatility, immigration-related fear affecting enrollment, and school district staffing changes.</w:t>
      </w:r>
    </w:p>
    <w:p>
      <w:pPr>
        <w:pStyle w:val="Heading1"/>
      </w:pPr>
      <w:r>
        <w:t>Appendix B: Data Sources for the Need Statement</w:t>
      </w:r>
    </w:p>
    <w:tbl>
      <w:tblPr>
        <w:tblStyle w:val="LightGrid-Accent1"/>
        <w:tblW w:type="auto" w:w="0"/>
        <w:tblLook w:firstColumn="1" w:firstRow="1" w:lastColumn="0" w:lastRow="0" w:noHBand="0" w:noVBand="1" w:val="04A0"/>
      </w:tblPr>
      <w:tblGrid>
        <w:gridCol w:w="2340"/>
        <w:gridCol w:w="2340"/>
        <w:gridCol w:w="2340"/>
        <w:gridCol w:w="2340"/>
      </w:tblGrid>
      <w:tr>
        <w:tc>
          <w:tcPr>
            <w:tcW w:type="dxa" w:w="2736"/>
          </w:tcPr>
          <w:p>
            <w:r>
              <w:rPr>
                <w:b/>
              </w:rPr>
              <w:t>Source</w:t>
            </w:r>
          </w:p>
        </w:tc>
        <w:tc>
          <w:tcPr>
            <w:tcW w:type="dxa" w:w="2880"/>
          </w:tcPr>
          <w:p>
            <w:r>
              <w:rPr>
                <w:b/>
              </w:rPr>
              <w:t>What it gives you</w:t>
            </w:r>
          </w:p>
        </w:tc>
        <w:tc>
          <w:tcPr>
            <w:tcW w:type="dxa" w:w="1728"/>
          </w:tcPr>
          <w:p>
            <w:r>
              <w:rPr>
                <w:b/>
              </w:rPr>
              <w:t>Geography</w:t>
            </w:r>
          </w:p>
        </w:tc>
        <w:tc>
          <w:tcPr>
            <w:tcW w:type="dxa" w:w="2736"/>
          </w:tcPr>
          <w:p>
            <w:r>
              <w:rPr>
                <w:b/>
              </w:rPr>
              <w:t>Notes</w:t>
            </w:r>
          </w:p>
        </w:tc>
      </w:tr>
      <w:tr>
        <w:tc>
          <w:tcPr>
            <w:tcW w:type="dxa" w:w="2736"/>
          </w:tcPr>
          <w:p>
            <w:r>
              <w:t>PIAAC Skills Map, National Center for Education Statistics</w:t>
            </w:r>
          </w:p>
        </w:tc>
        <w:tc>
          <w:tcPr>
            <w:tcW w:type="dxa" w:w="2880"/>
          </w:tcPr>
          <w:p>
            <w:r>
              <w:t>Estimated share of adults at or below Level 1 literacy, by age and education group</w:t>
            </w:r>
          </w:p>
        </w:tc>
        <w:tc>
          <w:tcPr>
            <w:tcW w:type="dxa" w:w="1728"/>
          </w:tcPr>
          <w:p>
            <w:r>
              <w:t>State and county</w:t>
            </w:r>
          </w:p>
        </w:tc>
        <w:tc>
          <w:tcPr>
            <w:tcW w:type="dxa" w:w="2736"/>
          </w:tcPr>
          <w:p>
            <w:r>
              <w:t>Model-based small area estimates; report the 95 percent credible interval with the figure</w:t>
            </w:r>
          </w:p>
        </w:tc>
      </w:tr>
      <w:tr>
        <w:tc>
          <w:tcPr>
            <w:tcW w:type="dxa" w:w="2736"/>
          </w:tcPr>
          <w:p>
            <w:r>
              <w:t>American Community Survey, educational attainment</w:t>
            </w:r>
          </w:p>
        </w:tc>
        <w:tc>
          <w:tcPr>
            <w:tcW w:type="dxa" w:w="2880"/>
          </w:tcPr>
          <w:p>
            <w:r>
              <w:t>Share of adults 25 and over by highest level completed</w:t>
            </w:r>
          </w:p>
        </w:tc>
        <w:tc>
          <w:tcPr>
            <w:tcW w:type="dxa" w:w="1728"/>
          </w:tcPr>
          <w:p>
            <w:r>
              <w:t>County, place, tract</w:t>
            </w:r>
          </w:p>
        </w:tc>
        <w:tc>
          <w:tcPr>
            <w:tcW w:type="dxa" w:w="2736"/>
          </w:tcPr>
          <w:p>
            <w:r>
              <w:t>Use five-year estimates for small geographies</w:t>
            </w:r>
          </w:p>
        </w:tc>
      </w:tr>
      <w:tr>
        <w:tc>
          <w:tcPr>
            <w:tcW w:type="dxa" w:w="2736"/>
          </w:tcPr>
          <w:p>
            <w:r>
              <w:t>American Community Survey, language spoken at home</w:t>
            </w:r>
          </w:p>
        </w:tc>
        <w:tc>
          <w:tcPr>
            <w:tcW w:type="dxa" w:w="2880"/>
          </w:tcPr>
          <w:p>
            <w:r>
              <w:t>Households speaking a language other than English, and English proficiency</w:t>
            </w:r>
          </w:p>
        </w:tc>
        <w:tc>
          <w:tcPr>
            <w:tcW w:type="dxa" w:w="1728"/>
          </w:tcPr>
          <w:p>
            <w:r>
              <w:t>County, place, tract</w:t>
            </w:r>
          </w:p>
        </w:tc>
        <w:tc>
          <w:tcPr>
            <w:tcW w:type="dxa" w:w="2736"/>
          </w:tcPr>
          <w:p>
            <w:r>
              <w:t>Supports the interpretation and bilingual materials lines</w:t>
            </w:r>
          </w:p>
        </w:tc>
      </w:tr>
      <w:tr>
        <w:tc>
          <w:tcPr>
            <w:tcW w:type="dxa" w:w="2736"/>
          </w:tcPr>
          <w:p>
            <w:r>
              <w:t>State education agency report card</w:t>
            </w:r>
          </w:p>
        </w:tc>
        <w:tc>
          <w:tcPr>
            <w:tcW w:type="dxa" w:w="2880"/>
          </w:tcPr>
          <w:p>
            <w:r>
              <w:t>District and school reading proficiency by grade</w:t>
            </w:r>
          </w:p>
        </w:tc>
        <w:tc>
          <w:tcPr>
            <w:tcW w:type="dxa" w:w="1728"/>
          </w:tcPr>
          <w:p>
            <w:r>
              <w:t>District and school</w:t>
            </w:r>
          </w:p>
        </w:tc>
        <w:tc>
          <w:tcPr>
            <w:tcW w:type="dxa" w:w="2736"/>
          </w:tcPr>
          <w:p>
            <w:r>
              <w:t>Third grade is the conventional checkpoint for family literacy requests</w:t>
            </w:r>
          </w:p>
        </w:tc>
      </w:tr>
      <w:tr>
        <w:tc>
          <w:tcPr>
            <w:tcW w:type="dxa" w:w="2736"/>
          </w:tcPr>
          <w:p>
            <w:r>
              <w:t>National Reporting System framework, 34 CFR Part 462</w:t>
            </w:r>
          </w:p>
        </w:tc>
        <w:tc>
          <w:tcPr>
            <w:tcW w:type="dxa" w:w="2880"/>
          </w:tcPr>
          <w:p>
            <w:r>
              <w:t>Definitions of educational functioning levels and approved assessments</w:t>
            </w:r>
          </w:p>
        </w:tc>
        <w:tc>
          <w:tcPr>
            <w:tcW w:type="dxa" w:w="1728"/>
          </w:tcPr>
          <w:p>
            <w:r>
              <w:t>National</w:t>
            </w:r>
          </w:p>
        </w:tc>
        <w:tc>
          <w:tcPr>
            <w:tcW w:type="dxa" w:w="2736"/>
          </w:tcPr>
          <w:p>
            <w:r>
              <w:t>Confirm your state's approved instrument list before naming one</w:t>
            </w:r>
          </w:p>
        </w:tc>
      </w:tr>
      <w:tr>
        <w:tc>
          <w:tcPr>
            <w:tcW w:type="dxa" w:w="2736"/>
          </w:tcPr>
          <w:p>
            <w:r>
              <w:t>Outcome Measurement for Public Libraries, Public Library Association</w:t>
            </w:r>
          </w:p>
        </w:tc>
        <w:tc>
          <w:tcPr>
            <w:tcW w:type="dxa" w:w="2880"/>
          </w:tcPr>
          <w:p>
            <w:r>
              <w:t>Nine standardized library outcome surveys, free to download</w:t>
            </w:r>
          </w:p>
        </w:tc>
        <w:tc>
          <w:tcPr>
            <w:tcW w:type="dxa" w:w="1728"/>
          </w:tcPr>
          <w:p>
            <w:r>
              <w:t>National instruments</w:t>
            </w:r>
          </w:p>
        </w:tc>
        <w:tc>
          <w:tcPr>
            <w:tcW w:type="dxa" w:w="2736"/>
          </w:tcPr>
          <w:p>
            <w:r>
              <w:t>Early literacy and summer reading instruments are worth naming by title</w:t>
            </w:r>
          </w:p>
        </w:tc>
      </w:tr>
      <w:tr>
        <w:tc>
          <w:tcPr>
            <w:tcW w:type="dxa" w:w="2736"/>
          </w:tcPr>
          <w:p>
            <w:r>
              <w:t>IMLS Public Libraries Survey</w:t>
            </w:r>
          </w:p>
        </w:tc>
        <w:tc>
          <w:tcPr>
            <w:tcW w:type="dxa" w:w="2880"/>
          </w:tcPr>
          <w:p>
            <w:r>
              <w:t>Comparative data on library service, staffing, and program attendance</w:t>
            </w:r>
          </w:p>
        </w:tc>
        <w:tc>
          <w:tcPr>
            <w:tcW w:type="dxa" w:w="1728"/>
          </w:tcPr>
          <w:p>
            <w:r>
              <w:t>Library and state</w:t>
            </w:r>
          </w:p>
        </w:tc>
        <w:tc>
          <w:tcPr>
            <w:tcW w:type="dxa" w:w="2736"/>
          </w:tcPr>
          <w:p>
            <w:r>
              <w:t>Useful for peer comparison, not for need on its own</w:t>
            </w:r>
          </w:p>
        </w:tc>
      </w:tr>
      <w:tr>
        <w:tc>
          <w:tcPr>
            <w:tcW w:type="dxa" w:w="2736"/>
          </w:tcPr>
          <w:p>
            <w:r>
              <w:t>Your own program records</w:t>
            </w:r>
          </w:p>
        </w:tc>
        <w:tc>
          <w:tcPr>
            <w:tcW w:type="dxa" w:w="2880"/>
          </w:tcPr>
          <w:p>
            <w:r>
              <w:t>Waiting list, referrals unserved, turned-away families, circulation of ABE materials</w:t>
            </w:r>
          </w:p>
        </w:tc>
        <w:tc>
          <w:tcPr>
            <w:tcW w:type="dxa" w:w="1728"/>
          </w:tcPr>
          <w:p>
            <w:r>
              <w:t>Your service area</w:t>
            </w:r>
          </w:p>
        </w:tc>
        <w:tc>
          <w:tcPr>
            <w:tcW w:type="dxa" w:w="2736"/>
          </w:tcPr>
          <w:p>
            <w:r>
              <w:t>The only evidence no other applicant can produce</w:t>
            </w:r>
          </w:p>
        </w:tc>
      </w:tr>
    </w:tbl>
    <w:p/>
    <w:p>
      <w:r>
        <w:t>One discipline rule for this section. Every figure you use should be traceable to a source a reviewer can open, and every figure should be dated. A need statement built on a statistic whose year nobody can name is a need statement a skeptical reviewer will discount entirely.</w:t>
      </w:r>
    </w:p>
    <w:p>
      <w:pPr>
        <w:pStyle w:val="Heading1"/>
      </w:pPr>
      <w:r>
        <w:t>Appendix C: Learner Record Fields</w:t>
      </w:r>
    </w:p>
    <w:p>
      <w:r>
        <w:t>Build the record before the first learner walks in. Retrofitting a data system onto a running program is how outcome reporting fails in month eleven. These are the minimum fields; adapt to your state's requirements if you report to a state agency.</w:t>
      </w:r>
    </w:p>
    <w:tbl>
      <w:tblPr>
        <w:tblStyle w:val="LightGrid-Accent1"/>
        <w:tblW w:type="auto" w:w="0"/>
        <w:tblLook w:firstColumn="1" w:firstRow="1" w:lastColumn="0" w:lastRow="0" w:noHBand="0" w:noVBand="1" w:val="04A0"/>
      </w:tblPr>
      <w:tblGrid>
        <w:gridCol w:w="3120"/>
        <w:gridCol w:w="3120"/>
        <w:gridCol w:w="3120"/>
      </w:tblGrid>
      <w:tr>
        <w:tc>
          <w:tcPr>
            <w:tcW w:type="dxa" w:w="2880"/>
          </w:tcPr>
          <w:p>
            <w:r>
              <w:rPr>
                <w:b/>
              </w:rPr>
              <w:t>Field</w:t>
            </w:r>
          </w:p>
        </w:tc>
        <w:tc>
          <w:tcPr>
            <w:tcW w:type="dxa" w:w="2160"/>
          </w:tcPr>
          <w:p>
            <w:r>
              <w:rPr>
                <w:b/>
              </w:rPr>
              <w:t>Type</w:t>
            </w:r>
          </w:p>
        </w:tc>
        <w:tc>
          <w:tcPr>
            <w:tcW w:type="dxa" w:w="4320"/>
          </w:tcPr>
          <w:p>
            <w:r>
              <w:rPr>
                <w:b/>
              </w:rPr>
              <w:t>Why it exists</w:t>
            </w:r>
          </w:p>
        </w:tc>
      </w:tr>
      <w:tr>
        <w:tc>
          <w:tcPr>
            <w:tcW w:type="dxa" w:w="2880"/>
          </w:tcPr>
          <w:p>
            <w:r>
              <w:t>Learner ID</w:t>
            </w:r>
          </w:p>
        </w:tc>
        <w:tc>
          <w:tcPr>
            <w:tcW w:type="dxa" w:w="2160"/>
          </w:tcPr>
          <w:p>
            <w:r>
              <w:t>Assigned code</w:t>
            </w:r>
          </w:p>
        </w:tc>
        <w:tc>
          <w:tcPr>
            <w:tcW w:type="dxa" w:w="4320"/>
          </w:tcPr>
          <w:p>
            <w:r>
              <w:t>Keeps names out of reports and spreadsheets shared internally</w:t>
            </w:r>
          </w:p>
        </w:tc>
      </w:tr>
      <w:tr>
        <w:tc>
          <w:tcPr>
            <w:tcW w:type="dxa" w:w="2880"/>
          </w:tcPr>
          <w:p>
            <w:r>
              <w:t>Intake date</w:t>
            </w:r>
          </w:p>
        </w:tc>
        <w:tc>
          <w:tcPr>
            <w:tcW w:type="dxa" w:w="2160"/>
          </w:tcPr>
          <w:p>
            <w:r>
              <w:t>Date</w:t>
            </w:r>
          </w:p>
        </w:tc>
        <w:tc>
          <w:tcPr>
            <w:tcW w:type="dxa" w:w="4320"/>
          </w:tcPr>
          <w:p>
            <w:r>
              <w:t>Start of the enrollment clock</w:t>
            </w:r>
          </w:p>
        </w:tc>
      </w:tr>
      <w:tr>
        <w:tc>
          <w:tcPr>
            <w:tcW w:type="dxa" w:w="2880"/>
          </w:tcPr>
          <w:p>
            <w:r>
              <w:t>Referral source</w:t>
            </w:r>
          </w:p>
        </w:tc>
        <w:tc>
          <w:tcPr>
            <w:tcW w:type="dxa" w:w="2160"/>
          </w:tcPr>
          <w:p>
            <w:r>
              <w:t>Category</w:t>
            </w:r>
          </w:p>
        </w:tc>
        <w:tc>
          <w:tcPr>
            <w:tcW w:type="dxa" w:w="4320"/>
          </w:tcPr>
          <w:p>
            <w:r>
              <w:t>Shows which recruitment channels actually work</w:t>
            </w:r>
          </w:p>
        </w:tc>
      </w:tr>
      <w:tr>
        <w:tc>
          <w:tcPr>
            <w:tcW w:type="dxa" w:w="2880"/>
          </w:tcPr>
          <w:p>
            <w:r>
              <w:t>Language preference</w:t>
            </w:r>
          </w:p>
        </w:tc>
        <w:tc>
          <w:tcPr>
            <w:tcW w:type="dxa" w:w="2160"/>
          </w:tcPr>
          <w:p>
            <w:r>
              <w:t>Text</w:t>
            </w:r>
          </w:p>
        </w:tc>
        <w:tc>
          <w:tcPr>
            <w:tcW w:type="dxa" w:w="4320"/>
          </w:tcPr>
          <w:p>
            <w:r>
              <w:t>Drives interpretation and materials</w:t>
            </w:r>
          </w:p>
        </w:tc>
      </w:tr>
      <w:tr>
        <w:tc>
          <w:tcPr>
            <w:tcW w:type="dxa" w:w="2880"/>
          </w:tcPr>
          <w:p>
            <w:r>
              <w:t>Baseline assessment date and level</w:t>
            </w:r>
          </w:p>
        </w:tc>
        <w:tc>
          <w:tcPr>
            <w:tcW w:type="dxa" w:w="2160"/>
          </w:tcPr>
          <w:p>
            <w:r>
              <w:t>Date and level</w:t>
            </w:r>
          </w:p>
        </w:tc>
        <w:tc>
          <w:tcPr>
            <w:tcW w:type="dxa" w:w="4320"/>
          </w:tcPr>
          <w:p>
            <w:r>
              <w:t>Denominator for gain</w:t>
            </w:r>
          </w:p>
        </w:tc>
      </w:tr>
      <w:tr>
        <w:tc>
          <w:tcPr>
            <w:tcW w:type="dxa" w:w="2880"/>
          </w:tcPr>
          <w:p>
            <w:r>
              <w:t>Match date and tutor ID</w:t>
            </w:r>
          </w:p>
        </w:tc>
        <w:tc>
          <w:tcPr>
            <w:tcW w:type="dxa" w:w="2160"/>
          </w:tcPr>
          <w:p>
            <w:r>
              <w:t>Date and code</w:t>
            </w:r>
          </w:p>
        </w:tc>
        <w:tc>
          <w:tcPr>
            <w:tcW w:type="dxa" w:w="4320"/>
          </w:tcPr>
          <w:p>
            <w:r>
              <w:t>Start of the persistence clock</w:t>
            </w:r>
          </w:p>
        </w:tc>
      </w:tr>
      <w:tr>
        <w:tc>
          <w:tcPr>
            <w:tcW w:type="dxa" w:w="2880"/>
          </w:tcPr>
          <w:p>
            <w:r>
              <w:t>Site</w:t>
            </w:r>
          </w:p>
        </w:tc>
        <w:tc>
          <w:tcPr>
            <w:tcW w:type="dxa" w:w="2160"/>
          </w:tcPr>
          <w:p>
            <w:r>
              <w:t>Category</w:t>
            </w:r>
          </w:p>
        </w:tc>
        <w:tc>
          <w:tcPr>
            <w:tcW w:type="dxa" w:w="4320"/>
          </w:tcPr>
          <w:p>
            <w:r>
              <w:t>Disaggregation by location</w:t>
            </w:r>
          </w:p>
        </w:tc>
      </w:tr>
      <w:tr>
        <w:tc>
          <w:tcPr>
            <w:tcW w:type="dxa" w:w="2880"/>
          </w:tcPr>
          <w:p>
            <w:r>
              <w:t>Cumulative contact hours</w:t>
            </w:r>
          </w:p>
        </w:tc>
        <w:tc>
          <w:tcPr>
            <w:tcW w:type="dxa" w:w="2160"/>
          </w:tcPr>
          <w:p>
            <w:r>
              <w:t>Number, updated weekly</w:t>
            </w:r>
          </w:p>
        </w:tc>
        <w:tc>
          <w:tcPr>
            <w:tcW w:type="dxa" w:w="4320"/>
          </w:tcPr>
          <w:p>
            <w:r>
              <w:t>Dosage measure and the 40-hour threshold</w:t>
            </w:r>
          </w:p>
        </w:tc>
      </w:tr>
      <w:tr>
        <w:tc>
          <w:tcPr>
            <w:tcW w:type="dxa" w:w="2880"/>
          </w:tcPr>
          <w:p>
            <w:r>
              <w:t>Twelve-week persistence flag</w:t>
            </w:r>
          </w:p>
        </w:tc>
        <w:tc>
          <w:tcPr>
            <w:tcW w:type="dxa" w:w="2160"/>
          </w:tcPr>
          <w:p>
            <w:r>
              <w:t>Yes or no</w:t>
            </w:r>
          </w:p>
        </w:tc>
        <w:tc>
          <w:tcPr>
            <w:tcW w:type="dxa" w:w="4320"/>
          </w:tcPr>
          <w:p>
            <w:r>
              <w:t>Persistence measure</w:t>
            </w:r>
          </w:p>
        </w:tc>
      </w:tr>
      <w:tr>
        <w:tc>
          <w:tcPr>
            <w:tcW w:type="dxa" w:w="2880"/>
          </w:tcPr>
          <w:p>
            <w:r>
              <w:t>Post assessment date and level</w:t>
            </w:r>
          </w:p>
        </w:tc>
        <w:tc>
          <w:tcPr>
            <w:tcW w:type="dxa" w:w="2160"/>
          </w:tcPr>
          <w:p>
            <w:r>
              <w:t>Date and level</w:t>
            </w:r>
          </w:p>
        </w:tc>
        <w:tc>
          <w:tcPr>
            <w:tcW w:type="dxa" w:w="4320"/>
          </w:tcPr>
          <w:p>
            <w:r>
              <w:t>Gain calculation</w:t>
            </w:r>
          </w:p>
        </w:tc>
      </w:tr>
      <w:tr>
        <w:tc>
          <w:tcPr>
            <w:tcW w:type="dxa" w:w="2880"/>
          </w:tcPr>
          <w:p>
            <w:r>
              <w:t>Level gain</w:t>
            </w:r>
          </w:p>
        </w:tc>
        <w:tc>
          <w:tcPr>
            <w:tcW w:type="dxa" w:w="2160"/>
          </w:tcPr>
          <w:p>
            <w:r>
              <w:t>Calculated</w:t>
            </w:r>
          </w:p>
        </w:tc>
        <w:tc>
          <w:tcPr>
            <w:tcW w:type="dxa" w:w="4320"/>
          </w:tcPr>
          <w:p>
            <w:r>
              <w:t>Primary outcome</w:t>
            </w:r>
          </w:p>
        </w:tc>
      </w:tr>
      <w:tr>
        <w:tc>
          <w:tcPr>
            <w:tcW w:type="dxa" w:w="2880"/>
          </w:tcPr>
          <w:p>
            <w:r>
              <w:t>Transition recorded</w:t>
            </w:r>
          </w:p>
        </w:tc>
        <w:tc>
          <w:tcPr>
            <w:tcW w:type="dxa" w:w="2160"/>
          </w:tcPr>
          <w:p>
            <w:r>
              <w:t>Category</w:t>
            </w:r>
          </w:p>
        </w:tc>
        <w:tc>
          <w:tcPr>
            <w:tcW w:type="dxa" w:w="4320"/>
          </w:tcPr>
          <w:p>
            <w:r>
              <w:t>Credential and workforce measure</w:t>
            </w:r>
          </w:p>
        </w:tc>
      </w:tr>
      <w:tr>
        <w:tc>
          <w:tcPr>
            <w:tcW w:type="dxa" w:w="2880"/>
          </w:tcPr>
          <w:p>
            <w:r>
              <w:t>Exit date and reason</w:t>
            </w:r>
          </w:p>
        </w:tc>
        <w:tc>
          <w:tcPr>
            <w:tcW w:type="dxa" w:w="2160"/>
          </w:tcPr>
          <w:p>
            <w:r>
              <w:t>Date and category</w:t>
            </w:r>
          </w:p>
        </w:tc>
        <w:tc>
          <w:tcPr>
            <w:tcW w:type="dxa" w:w="4320"/>
          </w:tcPr>
          <w:p>
            <w:r>
              <w:t>Distinguishes completion from attrition</w:t>
            </w:r>
          </w:p>
        </w:tc>
      </w:tr>
      <w:tr>
        <w:tc>
          <w:tcPr>
            <w:tcW w:type="dxa" w:w="2880"/>
          </w:tcPr>
          <w:p>
            <w:r>
              <w:t>Consent on file</w:t>
            </w:r>
          </w:p>
        </w:tc>
        <w:tc>
          <w:tcPr>
            <w:tcW w:type="dxa" w:w="2160"/>
          </w:tcPr>
          <w:p>
            <w:r>
              <w:t>Yes or no</w:t>
            </w:r>
          </w:p>
        </w:tc>
        <w:tc>
          <w:tcPr>
            <w:tcW w:type="dxa" w:w="4320"/>
          </w:tcPr>
          <w:p>
            <w:r>
              <w:t>Required before any learner story is used publicly</w:t>
            </w:r>
          </w:p>
        </w:tc>
      </w:tr>
    </w:tbl>
    <w:p/>
    <w:p>
      <w:pPr>
        <w:pStyle w:val="Heading1"/>
      </w:pPr>
      <w:r>
        <w:t>Appendix D: Submission Checklist</w:t>
      </w:r>
    </w:p>
    <w:p>
      <w:r>
        <w:t>Run this list the day before you submit, not the hour before.</w:t>
      </w:r>
    </w:p>
    <w:p>
      <w:pPr>
        <w:pStyle w:val="ListNumber"/>
      </w:pPr>
      <w:r>
        <w:t>Every bracketed field has been replaced, including the ones in the tables. Search the document for the open bracket character and confirm zero remain.</w:t>
      </w:r>
    </w:p>
    <w:p>
      <w:pPr>
        <w:pStyle w:val="ListNumber"/>
      </w:pPr>
      <w:r>
        <w:t>The budget column sums to the total stated in the cover letter and the summary, and both figures match the number on the application form.</w:t>
      </w:r>
    </w:p>
    <w:p>
      <w:pPr>
        <w:pStyle w:val="ListNumber"/>
      </w:pPr>
      <w:r>
        <w:t>The learner counts are identical in the cover letter, the summary, the program description, the objectives, and the budget basis column.</w:t>
      </w:r>
    </w:p>
    <w:p>
      <w:pPr>
        <w:pStyle w:val="ListNumber"/>
      </w:pPr>
      <w:r>
        <w:t>Every dated objective carries a real date rather than a placeholder.</w:t>
      </w:r>
    </w:p>
    <w:p>
      <w:pPr>
        <w:pStyle w:val="ListNumber"/>
      </w:pPr>
      <w:r>
        <w:t>The county literacy figure carries its credible interval and names its source and year.</w:t>
      </w:r>
    </w:p>
    <w:p>
      <w:pPr>
        <w:pStyle w:val="ListNumber"/>
      </w:pPr>
      <w:r>
        <w:t>The applicant of record question has been confirmed with the program officer in writing.</w:t>
      </w:r>
    </w:p>
    <w:p>
      <w:pPr>
        <w:pStyle w:val="ListNumber"/>
      </w:pPr>
      <w:r>
        <w:t>The authorizing resolution is signed and dated, and the date in the document matches the resolution.</w:t>
      </w:r>
    </w:p>
    <w:p>
      <w:pPr>
        <w:pStyle w:val="ListNumber"/>
      </w:pPr>
      <w:r>
        <w:t>Attachments are named as the funder's guidelines name them, and file names are readable.</w:t>
      </w:r>
    </w:p>
    <w:p>
      <w:pPr>
        <w:pStyle w:val="ListNumber"/>
      </w:pPr>
      <w:r>
        <w:t>Character and word limits are met for every pasted field, checked after pasting rather than before.</w:t>
      </w:r>
    </w:p>
    <w:p>
      <w:pPr>
        <w:pStyle w:val="ListNumber"/>
      </w:pPr>
      <w:r>
        <w:t>Someone who did not write the proposal has read it for arithmetic and for sense.</w:t>
      </w:r>
    </w:p>
    <w:p>
      <w:pPr>
        <w:pStyle w:val="ListNumber"/>
      </w:pPr>
      <w:r>
        <w:t>The supplanting paragraph is present and names the appropriation figure.</w:t>
      </w:r>
    </w:p>
    <w:p>
      <w:pPr>
        <w:pStyle w:val="ListNumber"/>
      </w:pPr>
      <w:r>
        <w:t>No real learner is named or identifiable anywhere in the document or its attachments.</w:t>
      </w:r>
    </w:p>
    <w:p>
      <w:pPr>
        <w:pStyle w:val="Heading1"/>
      </w:pPr>
      <w:r>
        <w:t>Appendix E: Adapting This Proposal for Different Funders</w:t>
      </w:r>
    </w:p>
    <w:tbl>
      <w:tblPr>
        <w:tblStyle w:val="LightGrid-Accent1"/>
        <w:tblW w:type="auto" w:w="0"/>
        <w:tblLook w:firstColumn="1" w:firstRow="1" w:lastColumn="0" w:lastRow="0" w:noHBand="0" w:noVBand="1" w:val="04A0"/>
      </w:tblPr>
      <w:tblGrid>
        <w:gridCol w:w="3120"/>
        <w:gridCol w:w="3120"/>
        <w:gridCol w:w="3120"/>
      </w:tblGrid>
      <w:tr>
        <w:tc>
          <w:tcPr>
            <w:tcW w:type="dxa" w:w="2160"/>
          </w:tcPr>
          <w:p>
            <w:r>
              <w:rPr>
                <w:b/>
              </w:rPr>
              <w:t>Funder type</w:t>
            </w:r>
          </w:p>
        </w:tc>
        <w:tc>
          <w:tcPr>
            <w:tcW w:type="dxa" w:w="3600"/>
          </w:tcPr>
          <w:p>
            <w:r>
              <w:rPr>
                <w:b/>
              </w:rPr>
              <w:t>What changes</w:t>
            </w:r>
          </w:p>
        </w:tc>
        <w:tc>
          <w:tcPr>
            <w:tcW w:type="dxa" w:w="3600"/>
          </w:tcPr>
          <w:p>
            <w:r>
              <w:rPr>
                <w:b/>
              </w:rPr>
              <w:t>What to emphasize</w:t>
            </w:r>
          </w:p>
        </w:tc>
      </w:tr>
      <w:tr>
        <w:tc>
          <w:tcPr>
            <w:tcW w:type="dxa" w:w="2160"/>
          </w:tcPr>
          <w:p>
            <w:r>
              <w:t>State adult education agency, Title II of WIOA</w:t>
            </w:r>
          </w:p>
        </w:tc>
        <w:tc>
          <w:tcPr>
            <w:tcW w:type="dxa" w:w="3600"/>
          </w:tcPr>
          <w:p>
            <w:r>
              <w:t>Formal application format, state-mandated assessment and reporting to the National Reporting System, defined performance measures</w:t>
            </w:r>
          </w:p>
        </w:tc>
        <w:tc>
          <w:tcPr>
            <w:tcW w:type="dxa" w:w="3600"/>
          </w:tcPr>
          <w:p>
            <w:r>
              <w:t>Educational functioning level gains, contact hours, measurable skill gains, integration with the state's adult education system</w:t>
            </w:r>
          </w:p>
        </w:tc>
      </w:tr>
      <w:tr>
        <w:tc>
          <w:tcPr>
            <w:tcW w:type="dxa" w:w="2160"/>
          </w:tcPr>
          <w:p>
            <w:r>
              <w:t>State library agency, LSTA subaward</w:t>
            </w:r>
          </w:p>
        </w:tc>
        <w:tc>
          <w:tcPr>
            <w:tcW w:type="dxa" w:w="3600"/>
          </w:tcPr>
          <w:p>
            <w:r>
              <w:t>State plan alignment, library-specific outcome language, agency's own reporting portal</w:t>
            </w:r>
          </w:p>
        </w:tc>
        <w:tc>
          <w:tcPr>
            <w:tcW w:type="dxa" w:w="3600"/>
          </w:tcPr>
          <w:p>
            <w:r>
              <w:t>Fit with the state library plan, library capacity built, statewide replicability</w:t>
            </w:r>
          </w:p>
        </w:tc>
      </w:tr>
      <w:tr>
        <w:tc>
          <w:tcPr>
            <w:tcW w:type="dxa" w:w="2160"/>
          </w:tcPr>
          <w:p>
            <w:r>
              <w:t>Community foundation</w:t>
            </w:r>
          </w:p>
        </w:tc>
        <w:tc>
          <w:tcPr>
            <w:tcW w:type="dxa" w:w="3600"/>
          </w:tcPr>
          <w:p>
            <w:r>
              <w:t>Shorter fields, local board reviewing, emphasis on service area alignment</w:t>
            </w:r>
          </w:p>
        </w:tc>
        <w:tc>
          <w:tcPr>
            <w:tcW w:type="dxa" w:w="3600"/>
          </w:tcPr>
          <w:p>
            <w:r>
              <w:t>County data, local partnerships, board and volunteer engagement, the waiting list</w:t>
            </w:r>
          </w:p>
        </w:tc>
      </w:tr>
      <w:tr>
        <w:tc>
          <w:tcPr>
            <w:tcW w:type="dxa" w:w="2160"/>
          </w:tcPr>
          <w:p>
            <w:r>
              <w:t>Private family foundation</w:t>
            </w:r>
          </w:p>
        </w:tc>
        <w:tc>
          <w:tcPr>
            <w:tcW w:type="dxa" w:w="3600"/>
          </w:tcPr>
          <w:p>
            <w:r>
              <w:t>Often a letter of inquiry first, less prescriptive format</w:t>
            </w:r>
          </w:p>
        </w:tc>
        <w:tc>
          <w:tcPr>
            <w:tcW w:type="dxa" w:w="3600"/>
          </w:tcPr>
          <w:p>
            <w:r>
              <w:t>A clear story, a specific ask, and evidence of prior giving to literacy in your state from Form 990-PF filings</w:t>
            </w:r>
          </w:p>
        </w:tc>
      </w:tr>
      <w:tr>
        <w:tc>
          <w:tcPr>
            <w:tcW w:type="dxa" w:w="2160"/>
          </w:tcPr>
          <w:p>
            <w:r>
              <w:t>Corporate giving program</w:t>
            </w:r>
          </w:p>
        </w:tc>
        <w:tc>
          <w:tcPr>
            <w:tcW w:type="dxa" w:w="3600"/>
          </w:tcPr>
          <w:p>
            <w:r>
              <w:t>Employee engagement expectations, brand visibility questions</w:t>
            </w:r>
          </w:p>
        </w:tc>
        <w:tc>
          <w:tcPr>
            <w:tcW w:type="dxa" w:w="3600"/>
          </w:tcPr>
          <w:p>
            <w:r>
              <w:t>Volunteer tutor opportunities for employees, workforce readiness framing, transitions to employment</w:t>
            </w:r>
          </w:p>
        </w:tc>
      </w:tr>
      <w:tr>
        <w:tc>
          <w:tcPr>
            <w:tcW w:type="dxa" w:w="2160"/>
          </w:tcPr>
          <w:p>
            <w:r>
              <w:t>Local service club or civic group</w:t>
            </w:r>
          </w:p>
        </w:tc>
        <w:tc>
          <w:tcPr>
            <w:tcW w:type="dxa" w:w="3600"/>
          </w:tcPr>
          <w:p>
            <w:r>
              <w:t>Very short request, sometimes verbal</w:t>
            </w:r>
          </w:p>
        </w:tc>
        <w:tc>
          <w:tcPr>
            <w:tcW w:type="dxa" w:w="3600"/>
          </w:tcPr>
          <w:p>
            <w:r>
              <w:t>One line item they can fund entirely, such as a cohort of childcare or 50 family kits</w:t>
            </w:r>
          </w:p>
        </w:tc>
      </w:tr>
    </w:tbl>
    <w:p/>
    <w:p>
      <w:r>
        <w:t>Two structural facts are worth knowing before you choose where to apply. Adult education under Title II of the Workforce Innovation and Opportunity Act is a federal formula program that flows to your state adult education agency rather than being competed nationally. LSTA's largest component, Grants to States, is a formula program administered by your state library agency, while LSTA's National Leadership Grants and Laura Bush 21st Century Librarian Program are competed nationally through IMLS. Adult education carries the larger appropriation of the two, and a public library can be an eligible local provider in many states.</w:t>
      </w:r>
    </w:p>
    <w:p>
      <w:r>
        <w:t>For private funders, Form 990-PF filings show which foundations already paid grants for library and literacy purposes, with recipient name, purpose, and amount. Identifying funders with a demonstrated history of literacy giving in your state is a better use of a week than broad searching.</w:t>
      </w:r>
    </w:p>
    <w:p>
      <w:pPr>
        <w:pStyle w:val="Heading1"/>
      </w:pPr>
      <w:r>
        <w:t>Appendix F: Short-Form Version for a Letter of Inquiry</w:t>
      </w:r>
    </w:p>
    <w:p>
      <w:r>
        <w:t>Many private funders want a two-page letter first. Compress this document as follows, and hold the full version for the invited proposal.</w:t>
      </w:r>
    </w:p>
    <w:p>
      <w:pPr>
        <w:pStyle w:val="ListBullet"/>
      </w:pPr>
      <w:r>
        <w:t>Paragraph 1: the ask sentence, the amount, the period, and the learner counts.</w:t>
      </w:r>
    </w:p>
    <w:p>
      <w:pPr>
        <w:pStyle w:val="ListBullet"/>
      </w:pPr>
      <w:r>
        <w:t>Paragraph 2: the county literacy estimate with its interval, and the waiting list number.</w:t>
      </w:r>
    </w:p>
    <w:p>
      <w:pPr>
        <w:pStyle w:val="ListBullet"/>
      </w:pPr>
      <w:r>
        <w:t>Paragraph 3: what the money buys, in the order of the budget, with the coordinator first.</w:t>
      </w:r>
    </w:p>
    <w:p>
      <w:pPr>
        <w:pStyle w:val="ListBullet"/>
      </w:pPr>
      <w:r>
        <w:t>Paragraph 4: the three outcome figures, with the assessment named.</w:t>
      </w:r>
    </w:p>
    <w:p>
      <w:pPr>
        <w:pStyle w:val="ListBullet"/>
      </w:pPr>
      <w:r>
        <w:t>Paragraph 5: the supplanting sentence and the board's absorption commitment.</w:t>
      </w:r>
    </w:p>
    <w:p>
      <w:pPr>
        <w:pStyle w:val="ListBullet"/>
      </w:pPr>
      <w:r>
        <w:t>Paragraph 6: the applicant of record structure, one sentence, so eligibility is settled early.</w:t>
      </w:r>
    </w:p>
    <w:p>
      <w:pPr>
        <w:pStyle w:val="ListBullet"/>
      </w:pPr>
      <w:r>
        <w:t>Close: an offer to visit during a tutoring evening, and the attachments available on request.</w:t>
      </w:r>
    </w:p>
    <w:p>
      <w:r>
        <w:t>A letter of inquiry that contains a number in every paragraph is the one that gets invited.</w:t>
      </w:r>
    </w:p>
    <w:p>
      <w:pPr>
        <w:pStyle w:val="Heading1"/>
      </w:pPr>
      <w:r>
        <w:t>Appendix G: Sources Cited</w:t>
      </w:r>
    </w:p>
    <w:p>
      <w:r>
        <w:t>The public sources named in this document are listed below so a reviewer can open each one. Confirm each is current before you rely on it; federal guidance and published rates change.</w:t>
      </w:r>
    </w:p>
    <w:p>
      <w:r>
        <w:t>34 CFR Part 462, the National Reporting System framework governing approved assessments and educational functioning level gain: https://www.ecfr.gov/current/title-34/subtitle-B/chapter-IV/part-462</w:t>
      </w:r>
    </w:p>
    <w:p>
      <w:r>
        <w:t>PIAAC Skills Map, model-based state and county literacy estimates, National Center for Education Statistics: https://nces.ed.gov/surveys/piaac/state-county-estimates.asp</w:t>
      </w:r>
    </w:p>
    <w:p>
      <w:r>
        <w:t>Outcome Measurement for Public Libraries, the nine standardized outcome surveys published by the Public Library Association: https://www.ala.org/pla/data/performancemeasurement</w:t>
      </w:r>
    </w:p>
    <w:p>
      <w:r>
        <w:t>Standard Mileage Rates, Internal Revenue Service, the source of the $0.725 business rate used in the budget: https://www.irs.gov/tax-professionals/standard-mileage-rates</w:t>
      </w:r>
    </w:p>
    <w:p>
      <w:r>
        <w:t>All sources retrieved September 2026.</w:t>
      </w:r>
    </w:p>
    <w:p>
      <w:pPr>
        <w:pStyle w:val="Heading1"/>
      </w:pPr>
      <w:r>
        <w:t>Final Notes</w:t>
      </w:r>
    </w:p>
    <w:p>
      <w:r>
        <w:t>Three habits separate library literacy proposals that get funded from ones that read well and lose. Draft the need statement first, because the learner count in it determines every figure in the budget, and a budget written before the need statement will not match it. Settle the applicant-of-record question with the funder before anyone starts writing, because it changes the attachment list and the signature block. And price the coordinator line against your own salary scale rather than the illustrative $24 per hour used here, because a reviewer who knows your region will notice a rate that does not match it.</w:t>
      </w:r>
    </w:p>
    <w:p>
      <w:r>
        <w:t>Then check the arithmetic one more time. It is the cheapest point you will ever earn.</w:t>
      </w:r>
    </w:p>
    <w:p/>
    <w:p>
      <w:r>
        <w:t>GrantCue - grantcue.com/blog/sample-grant-proposal-library-literacy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