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Grant Proposal</w:t>
      </w:r>
    </w:p>
    <w:p>
      <w:pPr>
        <w:pStyle w:val="Subtitle"/>
      </w:pPr>
      <w:r>
        <w:t>A complete, adaptable housing and homelessness services proposal: a twelve-month rapid re-housing request for 20 households, written out in full.</w:t>
      </w:r>
    </w:p>
    <w:p>
      <w:r>
        <w:rPr>
          <w:b w:val="0"/>
        </w:rPr>
        <w:t>Every section of a full housing grant proposal is written out below in submission-ready prose, using one worked example the whole way through. Nothing is left as an instruction to fill in. Read it, replace the example organization and its local data with yours, and you have a draft that answers what housing funders actually ask: where the units are, who signs the lease, what happens when the subsidy ends, and how you prove a household stayed housed.</w:t>
      </w:r>
    </w:p>
    <w:p>
      <w:r>
        <w:rPr>
          <w:b w:val="0"/>
        </w:rPr>
        <w:t>This file accompanies the article Sample Grant Proposal for Housing Nonprofit Programs at grantcue.com/blog/sample-grant-proposal-housing-nonprofit.</w:t>
      </w:r>
    </w:p>
    <w:tbl>
      <w:tblPr>
        <w:tblStyle w:val="TableGrid"/>
        <w:tblW w:type="auto" w:w="0"/>
        <w:jc w:val="center"/>
        <w:tblLook w:firstColumn="1" w:firstRow="1" w:lastColumn="0" w:lastRow="0" w:noHBand="0" w:noVBand="1" w:val="04A0"/>
      </w:tblPr>
      <w:tblGrid>
        <w:gridCol w:w="9360"/>
      </w:tblGrid>
      <w:tr>
        <w:tc>
          <w:tcPr>
            <w:tcW w:type="dxa" w:w="9360"/>
            <w:shd w:val="clear" w:fill="F2F5FA"/>
          </w:tcPr>
          <w:p>
            <w:r/>
            <w:r>
              <w:rPr>
                <w:color w:val="444444"/>
                <w:sz w:val="20"/>
              </w:rPr>
              <w:t>Everything naming the example organization is invented: Kestrel Valley Housing Alliance, Kestrel County, the city of Millbrook, the landlords, the staff, the vacancy rate, the Point-in-Time and HMIS figures, the Fair Market Rent and every dollar amount. It is a composite built to show what a complete housing proposal looks like, not a real nonprofit and not a real county. No funder is named anywhere in this document, because the funder is yours to name. What is real, and cited by source at the end, is the federal rules and public data sets the example refers to: 24 CFR 578.7, 24 CFR 576.105 and 576.106, HUD's Fair Market Rent schedule, the Census American Community Survey, and HUD's System Performance Measures.</w:t>
            </w:r>
          </w:p>
        </w:tc>
      </w:tr>
    </w:tbl>
    <w:p/>
    <w:p>
      <w:pPr>
        <w:pStyle w:val="Heading1"/>
      </w:pPr>
      <w:r>
        <w:t>1. How to Use This Document</w:t>
      </w:r>
    </w:p>
    <w:p>
      <w:r>
        <w:rPr>
          <w:b w:val="0"/>
        </w:rPr>
        <w:t>Read the proposal straight through once so the chain of evidence is visible. The statement of need establishes a rent gap and a unit shortage in one county. The program description names an intervention that closes both. The budget pays for exactly that intervention and nothing else. The evaluation plan measures the two things a housing funder cares about, which are whether the household got a lease and whether they kept it. A reviewer who can follow that chain from the first page to the budget has very little left to object to.</w:t>
      </w:r>
    </w:p>
    <w:p>
      <w:r>
        <w:rPr>
          <w:b w:val="0"/>
        </w:rPr>
        <w:t>Then work in this order, which is not the order the sections appear in. Confirm your intervention type first, because rapid re-housing, permanent supportive housing, prevention, transitional housing and homeowner repair carry different cost structures and different measures. Build the budget second, since the narrative is easy once the numbers are real. Write the statement of need third, from data you can produce in writing. Write the executive summary last.</w:t>
      </w:r>
    </w:p>
    <w:p>
      <w:pPr>
        <w:pStyle w:val="Heading2"/>
      </w:pPr>
      <w:r>
        <w:t>What you have to replace</w:t>
      </w:r>
    </w:p>
    <w:p>
      <w:pPr>
        <w:pStyle w:val="ListBullet"/>
      </w:pPr>
      <w:r>
        <w:t>The organization name, address, EIN, founding year, staff counts and program history in Section 5.</w:t>
      </w:r>
    </w:p>
    <w:p>
      <w:pPr>
        <w:pStyle w:val="ListBullet"/>
      </w:pPr>
      <w:r>
        <w:t>Your Continuum of Care name, your HMIS, and the placement counts you can evidence, also in Section 5.</w:t>
      </w:r>
    </w:p>
    <w:p>
      <w:pPr>
        <w:pStyle w:val="ListBullet"/>
      </w:pPr>
      <w:r>
        <w:t>Every figure in Section 6: the Point-in-Time counts and the year each was taken, the HMIS annual figures, the Fair Market Rent for your area, the median renter income, the rent burden shares, the vacancy rate and the coordinated entry queue.</w:t>
      </w:r>
    </w:p>
    <w:p>
      <w:pPr>
        <w:pStyle w:val="ListBullet"/>
      </w:pPr>
      <w:r>
        <w:t>The funder name, contact and mailing address in the cover letter, and the indirect cost treatment in Section 11.</w:t>
      </w:r>
    </w:p>
    <w:p>
      <w:pPr>
        <w:pStyle w:val="ListBullet"/>
      </w:pPr>
      <w:r>
        <w:t>Every salary, fringe rate, subsidy amount, deposit figure and license price in Sections 10 and 11.</w:t>
      </w:r>
    </w:p>
    <w:p>
      <w:pPr>
        <w:pStyle w:val="ListBullet"/>
      </w:pPr>
      <w:r>
        <w:t>The landlord and unit counts in Sections 5, 7 and 8. These are the numbers a housing reviewer checks hardest, so use your landlord log rather than an estimate.</w:t>
      </w:r>
    </w:p>
    <w:p>
      <w:pPr>
        <w:pStyle w:val="ListBullet"/>
      </w:pPr>
      <w:r>
        <w:t>All dates. The example is submitted in October 2026 for a program year running January 1 to December 31, 2027.</w:t>
      </w:r>
    </w:p>
    <w:p>
      <w:pPr>
        <w:pStyle w:val="Heading2"/>
      </w:pPr>
      <w:r>
        <w:t>What you can usually keep</w:t>
      </w:r>
    </w:p>
    <w:p>
      <w:pPr>
        <w:pStyle w:val="ListBullet"/>
      </w:pPr>
      <w:r>
        <w:t>The section order and the headings, which match what most housing funders ask for.</w:t>
      </w:r>
    </w:p>
    <w:p>
      <w:pPr>
        <w:pStyle w:val="ListBullet"/>
      </w:pPr>
      <w:r>
        <w:t>The separation of the rental subsidy pool from personnel and services in the budget, which is the single most important formatting choice in a housing request.</w:t>
      </w:r>
    </w:p>
    <w:p>
      <w:pPr>
        <w:pStyle w:val="ListBullet"/>
      </w:pPr>
      <w:r>
        <w:t>The grammar of the objectives: instrument, baseline, target, deadline, with the data source named.</w:t>
      </w:r>
    </w:p>
    <w:p>
      <w:pPr>
        <w:pStyle w:val="ListBullet"/>
      </w:pPr>
      <w:r>
        <w:t>The budget line categories, including the four that housing programs forget: landlord risk mitigation, move-in supplies, flexible client assistance, and HMIS licensing.</w:t>
      </w:r>
    </w:p>
    <w:p>
      <w:pPr>
        <w:pStyle w:val="ListBullet"/>
      </w:pPr>
      <w:r>
        <w:t>The subsidy taper described in Section 7.4, adjusted to your duration and step-down schedule.</w:t>
      </w:r>
    </w:p>
    <w:p>
      <w:pPr>
        <w:pStyle w:val="ListBullet"/>
      </w:pPr>
      <w:r>
        <w:t>The retention measure at 12 months, and the use of HUD's 6, 12 and 24 month intervals for returns to homelessness.</w:t>
      </w:r>
    </w:p>
    <w:p>
      <w:pPr>
        <w:pStyle w:val="ListBullet"/>
      </w:pPr>
      <w:r>
        <w:t>The four objections answered in Appendix B, which housing reviewers raise regardless of intervention type.</w:t>
      </w:r>
    </w:p>
    <w:p>
      <w:pPr>
        <w:pStyle w:val="Heading2"/>
      </w:pPr>
      <w:r>
        <w:t>A note on length</w:t>
      </w:r>
    </w:p>
    <w:p>
      <w:r>
        <w:rPr>
          <w:b w:val="0"/>
        </w:rPr>
        <w:t>This document is longer than most funders will accept, on purpose, so that every section is fully modelled. Where a funder states a page limit, cut to it and cut from the organizational history first, then from the appendices, then from the program description. Never cut the budget narrative or the unit supply evidence, because those are the two places a housing reviewer looks for reasons to decline. Appendix C gives the lengths a housing reviewer typically expects when no limit is stated.</w:t>
      </w:r>
    </w:p>
    <w:p>
      <w:pPr>
        <w:pStyle w:val="Heading1"/>
      </w:pPr>
      <w:r>
        <w:t>2. Proposal at a Glance</w:t>
      </w:r>
    </w:p>
    <w:p>
      <w:pPr>
        <w:pStyle w:val="AdaptationNote"/>
      </w:pPr>
      <w:r>
        <w:t>Adapt this section: funders rarely ask for this page. Build it anyway and keep it on your own file, because every figure here has to match the body of the proposal, and this is where you catch it when one of them does not.</w:t>
      </w:r>
    </w:p>
    <w:tbl>
      <w:tblPr>
        <w:tblStyle w:val="LightGrid-Accent1"/>
        <w:tblW w:type="auto" w:w="0"/>
        <w:jc w:val="center"/>
        <w:tblLook w:firstColumn="1" w:firstRow="1" w:lastColumn="0" w:lastRow="0" w:noHBand="0" w:noVBand="1" w:val="04A0"/>
      </w:tblPr>
      <w:tblGrid>
        <w:gridCol w:w="4680"/>
        <w:gridCol w:w="4680"/>
      </w:tblGrid>
      <w:tr>
        <w:tc>
          <w:tcPr>
            <w:tcW w:type="dxa" w:w="2736"/>
          </w:tcPr>
          <w:p>
            <w:pPr>
              <w:spacing w:after="60" w:before="60"/>
            </w:pPr>
            <w:r/>
            <w:r>
              <w:rPr>
                <w:b/>
                <w:sz w:val="20"/>
              </w:rPr>
              <w:t>Field</w:t>
            </w:r>
          </w:p>
        </w:tc>
        <w:tc>
          <w:tcPr>
            <w:tcW w:type="dxa" w:w="6624"/>
          </w:tcPr>
          <w:p>
            <w:pPr>
              <w:spacing w:after="60" w:before="60"/>
            </w:pPr>
            <w:r/>
            <w:r>
              <w:rPr>
                <w:b/>
                <w:sz w:val="20"/>
              </w:rPr>
              <w:t>Example entry</w:t>
            </w:r>
          </w:p>
        </w:tc>
      </w:tr>
      <w:tr>
        <w:tc>
          <w:tcPr>
            <w:tcW w:type="dxa" w:w="2736"/>
          </w:tcPr>
          <w:p>
            <w:pPr>
              <w:spacing w:after="60" w:before="60"/>
            </w:pPr>
            <w:r/>
            <w:r>
              <w:rPr>
                <w:sz w:val="20"/>
              </w:rPr>
              <w:t>Applicant organization</w:t>
            </w:r>
          </w:p>
        </w:tc>
        <w:tc>
          <w:tcPr>
            <w:tcW w:type="dxa" w:w="6624"/>
          </w:tcPr>
          <w:p>
            <w:pPr>
              <w:spacing w:after="60" w:before="60"/>
            </w:pPr>
            <w:r/>
            <w:r>
              <w:rPr>
                <w:sz w:val="20"/>
              </w:rPr>
              <w:t>Kestrel Valley Housing Alliance, a 501(c)(3) founded 2016</w:t>
            </w:r>
          </w:p>
        </w:tc>
      </w:tr>
      <w:tr>
        <w:tc>
          <w:tcPr>
            <w:tcW w:type="dxa" w:w="2736"/>
          </w:tcPr>
          <w:p>
            <w:pPr>
              <w:spacing w:after="60" w:before="60"/>
            </w:pPr>
            <w:r/>
            <w:r>
              <w:rPr>
                <w:sz w:val="20"/>
              </w:rPr>
              <w:t>Program</w:t>
            </w:r>
          </w:p>
        </w:tc>
        <w:tc>
          <w:tcPr>
            <w:tcW w:type="dxa" w:w="6624"/>
          </w:tcPr>
          <w:p>
            <w:pPr>
              <w:spacing w:after="60" w:before="60"/>
            </w:pPr>
            <w:r/>
            <w:r>
              <w:rPr>
                <w:sz w:val="20"/>
              </w:rPr>
              <w:t>Doorway Rapid Re-Housing Partnership</w:t>
            </w:r>
          </w:p>
        </w:tc>
      </w:tr>
      <w:tr>
        <w:tc>
          <w:tcPr>
            <w:tcW w:type="dxa" w:w="2736"/>
          </w:tcPr>
          <w:p>
            <w:pPr>
              <w:spacing w:after="60" w:before="60"/>
            </w:pPr>
            <w:r/>
            <w:r>
              <w:rPr>
                <w:sz w:val="20"/>
              </w:rPr>
              <w:t>Intervention type</w:t>
            </w:r>
          </w:p>
        </w:tc>
        <w:tc>
          <w:tcPr>
            <w:tcW w:type="dxa" w:w="6624"/>
          </w:tcPr>
          <w:p>
            <w:pPr>
              <w:spacing w:after="60" w:before="60"/>
            </w:pPr>
            <w:r/>
            <w:r>
              <w:rPr>
                <w:sz w:val="20"/>
              </w:rPr>
              <w:t>Rapid re-housing, operating request (not capital)</w:t>
            </w:r>
          </w:p>
        </w:tc>
      </w:tr>
      <w:tr>
        <w:tc>
          <w:tcPr>
            <w:tcW w:type="dxa" w:w="2736"/>
          </w:tcPr>
          <w:p>
            <w:pPr>
              <w:spacing w:after="60" w:before="60"/>
            </w:pPr>
            <w:r/>
            <w:r>
              <w:rPr>
                <w:sz w:val="20"/>
              </w:rPr>
              <w:t>Amount requested</w:t>
            </w:r>
          </w:p>
        </w:tc>
        <w:tc>
          <w:tcPr>
            <w:tcW w:type="dxa" w:w="6624"/>
          </w:tcPr>
          <w:p>
            <w:pPr>
              <w:spacing w:after="60" w:before="60"/>
            </w:pPr>
            <w:r/>
            <w:r>
              <w:rPr>
                <w:sz w:val="20"/>
              </w:rPr>
              <w:t>$196,440</w:t>
            </w:r>
          </w:p>
        </w:tc>
      </w:tr>
      <w:tr>
        <w:tc>
          <w:tcPr>
            <w:tcW w:type="dxa" w:w="2736"/>
          </w:tcPr>
          <w:p>
            <w:pPr>
              <w:spacing w:after="60" w:before="60"/>
            </w:pPr>
            <w:r/>
            <w:r>
              <w:rPr>
                <w:sz w:val="20"/>
              </w:rPr>
              <w:t>Grant period</w:t>
            </w:r>
          </w:p>
        </w:tc>
        <w:tc>
          <w:tcPr>
            <w:tcW w:type="dxa" w:w="6624"/>
          </w:tcPr>
          <w:p>
            <w:pPr>
              <w:spacing w:after="60" w:before="60"/>
            </w:pPr>
            <w:r/>
            <w:r>
              <w:rPr>
                <w:sz w:val="20"/>
              </w:rPr>
              <w:t>January 1, 2027 to December 31, 2027 (12 months)</w:t>
            </w:r>
          </w:p>
        </w:tc>
      </w:tr>
      <w:tr>
        <w:tc>
          <w:tcPr>
            <w:tcW w:type="dxa" w:w="2736"/>
          </w:tcPr>
          <w:p>
            <w:pPr>
              <w:spacing w:after="60" w:before="60"/>
            </w:pPr>
            <w:r/>
            <w:r>
              <w:rPr>
                <w:sz w:val="20"/>
              </w:rPr>
              <w:t>Households served</w:t>
            </w:r>
          </w:p>
        </w:tc>
        <w:tc>
          <w:tcPr>
            <w:tcW w:type="dxa" w:w="6624"/>
          </w:tcPr>
          <w:p>
            <w:pPr>
              <w:spacing w:after="60" w:before="60"/>
            </w:pPr>
            <w:r/>
            <w:r>
              <w:rPr>
                <w:sz w:val="20"/>
              </w:rPr>
              <w:t>20 enrolled, 16 placed into permanent housing</w:t>
            </w:r>
          </w:p>
        </w:tc>
      </w:tr>
      <w:tr>
        <w:tc>
          <w:tcPr>
            <w:tcW w:type="dxa" w:w="2736"/>
          </w:tcPr>
          <w:p>
            <w:pPr>
              <w:spacing w:after="60" w:before="60"/>
            </w:pPr>
            <w:r/>
            <w:r>
              <w:rPr>
                <w:sz w:val="20"/>
              </w:rPr>
              <w:t>Geography</w:t>
            </w:r>
          </w:p>
        </w:tc>
        <w:tc>
          <w:tcPr>
            <w:tcW w:type="dxa" w:w="6624"/>
          </w:tcPr>
          <w:p>
            <w:pPr>
              <w:spacing w:after="60" w:before="60"/>
            </w:pPr>
            <w:r/>
            <w:r>
              <w:rPr>
                <w:sz w:val="20"/>
              </w:rPr>
              <w:t>Kestrel County, including the city of Millbrook</w:t>
            </w:r>
          </w:p>
        </w:tc>
      </w:tr>
      <w:tr>
        <w:tc>
          <w:tcPr>
            <w:tcW w:type="dxa" w:w="2736"/>
          </w:tcPr>
          <w:p>
            <w:pPr>
              <w:spacing w:after="60" w:before="60"/>
            </w:pPr>
            <w:r/>
            <w:r>
              <w:rPr>
                <w:sz w:val="20"/>
              </w:rPr>
              <w:t>Continuum of Care</w:t>
            </w:r>
          </w:p>
        </w:tc>
        <w:tc>
          <w:tcPr>
            <w:tcW w:type="dxa" w:w="6624"/>
          </w:tcPr>
          <w:p>
            <w:pPr>
              <w:spacing w:after="60" w:before="60"/>
            </w:pPr>
            <w:r/>
            <w:r>
              <w:rPr>
                <w:sz w:val="20"/>
              </w:rPr>
              <w:t>Kestrel County Continuum of Care, voting member since 2018</w:t>
            </w:r>
          </w:p>
        </w:tc>
      </w:tr>
      <w:tr>
        <w:tc>
          <w:tcPr>
            <w:tcW w:type="dxa" w:w="2736"/>
          </w:tcPr>
          <w:p>
            <w:pPr>
              <w:spacing w:after="60" w:before="60"/>
            </w:pPr>
            <w:r/>
            <w:r>
              <w:rPr>
                <w:sz w:val="20"/>
              </w:rPr>
              <w:t>HMIS</w:t>
            </w:r>
          </w:p>
        </w:tc>
        <w:tc>
          <w:tcPr>
            <w:tcW w:type="dxa" w:w="6624"/>
          </w:tcPr>
          <w:p>
            <w:pPr>
              <w:spacing w:after="60" w:before="60"/>
            </w:pPr>
            <w:r/>
            <w:r>
              <w:rPr>
                <w:sz w:val="20"/>
              </w:rPr>
              <w:t>All program data entered in the county HMIS</w:t>
            </w:r>
          </w:p>
        </w:tc>
      </w:tr>
      <w:tr>
        <w:tc>
          <w:tcPr>
            <w:tcW w:type="dxa" w:w="2736"/>
          </w:tcPr>
          <w:p>
            <w:pPr>
              <w:spacing w:after="60" w:before="60"/>
            </w:pPr>
            <w:r/>
            <w:r>
              <w:rPr>
                <w:sz w:val="20"/>
              </w:rPr>
              <w:t>Total organizational budget</w:t>
            </w:r>
          </w:p>
        </w:tc>
        <w:tc>
          <w:tcPr>
            <w:tcW w:type="dxa" w:w="6624"/>
          </w:tcPr>
          <w:p>
            <w:pPr>
              <w:spacing w:after="60" w:before="60"/>
            </w:pPr>
            <w:r/>
            <w:r>
              <w:rPr>
                <w:sz w:val="20"/>
              </w:rPr>
              <w:t>$2.14 million (FY2026 audited)</w:t>
            </w:r>
          </w:p>
        </w:tc>
      </w:tr>
      <w:tr>
        <w:tc>
          <w:tcPr>
            <w:tcW w:type="dxa" w:w="2736"/>
          </w:tcPr>
          <w:p>
            <w:pPr>
              <w:spacing w:after="60" w:before="60"/>
            </w:pPr>
            <w:r/>
            <w:r>
              <w:rPr>
                <w:sz w:val="20"/>
              </w:rPr>
              <w:t>This request as a share of budget</w:t>
            </w:r>
          </w:p>
        </w:tc>
        <w:tc>
          <w:tcPr>
            <w:tcW w:type="dxa" w:w="6624"/>
          </w:tcPr>
          <w:p>
            <w:pPr>
              <w:spacing w:after="60" w:before="60"/>
            </w:pPr>
            <w:r/>
            <w:r>
              <w:rPr>
                <w:sz w:val="20"/>
              </w:rPr>
              <w:t>9.2 percent</w:t>
            </w:r>
          </w:p>
        </w:tc>
      </w:tr>
      <w:tr>
        <w:tc>
          <w:tcPr>
            <w:tcW w:type="dxa" w:w="2736"/>
          </w:tcPr>
          <w:p>
            <w:pPr>
              <w:spacing w:after="60" w:before="60"/>
            </w:pPr>
            <w:r/>
            <w:r>
              <w:rPr>
                <w:sz w:val="20"/>
              </w:rPr>
              <w:t>Contact</w:t>
            </w:r>
          </w:p>
        </w:tc>
        <w:tc>
          <w:tcPr>
            <w:tcW w:type="dxa" w:w="6624"/>
          </w:tcPr>
          <w:p>
            <w:pPr>
              <w:spacing w:after="60" w:before="60"/>
            </w:pPr>
            <w:r/>
            <w:r>
              <w:rPr>
                <w:sz w:val="20"/>
              </w:rPr>
              <w:t>Executive Director, phone, email, EIN</w:t>
            </w:r>
          </w:p>
        </w:tc>
      </w:tr>
    </w:tbl>
    <w:p/>
    <w:p>
      <w:pPr>
        <w:pStyle w:val="Heading1"/>
      </w:pPr>
      <w:r>
        <w:t>3. Cover Letter</w:t>
      </w:r>
    </w:p>
    <w:p>
      <w:pPr>
        <w:pStyle w:val="AdaptationNote"/>
      </w:pPr>
      <w:r>
        <w:t>Adapt this section: one page, signed by the executive director, naming the intervention in the first sentence and the unit supply by the fourth paragraph. A housing cover letter that does not mention landlords has already lost the reviewer's first question.</w:t>
      </w:r>
    </w:p>
    <w:p>
      <w:pPr>
        <w:spacing w:after="0"/>
      </w:pPr>
      <w:r>
        <w:t>October 6, 2026</w:t>
      </w:r>
    </w:p>
    <w:p>
      <w:pPr>
        <w:spacing w:after="0"/>
      </w:pPr>
    </w:p>
    <w:p>
      <w:pPr>
        <w:spacing w:after="0"/>
      </w:pPr>
      <w:r>
        <w:t>Grants Program Officer</w:t>
      </w:r>
    </w:p>
    <w:p>
      <w:pPr>
        <w:spacing w:after="0"/>
      </w:pPr>
      <w:r>
        <w:t>Funder name</w:t>
      </w:r>
    </w:p>
    <w:p>
      <w:pPr>
        <w:spacing w:after="0"/>
      </w:pPr>
      <w:r>
        <w:t>Street address</w:t>
      </w:r>
    </w:p>
    <w:p>
      <w:pPr>
        <w:spacing w:after="0"/>
      </w:pPr>
      <w:r>
        <w:t>City, State ZIP</w:t>
      </w:r>
    </w:p>
    <w:p>
      <w:pPr>
        <w:spacing w:after="0"/>
      </w:pPr>
    </w:p>
    <w:p>
      <w:r>
        <w:rPr>
          <w:b w:val="0"/>
        </w:rPr>
        <w:t>Dear Program Officer,</w:t>
      </w:r>
    </w:p>
    <w:p>
      <w:r>
        <w:rPr>
          <w:b w:val="0"/>
        </w:rPr>
        <w:t>Kestrel Valley Housing Alliance requests $196,440 over twelve months for the Doorway Rapid Re-Housing Partnership, which will move 20 households out of shelter and unsheltered locations in Kestrel County into leases signed in their own names, and keep them there after the assistance ends.</w:t>
      </w:r>
    </w:p>
    <w:p>
      <w:r>
        <w:rPr>
          <w:b w:val="0"/>
        </w:rPr>
        <w:t>Kestrel County's rental vacancy rate has held at 2.1 percent for three consecutive quarters, and the two-bedroom Fair Market Rent of $1,180 sits $325 above what a household earning the county's median renter income can pay at 30 percent of income. Our Continuum's coordinated entry queue currently holds 96 households assessed and prioritized for rapid re-housing. Forty-one of them have no project opening to be referred to. Those 41 households are what this request reaches.</w:t>
      </w:r>
    </w:p>
    <w:p>
      <w:r>
        <w:rPr>
          <w:b w:val="0"/>
        </w:rPr>
        <w:t>The program is deliberately narrow. One full-time housing navigator does nothing but find units and sign landlords. A half-time housing case manager picks each household up at move-in and stays with them through a subsidy that steps down over six months. The budget separates the rental subsidy from staffing so you can see what the money buys: $99,800 of the request, just over half, reaches households directly as rent, deposits, arrears, move-in supplies and a damage reserve that persuades a hesitant landlord to sign.</w:t>
      </w:r>
    </w:p>
    <w:p>
      <w:r>
        <w:rPr>
          <w:b w:val="0"/>
        </w:rPr>
        <w:t>We can tell you where the units will come from because we have been finding them since 2016. Twenty-three landlords currently rent to our programs, 19 units turned over to us in the last twelve months, and this request funds 12 new landlord agreements on top of that base. The housing navigator position exists for no other purpose.</w:t>
      </w:r>
    </w:p>
    <w:p>
      <w:r>
        <w:rPr>
          <w:b w:val="0"/>
        </w:rPr>
        <w:t>Kestrel Valley Housing Alliance is a voting member of the Kestrel County Continuum of Care, enters all program data in the county HMIS, and placed 68 households into permanent housing last year. Our audited financial statements for the year ended June 30, 2026 carried no findings and no material weaknesses.</w:t>
      </w:r>
    </w:p>
    <w:p>
      <w:r>
        <w:rPr>
          <w:b w:val="0"/>
        </w:rPr>
        <w:t>We commit to measures you can audit rather than measures we would have to assemble for you. Sixteen of 20 households placed into permanent housing. A median of 45 days or fewer from enrollment to lease signing. Eighty-five percent of placed households still housed twelve months after move-in, verified in HMIS rather than by a phone call we remember making.</w:t>
      </w:r>
    </w:p>
    <w:p>
      <w:r>
        <w:rPr>
          <w:b w:val="0"/>
        </w:rPr>
        <w:t>Thank you for considering this request. I would be glad to walk a program officer through a lease-up from referral to keys, or to arrange a conversation with two of the landlords who rent to us.</w:t>
      </w:r>
    </w:p>
    <w:p>
      <w:pPr>
        <w:spacing w:after="0"/>
      </w:pPr>
    </w:p>
    <w:p>
      <w:pPr>
        <w:spacing w:after="0"/>
      </w:pPr>
      <w:r>
        <w:t>Sincerely,</w:t>
      </w:r>
    </w:p>
    <w:p>
      <w:pPr>
        <w:spacing w:after="0"/>
      </w:pPr>
    </w:p>
    <w:p>
      <w:pPr>
        <w:spacing w:after="0"/>
      </w:pPr>
    </w:p>
    <w:p>
      <w:pPr>
        <w:spacing w:after="0"/>
      </w:pPr>
      <w:r>
        <w:t>Executive Director</w:t>
      </w:r>
    </w:p>
    <w:p>
      <w:pPr>
        <w:spacing w:after="0"/>
      </w:pPr>
      <w:r>
        <w:t>Kestrel Valley Housing Alliance</w:t>
      </w:r>
    </w:p>
    <w:p>
      <w:pPr>
        <w:spacing w:after="0"/>
      </w:pPr>
      <w:r>
        <w:t>Phone | Email | EIN</w:t>
      </w:r>
    </w:p>
    <w:p/>
    <w:p>
      <w:pPr>
        <w:pStyle w:val="AdaptationNote"/>
      </w:pPr>
      <w:r>
        <w:t>Replace the signature block with your executive director's name, title, signature, direct phone, email and your EIN. If the funder's guidelines name a program officer, address them by name.</w:t>
      </w:r>
    </w:p>
    <w:p>
      <w:pPr>
        <w:pStyle w:val="Heading1"/>
      </w:pPr>
      <w:r>
        <w:t>4. Executive Summary</w:t>
      </w:r>
    </w:p>
    <w:p>
      <w:pPr>
        <w:pStyle w:val="AdaptationNote"/>
      </w:pPr>
      <w:r>
        <w:t>Adapt this section: write it last. One page. A housing reviewer should be able to name your intervention type, the households served, the request and the retention target by the second paragraph. If they cannot tell whether you run rapid re-housing or permanent supportive housing, they will assume you do not run either one often.</w:t>
      </w:r>
    </w:p>
    <w:p>
      <w:r>
        <w:rPr>
          <w:b w:val="0"/>
        </w:rPr>
        <w:t>Kestrel Valley Housing Alliance requests $196,440 for the Doorway Rapid Re-Housing Partnership, a twelve-month program that will enroll 20 households experiencing literal homelessness in Kestrel County, place 16 of them into permanent housing on leases in their own names, and support them through a rental subsidy that steps down over six months. The program runs from January 1 to December 31, 2027.</w:t>
      </w:r>
    </w:p>
    <w:p>
      <w:r>
        <w:rPr>
          <w:b w:val="0"/>
        </w:rPr>
        <w:t>The need is local and documented. On the single night of the January 2026 count, our Continuum identified 312 people in emergency shelter and transitional housing in Kestrel County. The most recent unsheltered count, conducted in January 2025 because our Continuum counts unsheltered people in odd-numbered years, identified a further 174 people living in places not meant for habitation. Over the twelve months ending June 30, 2026, our county HMIS recorded 1,140 households served across all homelessness projects, with a median emergency shelter stay of 61 days.</w:t>
      </w:r>
    </w:p>
    <w:p>
      <w:r>
        <w:rPr>
          <w:b w:val="0"/>
        </w:rPr>
        <w:t>The gap this request closes is not a shortage of assessment. It is a shortage of exits. Ninety-six households currently sit on the coordinated entry queue prioritized for rapid re-housing, and the county's Emergency Solutions Grants allocation is fully committed through the current program year. Forty-one of those households have no open project to be referred to, and the median time on the queue for that group is 134 days.</w:t>
      </w:r>
    </w:p>
    <w:p>
      <w:r>
        <w:rPr>
          <w:b w:val="0"/>
        </w:rPr>
        <w:t>The intervention is rapid re-housing, delivered by two positions with clearly divided work. A full-time housing navigator recruits landlords, inspects units, negotiates rents against the published Fair Market Rent and gets households to lease signing. A half-time housing case manager takes over at move-in and carries retention work through the taper and for six months past the last subsidy payment. No staff member does both jobs, because the skills are different and the housing search work stops the moment a caseload gets heavy.</w:t>
      </w:r>
    </w:p>
    <w:p>
      <w:r>
        <w:rPr>
          <w:b w:val="0"/>
        </w:rPr>
        <w:t>The budget separates the two things funders decide differently about. Direct household assistance is $99,800, covering rental subsidy, security and utility deposits, utility arrears, a landlord risk mitigation reserve, flexible client assistance and move-in supplies. Personnel and fringe are $94,240. HMIS licensing is $2,400. The total cost per household enrolled is $9,822.</w:t>
      </w:r>
    </w:p>
    <w:p>
      <w:r>
        <w:rPr>
          <w:b w:val="0"/>
        </w:rPr>
        <w:t>The program commits to five measurable objectives, all verifiable in HMIS. Sixteen of 20 enrolled households will move into permanent housing by December 31, 2027. The median time from enrollment to lease signing will be 45 days or fewer. Eighty-five percent of households placed on or before June 30, 2027 will still be in permanent housing twelve months after move-in. Twelve new landlord agreements will be signed during the grant year. No more than 10 percent of households exiting to permanent housing will return to homelessness within twelve months, measured on HUD's System Performance Measure 2 definition.</w:t>
      </w:r>
    </w:p>
    <w:p>
      <w:pPr>
        <w:pStyle w:val="Heading1"/>
      </w:pPr>
      <w:r>
        <w:t>5. Organization Background and Capacity</w:t>
      </w:r>
    </w:p>
    <w:p>
      <w:pPr>
        <w:pStyle w:val="AdaptationNote"/>
      </w:pPr>
      <w:r>
        <w:t>Adapt this section: 400 words. Housing background sections carry three requirements other sectors skip. State your Continuum of Care membership, confirm HMIS participation, and give last year's placement count. Those three do more for credibility than a paragraph about your founding.</w:t>
      </w:r>
    </w:p>
    <w:p>
      <w:r>
        <w:rPr>
          <w:b w:val="0"/>
        </w:rPr>
        <w:t>Kestrel Valley Housing Alliance is a 501(c)(3) nonprofit founded in 2016 to move households out of homelessness in Kestrel County and to keep them housed afterward. The organization operates three programs: a 24-bed emergency shelter in Millbrook, a homelessness prevention program that pays arrears for households with an active eviction filing, and a rapid re-housing program that placed 68 households into permanent housing in the year ended June 30, 2026. Total organizational budget for that year was $2.14 million, of which 71 percent was program expense.</w:t>
      </w:r>
    </w:p>
    <w:p>
      <w:r>
        <w:rPr>
          <w:b w:val="0"/>
        </w:rPr>
        <w:t>The Alliance has been a voting member of the Kestrel County Continuum of Care since 2018 and holds a seat on its coordinated entry committee. All three programs enter client-level data in the county HMIS, and the Alliance's data quality score in the Continuum's most recent quarterly review was 97 percent, above the Continuum's 95 percent threshold. Our staff complete the Continuum's HMIS training annually and our program director sits on the group that writes the Continuum's rapid re-housing written standards.</w:t>
      </w:r>
    </w:p>
    <w:p>
      <w:r>
        <w:rPr>
          <w:b w:val="0"/>
        </w:rPr>
        <w:t>Housing search capacity is the organizational asset most relevant to this request. Twenty-three private landlords currently rent to Alliance programs, holding 41 units between them, and 19 of those units turned over to an Alliance household in the last twelve months. The Alliance maintains a landlord log recording every property owner contacted, every unit held, every claim paid against the damage reserve and every tenancy that ended early. That log is available for review and is the source of the unit figures throughout this proposal.</w:t>
      </w:r>
    </w:p>
    <w:p>
      <w:r>
        <w:rPr>
          <w:b w:val="0"/>
        </w:rPr>
        <w:t>Financial and administrative capacity is established. The Alliance has passed six consecutive annual audits with no findings and no material weaknesses, most recently for the year ended June 30, 2026. It has administered federal pass-through funds, including an Emergency Solutions Grants subaward from the county, since 2019 without a monitoring finding. The organization carries general liability and directors and officers coverage, and a written policy governing direct client financial assistance that requires two-signature approval on any payment above $1,000.</w:t>
      </w:r>
    </w:p>
    <w:p>
      <w:r>
        <w:rPr>
          <w:b w:val="0"/>
        </w:rPr>
        <w:t>The board of directors has eleven seats, of which three are held by people with lived experience of homelessness, and it meets monthly. A staff of 14 includes seven direct service positions. The two positions in this request are new, and the program director who will supervise them is already on staff and is not charged to this grant.</w:t>
      </w:r>
    </w:p>
    <w:p>
      <w:pPr>
        <w:pStyle w:val="Heading1"/>
      </w:pPr>
      <w:r>
        <w:t>6. Statement of Need</w:t>
      </w:r>
    </w:p>
    <w:p>
      <w:pPr>
        <w:pStyle w:val="AdaptationNote"/>
      </w:pPr>
      <w:r>
        <w:t>Adapt this section: 700 to 900 words, built on four named sources: your Continuum's Point-in-Time count, your HMIS, HUD's published Fair Market Rent for your area, and Census American Community Survey rent burden data. Cite each by name and year inside the proposal. Do not pad with national statistics. A reviewer reading a request from your county wants your county.</w:t>
      </w:r>
    </w:p>
    <w:p>
      <w:pPr>
        <w:pStyle w:val="Heading2"/>
      </w:pPr>
      <w:r>
        <w:t>6.1 How many people, and how we know</w:t>
      </w:r>
    </w:p>
    <w:p>
      <w:r>
        <w:rPr>
          <w:b w:val="0"/>
        </w:rPr>
        <w:t>The Kestrel County Continuum of Care conducted its most recent sheltered Point-in-Time count on the night of January 28, 2026, identifying 312 people in emergency shelter and transitional housing, of whom 96 were in households with children. The most recent unsheltered count was conducted in January 2025 and identified 174 people living in places not meant for human habitation. Those two figures come from different years and should not be added together. Our Continuum counts sheltered people annually and unsheltered people in odd-numbered years, which is what HUD's operating guidance requires of Continuums, and which sits on top of the regulatory floor at 24 CFR 578.7(c)(2) requiring a point-in-time count at least biennially.</w:t>
      </w:r>
    </w:p>
    <w:p>
      <w:r>
        <w:rPr>
          <w:b w:val="0"/>
        </w:rPr>
        <w:t>A single night is a thin basis for a funding decision, so the Alliance pairs it with what a night cannot show. Over the twelve months ending June 30, 2026, the Kestrel County HMIS recorded 1,140 households served across all homelessness projects in the county. The median length of stay in emergency shelter was 61 days. Two hundred fourteen households exited to a permanent housing destination during that period, and 27 of them re-entered the homelessness system within twelve months of that exit. The annual figure is roughly three times the single-night figure, which is the normal relationship between the two and worth stating so a reviewer is not left comparing numbers that measure different things.</w:t>
      </w:r>
    </w:p>
    <w:p>
      <w:pPr>
        <w:pStyle w:val="Heading2"/>
      </w:pPr>
      <w:r>
        <w:t>6.2 The rent gap</w:t>
      </w:r>
    </w:p>
    <w:p>
      <w:r>
        <w:rPr>
          <w:b w:val="0"/>
        </w:rPr>
        <w:t>HUD publishes Fair Market Rents by state, county and metropolitan area each fiscal year. The two-bedroom Fair Market Rent for the Millbrook metropolitan area is $1,180 per month. A household earning the county's median renter income of $34,200 can afford $855 per month at the 30 percent standard. The gap is $325 a month, or $3,900 a year, and it is the whole reason a household that finds work still cannot find a unit.</w:t>
      </w:r>
    </w:p>
    <w:p>
      <w:r>
        <w:rPr>
          <w:b w:val="0"/>
        </w:rPr>
        <w:t>Census American Community Survey table B25070, gross rent as a percentage of household income in the past twelve months, reports that 48 percent of renter households in Kestrel County pay more than 30 percent of income toward rent, and 24 percent pay more than half. A household paying half its income in rent has no capacity to absorb a car repair, a reduced shift schedule or a late paycheck, which is the sequence that produces most of the households in our shelter.</w:t>
      </w:r>
    </w:p>
    <w:p>
      <w:pPr>
        <w:pStyle w:val="Heading2"/>
      </w:pPr>
      <w:r>
        <w:t>6.3 The supply problem, which is the harder one</w:t>
      </w:r>
    </w:p>
    <w:p>
      <w:r>
        <w:rPr>
          <w:b w:val="0"/>
        </w:rPr>
        <w:t>Need alone does not tell a funder whether the money can be spent. The county's rental vacancy rate has held at 2.1 percent for three consecutive quarters. At that rate, a household holding a subsidy commitment letter is still competing for a unit against applicants with better credit, no eviction record and no gap in rental history, and losing. Of the 89 households the Alliance enrolled in rapid re-housing last year, 14 were denied by at least one landlord after an application fee had been paid, and the most common stated reason was a prior eviction filing.</w:t>
      </w:r>
    </w:p>
    <w:p>
      <w:r>
        <w:rPr>
          <w:b w:val="0"/>
        </w:rPr>
        <w:t>This is why the request funds a housing navigator rather than another case manager, and why it funds a landlord risk mitigation reserve. Nineteen units turned over to the Alliance last year, produced by program staff splitting housing search against a case management caseload, which is the arrangement this position is designed to replace. The reserve is what a landlord is actually asking for when they hesitate over an applicant with an eviction record: a named fund that will cover damage beyond the deposit, up to $1,000 per unit, with a person who answers the phone.</w:t>
      </w:r>
    </w:p>
    <w:p>
      <w:pPr>
        <w:pStyle w:val="Heading2"/>
      </w:pPr>
      <w:r>
        <w:t>6.4 The households this request reaches</w:t>
      </w:r>
    </w:p>
    <w:p>
      <w:r>
        <w:rPr>
          <w:b w:val="0"/>
        </w:rPr>
        <w:t>The Kestrel County coordinated entry queue currently holds 96 households assessed and prioritized for rapid re-housing. Forty-one have no project opening available to them, and the median time on the queue for that group is 134 days. The county's Emergency Solutions Grants allocation is fully committed through the current program year, and the Continuum's rapid re-housing projects are operating at capacity.</w:t>
      </w:r>
    </w:p>
    <w:p>
      <w:r>
        <w:rPr>
          <w:b w:val="0"/>
        </w:rPr>
        <w:t>Within that group of 41, the households this request prioritizes are the ones that public funding reaches least well: households that have already used the 24 months of Emergency Solutions Grants rental assistance available in any three-year period under 24 CFR 576.106, households carrying rent arrears beyond the one-time six-month payment that section allows, households with income too high for one project and no documented disability for another, and households whose barrier is a $1,000 damage reserve rather than a subsidy at all. Section 11 and Appendix B state the boundary against public funding line by line.</w:t>
      </w:r>
    </w:p>
    <w:p>
      <w:pPr>
        <w:pStyle w:val="AdaptationNote"/>
      </w:pPr>
      <w:r>
        <w:t>Replace every figure in this section with yours, and keep the source next to it in your own notes. Pull the Point-in-Time figures from your Continuum's published count and check which year the unsheltered number is from before you quote it. Pull the annual figures from your HMIS. Pull the Fair Market Rent from HUD User for your metropolitan area and fiscal year. Pull the rent burden shares from ACS table B25070 for your county. Pull vacancy from your local rental market report or ACS. Pull the queue figures from your coordinated entry lead agency and get them in writing.</w:t>
      </w:r>
    </w:p>
    <w:p>
      <w:pPr>
        <w:pStyle w:val="Heading1"/>
      </w:pPr>
      <w:r>
        <w:t>7. Program Description</w:t>
      </w:r>
    </w:p>
    <w:p>
      <w:pPr>
        <w:pStyle w:val="AdaptationNote"/>
      </w:pPr>
      <w:r>
        <w:t>Adapt this section: 900 words or more. This section and the statement of need carry the document. Name the intervention in the first sentence, describe the referral path, say who finds the unit, and state the subsidy duration and how it steps down. A housing reviewer reads this section looking for the moment the plan becomes vague.</w:t>
      </w:r>
    </w:p>
    <w:p>
      <w:pPr>
        <w:pStyle w:val="Heading3"/>
      </w:pPr>
      <w:r>
        <w:t>7.1 Intervention and model</w:t>
      </w:r>
    </w:p>
    <w:p>
      <w:r>
        <w:rPr>
          <w:b w:val="0"/>
        </w:rPr>
        <w:t>The Doorway Rapid Re-Housing Partnership is a rapid re-housing program: time-limited rental assistance paired with housing search and case management, ending in a lease held by the household in their own name. It is an operating request. No part of it funds acquisition, construction or rehabilitation, and the Alliance owns no units.</w:t>
      </w:r>
    </w:p>
    <w:p>
      <w:r>
        <w:rPr>
          <w:b w:val="0"/>
        </w:rPr>
        <w:t>The program enrolls 20 households over the grant year and expects to place 16 of them into permanent housing. Households are not screened on income, credit, criminal record, sobriety or service participation, consistent with the Continuum's written standards and with a Housing First approach. The only eligibility requirements are literal homelessness as HUD defines it, a referral through coordinated entry, and a household composition that fits the units available.</w:t>
      </w:r>
    </w:p>
    <w:p>
      <w:pPr>
        <w:pStyle w:val="Heading3"/>
      </w:pPr>
      <w:r>
        <w:t>7.2 Referral path and enrollment</w:t>
      </w:r>
    </w:p>
    <w:p>
      <w:r>
        <w:rPr>
          <w:b w:val="0"/>
        </w:rPr>
        <w:t>Every household enters through the Kestrel County coordinated entry system. The Continuum's lead agency maintains the prioritization queue, and the Alliance accepts referrals in queue order rather than selecting households itself. When the housing navigator has capacity, the Alliance notifies the lead agency of an opening and receives the next prioritized household on the rapid re-housing list.</w:t>
      </w:r>
    </w:p>
    <w:p>
      <w:r>
        <w:rPr>
          <w:b w:val="0"/>
        </w:rPr>
        <w:t>Enrollment happens within five business days of referral and includes an HMIS project entry, a housing barriers assessment, a document readiness check covering identification, income verification and birth certificates for minors, and a housing preference conversation covering school district, workplace and transit access. Document readiness is done at enrollment rather than at application, because a household that finds a unit and then spends three weeks obtaining a replacement birth certificate usually loses the unit.</w:t>
      </w:r>
    </w:p>
    <w:p>
      <w:pPr>
        <w:pStyle w:val="Heading3"/>
      </w:pPr>
      <w:r>
        <w:t>7.3 Housing search and landlord engagement</w:t>
      </w:r>
    </w:p>
    <w:p>
      <w:r>
        <w:rPr>
          <w:b w:val="0"/>
        </w:rPr>
        <w:t>The housing navigator carries the search. That position holds no case management caseload and no shelter duties, and it is the position this request is built around. Its work is recruiting landlords, maintaining the landlord log, viewing and inspecting units, negotiating rents against the published Fair Market Rent, walking households through applications, and getting to a signed lease. The navigator carries up to 12 active housing searches at a time.</w:t>
      </w:r>
    </w:p>
    <w:p>
      <w:r>
        <w:rPr>
          <w:b w:val="0"/>
        </w:rPr>
        <w:t>Landlord recruitment runs on a schedule rather than on demand. The navigator makes at least eight direct property owner contacts per week, attends the county apartment association's monthly meeting, and maintains a quarterly touch with every landlord already in the log whether or not a unit is available. The request funds 12 new landlord agreements over the grant year, on top of the 23 landlords already renting to Alliance programs.</w:t>
      </w:r>
    </w:p>
    <w:p>
      <w:r>
        <w:rPr>
          <w:b w:val="0"/>
        </w:rPr>
        <w:t>Three commitments make the difference when a landlord hesitates. Rent is paid directly to the landlord, on time, by electronic transfer on the first of the month. Damage beyond the security deposit is covered from a named risk mitigation reserve up to $1,000 per unit, with a written claims process and a decision within ten business days. The navigator gives every landlord a direct mobile number and answers it. Landlords do not sign because of a mission statement. They sign because someone reliable picks up the phone.</w:t>
      </w:r>
    </w:p>
    <w:p>
      <w:r>
        <w:rPr>
          <w:b w:val="0"/>
        </w:rPr>
        <w:t>Units must pass a habitability inspection conducted by the navigator before lease signing, and rent must be reasonable against comparable unassisted units in the same submarket. Where a unit's rent exceeds the Fair Market Rent, the navigator negotiates or documents in writing why the unit is still the right placement for that household.</w:t>
      </w:r>
    </w:p>
    <w:p>
      <w:pPr>
        <w:pStyle w:val="Heading3"/>
      </w:pPr>
      <w:r>
        <w:t>7.4 Subsidy structure and taper</w:t>
      </w:r>
    </w:p>
    <w:p>
      <w:r>
        <w:rPr>
          <w:b w:val="0"/>
        </w:rPr>
        <w:t>Assistance is time-limited and declining, and the household knows the schedule before they sign. The standard structure is six months: full rent in months one and two, 60 percent in months three and four, 30 percent in months five and six, and no payment in month seven. The household pays the balance from the first month, so there is never a month in which their rent obligation jumps from zero to full.</w:t>
      </w:r>
    </w:p>
    <w:p>
      <w:r>
        <w:rPr>
          <w:b w:val="0"/>
        </w:rPr>
        <w:t>Not every household needs six months. Roughly eight of the 20 households enrolled each year are expected to need short-term help, typically a deposit and one or two months while a wage or a benefit starts, at an average of $2,550. The remaining twelve are expected to run the full taper at an average of $4,300. That mix produces the $72,000 rental assistance pool in Section 10, which averages $3,600 per household enrolled.</w:t>
      </w:r>
    </w:p>
    <w:p>
      <w:r>
        <w:rPr>
          <w:b w:val="0"/>
        </w:rPr>
        <w:t>The taper is a plan, not a rule. A household whose income has not arrived by month five can be extended by up to three months on written approval of the program director, drawing from the same pool. Extensions reduce the number of households the pool can serve, which is why the program tracks extensions monthly and reports them to the funder rather than quietly absorbing them.</w:t>
      </w:r>
    </w:p>
    <w:p>
      <w:r>
        <w:rPr>
          <w:b w:val="0"/>
        </w:rPr>
        <w:t>The month-seven question gets answered before move-in, not at month six. At enrollment, the case manager and household write a housing stability plan naming the income the household expects to be paying rent from: earned wages at a stated hourly rate and weekly hours, a benefit application already filed, a household member returning to work, or a rent-to-income ratio the household can sustain in a smaller unit. If no path exists, the honest answer is that rapid re-housing is the wrong intervention for that household, and the case manager refers back to coordinated entry for a permanent supportive housing assessment.</w:t>
      </w:r>
    </w:p>
    <w:p>
      <w:pPr>
        <w:pStyle w:val="Heading3"/>
      </w:pPr>
      <w:r>
        <w:t>7.5 Case management and retention</w:t>
      </w:r>
    </w:p>
    <w:p>
      <w:r>
        <w:rPr>
          <w:b w:val="0"/>
        </w:rPr>
        <w:t>The housing case manager takes over at move-in and carries up to 15 households. Contact is weekly for the first month, twice monthly through the taper, then monthly through six months past the final subsidy payment. Visits happen at the unit rather than at the office, because a rent problem, a habitability problem and a neighbor problem all show up at the unit and none of them show up in a phone call.</w:t>
      </w:r>
    </w:p>
    <w:p>
      <w:r>
        <w:rPr>
          <w:b w:val="0"/>
        </w:rPr>
        <w:t>The retention work is specific: confirming rent was paid and received, mediating with the landlord at the first late payment rather than the third, connecting the household to employment services, benefits enrollment and childcare subsidy, and setting up a direct-deposit rent habit before the subsidy ends. Where a tenancy is at risk, the case manager has access to the flexible client assistance line to cover a single missed payment, an application fee for a transfer, or a car repair that is threatening the job the rent depends on.</w:t>
      </w:r>
    </w:p>
    <w:p>
      <w:pPr>
        <w:pStyle w:val="Heading3"/>
      </w:pPr>
      <w:r>
        <w:t>7.6 Exit and follow-up</w:t>
      </w:r>
    </w:p>
    <w:p>
      <w:r>
        <w:rPr>
          <w:b w:val="0"/>
        </w:rPr>
        <w:t>Households exit the program in HMIS 30 days after the final subsidy payment, with the exit destination recorded. Follow-up contact is attempted at 3, 6 and 12 months after move-in and is recorded in HMIS whether or not it succeeds, so that the retention figure the Alliance reports is a measured rate with a stated response rate rather than a rate calculated only on households easy to reach.</w:t>
      </w:r>
    </w:p>
    <w:p>
      <w:pPr>
        <w:pStyle w:val="Heading3"/>
      </w:pPr>
      <w:r>
        <w:t>7.7 Timeline</w:t>
      </w:r>
    </w:p>
    <w:tbl>
      <w:tblPr>
        <w:tblStyle w:val="LightGrid-Accent1"/>
        <w:tblW w:type="auto" w:w="0"/>
        <w:jc w:val="center"/>
        <w:tblLook w:firstColumn="1" w:firstRow="1" w:lastColumn="0" w:lastRow="0" w:noHBand="0" w:noVBand="1" w:val="04A0"/>
      </w:tblPr>
      <w:tblGrid>
        <w:gridCol w:w="3120"/>
        <w:gridCol w:w="3120"/>
        <w:gridCol w:w="3120"/>
      </w:tblGrid>
      <w:tr>
        <w:tc>
          <w:tcPr>
            <w:tcW w:type="dxa" w:w="1728"/>
          </w:tcPr>
          <w:p>
            <w:pPr>
              <w:spacing w:after="60" w:before="60"/>
            </w:pPr>
            <w:r/>
            <w:r>
              <w:rPr>
                <w:b/>
                <w:sz w:val="20"/>
              </w:rPr>
              <w:t>Period</w:t>
            </w:r>
          </w:p>
        </w:tc>
        <w:tc>
          <w:tcPr>
            <w:tcW w:type="dxa" w:w="5184"/>
          </w:tcPr>
          <w:p>
            <w:pPr>
              <w:spacing w:after="60" w:before="60"/>
            </w:pPr>
            <w:r/>
            <w:r>
              <w:rPr>
                <w:b/>
                <w:sz w:val="20"/>
              </w:rPr>
              <w:t>Activity</w:t>
            </w:r>
          </w:p>
        </w:tc>
        <w:tc>
          <w:tcPr>
            <w:tcW w:type="dxa" w:w="2448"/>
          </w:tcPr>
          <w:p>
            <w:pPr>
              <w:spacing w:after="60" w:before="60"/>
            </w:pPr>
            <w:r/>
            <w:r>
              <w:rPr>
                <w:b/>
                <w:sz w:val="20"/>
              </w:rPr>
              <w:t>Milestone</w:t>
            </w:r>
          </w:p>
        </w:tc>
      </w:tr>
      <w:tr>
        <w:tc>
          <w:tcPr>
            <w:tcW w:type="dxa" w:w="1728"/>
          </w:tcPr>
          <w:p>
            <w:pPr>
              <w:spacing w:after="60" w:before="60"/>
            </w:pPr>
            <w:r/>
            <w:r>
              <w:rPr>
                <w:sz w:val="20"/>
              </w:rPr>
              <w:t>Jan 2027</w:t>
            </w:r>
          </w:p>
        </w:tc>
        <w:tc>
          <w:tcPr>
            <w:tcW w:type="dxa" w:w="5184"/>
          </w:tcPr>
          <w:p>
            <w:pPr>
              <w:spacing w:after="60" w:before="60"/>
            </w:pPr>
            <w:r/>
            <w:r>
              <w:rPr>
                <w:sz w:val="20"/>
              </w:rPr>
              <w:t>Hire navigator and case manager, brief coordinated entry lead, open project in HMIS</w:t>
            </w:r>
          </w:p>
        </w:tc>
        <w:tc>
          <w:tcPr>
            <w:tcW w:type="dxa" w:w="2448"/>
          </w:tcPr>
          <w:p>
            <w:pPr>
              <w:spacing w:after="60" w:before="60"/>
            </w:pPr>
            <w:r/>
            <w:r>
              <w:rPr>
                <w:sz w:val="20"/>
              </w:rPr>
              <w:t>Both positions filled by Jan 31</w:t>
            </w:r>
          </w:p>
        </w:tc>
      </w:tr>
      <w:tr>
        <w:tc>
          <w:tcPr>
            <w:tcW w:type="dxa" w:w="1728"/>
          </w:tcPr>
          <w:p>
            <w:pPr>
              <w:spacing w:after="60" w:before="60"/>
            </w:pPr>
            <w:r/>
            <w:r>
              <w:rPr>
                <w:sz w:val="20"/>
              </w:rPr>
              <w:t>Feb to Mar 2027</w:t>
            </w:r>
          </w:p>
        </w:tc>
        <w:tc>
          <w:tcPr>
            <w:tcW w:type="dxa" w:w="5184"/>
          </w:tcPr>
          <w:p>
            <w:pPr>
              <w:spacing w:after="60" w:before="60"/>
            </w:pPr>
            <w:r/>
            <w:r>
              <w:rPr>
                <w:sz w:val="20"/>
              </w:rPr>
              <w:t>Landlord recruitment sprint, first referrals accepted, first enrollments</w:t>
            </w:r>
          </w:p>
        </w:tc>
        <w:tc>
          <w:tcPr>
            <w:tcW w:type="dxa" w:w="2448"/>
          </w:tcPr>
          <w:p>
            <w:pPr>
              <w:spacing w:after="60" w:before="60"/>
            </w:pPr>
            <w:r/>
            <w:r>
              <w:rPr>
                <w:sz w:val="20"/>
              </w:rPr>
              <w:t>6 households enrolled, 4 new landlord agreements</w:t>
            </w:r>
          </w:p>
        </w:tc>
      </w:tr>
      <w:tr>
        <w:tc>
          <w:tcPr>
            <w:tcW w:type="dxa" w:w="1728"/>
          </w:tcPr>
          <w:p>
            <w:pPr>
              <w:spacing w:after="60" w:before="60"/>
            </w:pPr>
            <w:r/>
            <w:r>
              <w:rPr>
                <w:sz w:val="20"/>
              </w:rPr>
              <w:t>Apr to Jun 2027</w:t>
            </w:r>
          </w:p>
        </w:tc>
        <w:tc>
          <w:tcPr>
            <w:tcW w:type="dxa" w:w="5184"/>
          </w:tcPr>
          <w:p>
            <w:pPr>
              <w:spacing w:after="60" w:before="60"/>
            </w:pPr>
            <w:r/>
            <w:r>
              <w:rPr>
                <w:sz w:val="20"/>
              </w:rPr>
              <w:t>Steady enrollment and lease-up, first tapers begin</w:t>
            </w:r>
          </w:p>
        </w:tc>
        <w:tc>
          <w:tcPr>
            <w:tcW w:type="dxa" w:w="2448"/>
          </w:tcPr>
          <w:p>
            <w:pPr>
              <w:spacing w:after="60" w:before="60"/>
            </w:pPr>
            <w:r/>
            <w:r>
              <w:rPr>
                <w:sz w:val="20"/>
              </w:rPr>
              <w:t>12 households enrolled cumulative, 9 placed</w:t>
            </w:r>
          </w:p>
        </w:tc>
      </w:tr>
      <w:tr>
        <w:tc>
          <w:tcPr>
            <w:tcW w:type="dxa" w:w="1728"/>
          </w:tcPr>
          <w:p>
            <w:pPr>
              <w:spacing w:after="60" w:before="60"/>
            </w:pPr>
            <w:r/>
            <w:r>
              <w:rPr>
                <w:sz w:val="20"/>
              </w:rPr>
              <w:t>Jul to Sep 2027</w:t>
            </w:r>
          </w:p>
        </w:tc>
        <w:tc>
          <w:tcPr>
            <w:tcW w:type="dxa" w:w="5184"/>
          </w:tcPr>
          <w:p>
            <w:pPr>
              <w:spacing w:after="60" w:before="60"/>
            </w:pPr>
            <w:r/>
            <w:r>
              <w:rPr>
                <w:sz w:val="20"/>
              </w:rPr>
              <w:t>Enrollment completes, retention caseload peaks, mid-year report to funder</w:t>
            </w:r>
          </w:p>
        </w:tc>
        <w:tc>
          <w:tcPr>
            <w:tcW w:type="dxa" w:w="2448"/>
          </w:tcPr>
          <w:p>
            <w:pPr>
              <w:spacing w:after="60" w:before="60"/>
            </w:pPr>
            <w:r/>
            <w:r>
              <w:rPr>
                <w:sz w:val="20"/>
              </w:rPr>
              <w:t>20 households enrolled cumulative, 14 placed</w:t>
            </w:r>
          </w:p>
        </w:tc>
      </w:tr>
      <w:tr>
        <w:tc>
          <w:tcPr>
            <w:tcW w:type="dxa" w:w="1728"/>
          </w:tcPr>
          <w:p>
            <w:pPr>
              <w:spacing w:after="60" w:before="60"/>
            </w:pPr>
            <w:r/>
            <w:r>
              <w:rPr>
                <w:sz w:val="20"/>
              </w:rPr>
              <w:t>Oct to Dec 2027</w:t>
            </w:r>
          </w:p>
        </w:tc>
        <w:tc>
          <w:tcPr>
            <w:tcW w:type="dxa" w:w="5184"/>
          </w:tcPr>
          <w:p>
            <w:pPr>
              <w:spacing w:after="60" w:before="60"/>
            </w:pPr>
            <w:r/>
            <w:r>
              <w:rPr>
                <w:sz w:val="20"/>
              </w:rPr>
              <w:t>Final placements, 12-month follow-ups on early placements, close-out</w:t>
            </w:r>
          </w:p>
        </w:tc>
        <w:tc>
          <w:tcPr>
            <w:tcW w:type="dxa" w:w="2448"/>
          </w:tcPr>
          <w:p>
            <w:pPr>
              <w:spacing w:after="60" w:before="60"/>
            </w:pPr>
            <w:r/>
            <w:r>
              <w:rPr>
                <w:sz w:val="20"/>
              </w:rPr>
              <w:t>16 placed, 12 new landlord agreements, final report</w:t>
            </w:r>
          </w:p>
        </w:tc>
      </w:tr>
    </w:tbl>
    <w:p/>
    <w:p>
      <w:pPr>
        <w:pStyle w:val="Heading1"/>
      </w:pPr>
      <w:r>
        <w:t>8. Goals and Objectives</w:t>
      </w:r>
    </w:p>
    <w:p>
      <w:pPr>
        <w:pStyle w:val="AdaptationNote"/>
      </w:pPr>
      <w:r>
        <w:t>Adapt this section: keep it to five objectives or fewer. Each one names an instrument, a baseline where you have one, a target and a deadline. Promise what you control. Monitor the rest and say so.</w:t>
      </w:r>
    </w:p>
    <w:p>
      <w:r>
        <w:rPr>
          <w:b/>
        </w:rPr>
        <w:t>Goal: households experiencing homelessness in Kestrel County obtain permanent housing quickly and remain housed after time-limited assistance ends.</w:t>
      </w:r>
    </w:p>
    <w:p>
      <w:r>
        <w:rPr>
          <w:b w:val="0"/>
        </w:rPr>
        <w:t>Objective 1. By December 31, 2027, 16 of 20 enrolled households will have moved into permanent housing on a lease held in the household's name, measured by move-in date and exit destination in the Kestrel County HMIS. Baseline: the Alliance placed 68 of 89 enrolled households, or 76 percent, in the year ended June 30, 2026.</w:t>
      </w:r>
    </w:p>
    <w:p>
      <w:r>
        <w:rPr>
          <w:b w:val="0"/>
        </w:rPr>
        <w:t>Objective 2. Across all placements in the grant year, the median time from program enrollment to lease signing will be 45 days or fewer, measured from HMIS enrollment and housing move-in dates. Baseline: the Alliance's median was 52 days in the year ended June 30, 2026.</w:t>
      </w:r>
    </w:p>
    <w:p>
      <w:r>
        <w:rPr>
          <w:b w:val="0"/>
        </w:rPr>
        <w:t>Objective 3. Of households placed on or before June 30, 2027, 85 percent will still be in permanent housing twelve months after move-in, verified by follow-up contact recorded in HMIS. The reported figure will state the response rate alongside the retention rate.</w:t>
      </w:r>
    </w:p>
    <w:p>
      <w:r>
        <w:rPr>
          <w:b w:val="0"/>
        </w:rPr>
        <w:t>Objective 4. By December 31, 2027, 12 new landlord agreements will be signed and recorded in the program landlord log, adding to the 23 landlords currently renting to Alliance programs.</w:t>
      </w:r>
    </w:p>
    <w:p>
      <w:r>
        <w:rPr>
          <w:b w:val="0"/>
        </w:rPr>
        <w:t>Objective 5. Of households exiting the program to a permanent housing destination, no more than 10 percent will return to homelessness within twelve months, measured on the definition HUD uses in System Performance Measure 2 and drawn from HMIS.</w:t>
      </w:r>
    </w:p>
    <w:p>
      <w:r>
        <w:rPr>
          <w:b w:val="0"/>
        </w:rPr>
        <w:t>Two further measures are monitored and reported but not promised, because the program does not control them within a twelve-month period. The first is returns to homelessness at 24 months, which extends past the grant year for every household enrolled after December 2026 and will be reported to the funder when the interval closes. The second is income change at exit, where the Alliance expects half of placed households to show increased earned or benefit income, a figure that moves with the local labor market and with benefit processing times at the state agency.</w:t>
      </w:r>
    </w:p>
    <w:p>
      <w:pPr>
        <w:pStyle w:val="Heading1"/>
      </w:pPr>
      <w:r>
        <w:t>9. Evaluation Plan</w:t>
      </w:r>
    </w:p>
    <w:p>
      <w:pPr>
        <w:pStyle w:val="AdaptationNote"/>
      </w:pPr>
      <w:r>
        <w:t>Adapt this section: 500 words. Use measures your HMIS already produces. A funder can tell the difference between a metric you track and a metric you invented for the proposal, and the second kind never gets reported.</w:t>
      </w:r>
    </w:p>
    <w:p>
      <w:r>
        <w:rPr>
          <w:b w:val="0"/>
        </w:rPr>
        <w:t>Every measure below already exists in the Kestrel County HMIS or in the program landlord log. The program adds no separate tracking system, which is the reason these figures will still be reported accurately in month eleven.</w:t>
      </w:r>
    </w:p>
    <w:tbl>
      <w:tblPr>
        <w:tblStyle w:val="LightGrid-Accent1"/>
        <w:tblW w:type="auto" w:w="0"/>
        <w:jc w:val="center"/>
        <w:tblLook w:firstColumn="1" w:firstRow="1" w:lastColumn="0" w:lastRow="0" w:noHBand="0" w:noVBand="1" w:val="04A0"/>
      </w:tblPr>
      <w:tblGrid>
        <w:gridCol w:w="2340"/>
        <w:gridCol w:w="2340"/>
        <w:gridCol w:w="2340"/>
        <w:gridCol w:w="2340"/>
      </w:tblGrid>
      <w:tr>
        <w:tc>
          <w:tcPr>
            <w:tcW w:type="dxa" w:w="1872"/>
          </w:tcPr>
          <w:p>
            <w:pPr>
              <w:spacing w:after="60" w:before="60"/>
            </w:pPr>
            <w:r/>
            <w:r>
              <w:rPr>
                <w:b/>
                <w:sz w:val="20"/>
              </w:rPr>
              <w:t>Measure</w:t>
            </w:r>
          </w:p>
        </w:tc>
        <w:tc>
          <w:tcPr>
            <w:tcW w:type="dxa" w:w="2880"/>
          </w:tcPr>
          <w:p>
            <w:pPr>
              <w:spacing w:after="60" w:before="60"/>
            </w:pPr>
            <w:r/>
            <w:r>
              <w:rPr>
                <w:b/>
                <w:sz w:val="20"/>
              </w:rPr>
              <w:t>Definition</w:t>
            </w:r>
          </w:p>
        </w:tc>
        <w:tc>
          <w:tcPr>
            <w:tcW w:type="dxa" w:w="2448"/>
          </w:tcPr>
          <w:p>
            <w:pPr>
              <w:spacing w:after="60" w:before="60"/>
            </w:pPr>
            <w:r/>
            <w:r>
              <w:rPr>
                <w:b/>
                <w:sz w:val="20"/>
              </w:rPr>
              <w:t>Data source</w:t>
            </w:r>
          </w:p>
        </w:tc>
        <w:tc>
          <w:tcPr>
            <w:tcW w:type="dxa" w:w="2160"/>
          </w:tcPr>
          <w:p>
            <w:pPr>
              <w:spacing w:after="60" w:before="60"/>
            </w:pPr>
            <w:r/>
            <w:r>
              <w:rPr>
                <w:b/>
                <w:sz w:val="20"/>
              </w:rPr>
              <w:t>Target</w:t>
            </w:r>
          </w:p>
        </w:tc>
      </w:tr>
      <w:tr>
        <w:tc>
          <w:tcPr>
            <w:tcW w:type="dxa" w:w="1872"/>
          </w:tcPr>
          <w:p>
            <w:pPr>
              <w:spacing w:after="60" w:before="60"/>
            </w:pPr>
            <w:r/>
            <w:r>
              <w:rPr>
                <w:sz w:val="20"/>
              </w:rPr>
              <w:t>Housing placement rate</w:t>
            </w:r>
          </w:p>
        </w:tc>
        <w:tc>
          <w:tcPr>
            <w:tcW w:type="dxa" w:w="2880"/>
          </w:tcPr>
          <w:p>
            <w:pPr>
              <w:spacing w:after="60" w:before="60"/>
            </w:pPr>
            <w:r/>
            <w:r>
              <w:rPr>
                <w:sz w:val="20"/>
              </w:rPr>
              <w:t>Enrolled households that move into permanent housing</w:t>
            </w:r>
          </w:p>
        </w:tc>
        <w:tc>
          <w:tcPr>
            <w:tcW w:type="dxa" w:w="2448"/>
          </w:tcPr>
          <w:p>
            <w:pPr>
              <w:spacing w:after="60" w:before="60"/>
            </w:pPr>
            <w:r/>
            <w:r>
              <w:rPr>
                <w:sz w:val="20"/>
              </w:rPr>
              <w:t>HMIS move-in date and exit destination</w:t>
            </w:r>
          </w:p>
        </w:tc>
        <w:tc>
          <w:tcPr>
            <w:tcW w:type="dxa" w:w="2160"/>
          </w:tcPr>
          <w:p>
            <w:pPr>
              <w:spacing w:after="60" w:before="60"/>
            </w:pPr>
            <w:r/>
            <w:r>
              <w:rPr>
                <w:sz w:val="20"/>
              </w:rPr>
              <w:t>16 of 20 households</w:t>
            </w:r>
          </w:p>
        </w:tc>
      </w:tr>
      <w:tr>
        <w:tc>
          <w:tcPr>
            <w:tcW w:type="dxa" w:w="1872"/>
          </w:tcPr>
          <w:p>
            <w:pPr>
              <w:spacing w:after="60" w:before="60"/>
            </w:pPr>
            <w:r/>
            <w:r>
              <w:rPr>
                <w:sz w:val="20"/>
              </w:rPr>
              <w:t>Time to move-in</w:t>
            </w:r>
          </w:p>
        </w:tc>
        <w:tc>
          <w:tcPr>
            <w:tcW w:type="dxa" w:w="2880"/>
          </w:tcPr>
          <w:p>
            <w:pPr>
              <w:spacing w:after="60" w:before="60"/>
            </w:pPr>
            <w:r/>
            <w:r>
              <w:rPr>
                <w:sz w:val="20"/>
              </w:rPr>
              <w:t>Median days from enrollment to lease signing</w:t>
            </w:r>
          </w:p>
        </w:tc>
        <w:tc>
          <w:tcPr>
            <w:tcW w:type="dxa" w:w="2448"/>
          </w:tcPr>
          <w:p>
            <w:pPr>
              <w:spacing w:after="60" w:before="60"/>
            </w:pPr>
            <w:r/>
            <w:r>
              <w:rPr>
                <w:sz w:val="20"/>
              </w:rPr>
              <w:t>HMIS enrollment and move-in dates</w:t>
            </w:r>
          </w:p>
        </w:tc>
        <w:tc>
          <w:tcPr>
            <w:tcW w:type="dxa" w:w="2160"/>
          </w:tcPr>
          <w:p>
            <w:pPr>
              <w:spacing w:after="60" w:before="60"/>
            </w:pPr>
            <w:r/>
            <w:r>
              <w:rPr>
                <w:sz w:val="20"/>
              </w:rPr>
              <w:t>Median 45 days or fewer</w:t>
            </w:r>
          </w:p>
        </w:tc>
      </w:tr>
      <w:tr>
        <w:tc>
          <w:tcPr>
            <w:tcW w:type="dxa" w:w="1872"/>
          </w:tcPr>
          <w:p>
            <w:pPr>
              <w:spacing w:after="60" w:before="60"/>
            </w:pPr>
            <w:r/>
            <w:r>
              <w:rPr>
                <w:sz w:val="20"/>
              </w:rPr>
              <w:t>Retention at 12 months</w:t>
            </w:r>
          </w:p>
        </w:tc>
        <w:tc>
          <w:tcPr>
            <w:tcW w:type="dxa" w:w="2880"/>
          </w:tcPr>
          <w:p>
            <w:pPr>
              <w:spacing w:after="60" w:before="60"/>
            </w:pPr>
            <w:r/>
            <w:r>
              <w:rPr>
                <w:sz w:val="20"/>
              </w:rPr>
              <w:t>Households still in permanent housing one year after move-in</w:t>
            </w:r>
          </w:p>
        </w:tc>
        <w:tc>
          <w:tcPr>
            <w:tcW w:type="dxa" w:w="2448"/>
          </w:tcPr>
          <w:p>
            <w:pPr>
              <w:spacing w:after="60" w:before="60"/>
            </w:pPr>
            <w:r/>
            <w:r>
              <w:rPr>
                <w:sz w:val="20"/>
              </w:rPr>
              <w:t>Follow-up contact recorded in HMIS</w:t>
            </w:r>
          </w:p>
        </w:tc>
        <w:tc>
          <w:tcPr>
            <w:tcW w:type="dxa" w:w="2160"/>
          </w:tcPr>
          <w:p>
            <w:pPr>
              <w:spacing w:after="60" w:before="60"/>
            </w:pPr>
            <w:r/>
            <w:r>
              <w:rPr>
                <w:sz w:val="20"/>
              </w:rPr>
              <w:t>85 percent of placed households</w:t>
            </w:r>
          </w:p>
        </w:tc>
      </w:tr>
      <w:tr>
        <w:tc>
          <w:tcPr>
            <w:tcW w:type="dxa" w:w="1872"/>
          </w:tcPr>
          <w:p>
            <w:pPr>
              <w:spacing w:after="60" w:before="60"/>
            </w:pPr>
            <w:r/>
            <w:r>
              <w:rPr>
                <w:sz w:val="20"/>
              </w:rPr>
              <w:t>Returns to homelessness</w:t>
            </w:r>
          </w:p>
        </w:tc>
        <w:tc>
          <w:tcPr>
            <w:tcW w:type="dxa" w:w="2880"/>
          </w:tcPr>
          <w:p>
            <w:pPr>
              <w:spacing w:after="60" w:before="60"/>
            </w:pPr>
            <w:r/>
            <w:r>
              <w:rPr>
                <w:sz w:val="20"/>
              </w:rPr>
              <w:t>People who exited to permanent housing and later re-entered</w:t>
            </w:r>
          </w:p>
        </w:tc>
        <w:tc>
          <w:tcPr>
            <w:tcW w:type="dxa" w:w="2448"/>
          </w:tcPr>
          <w:p>
            <w:pPr>
              <w:spacing w:after="60" w:before="60"/>
            </w:pPr>
            <w:r/>
            <w:r>
              <w:rPr>
                <w:sz w:val="20"/>
              </w:rPr>
              <w:t>HMIS, HUD System Performance Measure 2</w:t>
            </w:r>
          </w:p>
        </w:tc>
        <w:tc>
          <w:tcPr>
            <w:tcW w:type="dxa" w:w="2160"/>
          </w:tcPr>
          <w:p>
            <w:pPr>
              <w:spacing w:after="60" w:before="60"/>
            </w:pPr>
            <w:r/>
            <w:r>
              <w:rPr>
                <w:sz w:val="20"/>
              </w:rPr>
              <w:t>Under 10 percent at 12 months</w:t>
            </w:r>
          </w:p>
        </w:tc>
      </w:tr>
      <w:tr>
        <w:tc>
          <w:tcPr>
            <w:tcW w:type="dxa" w:w="1872"/>
          </w:tcPr>
          <w:p>
            <w:pPr>
              <w:spacing w:after="60" w:before="60"/>
            </w:pPr>
            <w:r/>
            <w:r>
              <w:rPr>
                <w:sz w:val="20"/>
              </w:rPr>
              <w:t>Income change at exit</w:t>
            </w:r>
          </w:p>
        </w:tc>
        <w:tc>
          <w:tcPr>
            <w:tcW w:type="dxa" w:w="2880"/>
          </w:tcPr>
          <w:p>
            <w:pPr>
              <w:spacing w:after="60" w:before="60"/>
            </w:pPr>
            <w:r/>
            <w:r>
              <w:rPr>
                <w:sz w:val="20"/>
              </w:rPr>
              <w:t>Households with increased earned or benefit income</w:t>
            </w:r>
          </w:p>
        </w:tc>
        <w:tc>
          <w:tcPr>
            <w:tcW w:type="dxa" w:w="2448"/>
          </w:tcPr>
          <w:p>
            <w:pPr>
              <w:spacing w:after="60" w:before="60"/>
            </w:pPr>
            <w:r/>
            <w:r>
              <w:rPr>
                <w:sz w:val="20"/>
              </w:rPr>
              <w:t>HMIS income assessment at entry and exit</w:t>
            </w:r>
          </w:p>
        </w:tc>
        <w:tc>
          <w:tcPr>
            <w:tcW w:type="dxa" w:w="2160"/>
          </w:tcPr>
          <w:p>
            <w:pPr>
              <w:spacing w:after="60" w:before="60"/>
            </w:pPr>
            <w:r/>
            <w:r>
              <w:rPr>
                <w:sz w:val="20"/>
              </w:rPr>
              <w:t>Half of placed households</w:t>
            </w:r>
          </w:p>
        </w:tc>
      </w:tr>
      <w:tr>
        <w:tc>
          <w:tcPr>
            <w:tcW w:type="dxa" w:w="1872"/>
          </w:tcPr>
          <w:p>
            <w:pPr>
              <w:spacing w:after="60" w:before="60"/>
            </w:pPr>
            <w:r/>
            <w:r>
              <w:rPr>
                <w:sz w:val="20"/>
              </w:rPr>
              <w:t>Units secured</w:t>
            </w:r>
          </w:p>
        </w:tc>
        <w:tc>
          <w:tcPr>
            <w:tcW w:type="dxa" w:w="2880"/>
          </w:tcPr>
          <w:p>
            <w:pPr>
              <w:spacing w:after="60" w:before="60"/>
            </w:pPr>
            <w:r/>
            <w:r>
              <w:rPr>
                <w:sz w:val="20"/>
              </w:rPr>
              <w:t>New landlord agreements signed during the grant year</w:t>
            </w:r>
          </w:p>
        </w:tc>
        <w:tc>
          <w:tcPr>
            <w:tcW w:type="dxa" w:w="2448"/>
          </w:tcPr>
          <w:p>
            <w:pPr>
              <w:spacing w:after="60" w:before="60"/>
            </w:pPr>
            <w:r/>
            <w:r>
              <w:rPr>
                <w:sz w:val="20"/>
              </w:rPr>
              <w:t>Program landlord log</w:t>
            </w:r>
          </w:p>
        </w:tc>
        <w:tc>
          <w:tcPr>
            <w:tcW w:type="dxa" w:w="2160"/>
          </w:tcPr>
          <w:p>
            <w:pPr>
              <w:spacing w:after="60" w:before="60"/>
            </w:pPr>
            <w:r/>
            <w:r>
              <w:rPr>
                <w:sz w:val="20"/>
              </w:rPr>
              <w:t>12 new agreements</w:t>
            </w:r>
          </w:p>
        </w:tc>
      </w:tr>
      <w:tr>
        <w:tc>
          <w:tcPr>
            <w:tcW w:type="dxa" w:w="1872"/>
          </w:tcPr>
          <w:p>
            <w:pPr>
              <w:spacing w:after="60" w:before="60"/>
            </w:pPr>
            <w:r/>
            <w:r>
              <w:rPr>
                <w:sz w:val="20"/>
              </w:rPr>
              <w:t>Subsidy extensions</w:t>
            </w:r>
          </w:p>
        </w:tc>
        <w:tc>
          <w:tcPr>
            <w:tcW w:type="dxa" w:w="2880"/>
          </w:tcPr>
          <w:p>
            <w:pPr>
              <w:spacing w:after="60" w:before="60"/>
            </w:pPr>
            <w:r/>
            <w:r>
              <w:rPr>
                <w:sz w:val="20"/>
              </w:rPr>
              <w:t>Households extended past the standard six-month taper</w:t>
            </w:r>
          </w:p>
        </w:tc>
        <w:tc>
          <w:tcPr>
            <w:tcW w:type="dxa" w:w="2448"/>
          </w:tcPr>
          <w:p>
            <w:pPr>
              <w:spacing w:after="60" w:before="60"/>
            </w:pPr>
            <w:r/>
            <w:r>
              <w:rPr>
                <w:sz w:val="20"/>
              </w:rPr>
              <w:t>Program financial records and HMIS</w:t>
            </w:r>
          </w:p>
        </w:tc>
        <w:tc>
          <w:tcPr>
            <w:tcW w:type="dxa" w:w="2160"/>
          </w:tcPr>
          <w:p>
            <w:pPr>
              <w:spacing w:after="60" w:before="60"/>
            </w:pPr>
            <w:r/>
            <w:r>
              <w:rPr>
                <w:sz w:val="20"/>
              </w:rPr>
              <w:t>Monitored, no target</w:t>
            </w:r>
          </w:p>
        </w:tc>
      </w:tr>
    </w:tbl>
    <w:p/>
    <w:p>
      <w:pPr>
        <w:pStyle w:val="Heading2"/>
      </w:pPr>
      <w:r>
        <w:t>9.1 Who collects what, and when</w:t>
      </w:r>
    </w:p>
    <w:tbl>
      <w:tblPr>
        <w:tblStyle w:val="LightGrid-Accent1"/>
        <w:tblW w:type="auto" w:w="0"/>
        <w:jc w:val="center"/>
        <w:tblLook w:firstColumn="1" w:firstRow="1" w:lastColumn="0" w:lastRow="0" w:noHBand="0" w:noVBand="1" w:val="04A0"/>
      </w:tblPr>
      <w:tblGrid>
        <w:gridCol w:w="2340"/>
        <w:gridCol w:w="2340"/>
        <w:gridCol w:w="2340"/>
        <w:gridCol w:w="2340"/>
      </w:tblGrid>
      <w:tr>
        <w:tc>
          <w:tcPr>
            <w:tcW w:type="dxa" w:w="2880"/>
          </w:tcPr>
          <w:p>
            <w:pPr>
              <w:spacing w:after="60" w:before="60"/>
            </w:pPr>
            <w:r/>
            <w:r>
              <w:rPr>
                <w:b/>
                <w:sz w:val="20"/>
              </w:rPr>
              <w:t>Data point</w:t>
            </w:r>
          </w:p>
        </w:tc>
        <w:tc>
          <w:tcPr>
            <w:tcW w:type="dxa" w:w="2016"/>
          </w:tcPr>
          <w:p>
            <w:pPr>
              <w:spacing w:after="60" w:before="60"/>
            </w:pPr>
            <w:r/>
            <w:r>
              <w:rPr>
                <w:b/>
                <w:sz w:val="20"/>
              </w:rPr>
              <w:t>Collected by</w:t>
            </w:r>
          </w:p>
        </w:tc>
        <w:tc>
          <w:tcPr>
            <w:tcW w:type="dxa" w:w="1728"/>
          </w:tcPr>
          <w:p>
            <w:pPr>
              <w:spacing w:after="60" w:before="60"/>
            </w:pPr>
            <w:r/>
            <w:r>
              <w:rPr>
                <w:b/>
                <w:sz w:val="20"/>
              </w:rPr>
              <w:t>Frequency</w:t>
            </w:r>
          </w:p>
        </w:tc>
        <w:tc>
          <w:tcPr>
            <w:tcW w:type="dxa" w:w="2736"/>
          </w:tcPr>
          <w:p>
            <w:pPr>
              <w:spacing w:after="60" w:before="60"/>
            </w:pPr>
            <w:r/>
            <w:r>
              <w:rPr>
                <w:b/>
                <w:sz w:val="20"/>
              </w:rPr>
              <w:t>Recorded in</w:t>
            </w:r>
          </w:p>
        </w:tc>
      </w:tr>
      <w:tr>
        <w:tc>
          <w:tcPr>
            <w:tcW w:type="dxa" w:w="2880"/>
          </w:tcPr>
          <w:p>
            <w:pPr>
              <w:spacing w:after="60" w:before="60"/>
            </w:pPr>
            <w:r/>
            <w:r>
              <w:rPr>
                <w:sz w:val="20"/>
              </w:rPr>
              <w:t>Enrollment, household composition, income at entry</w:t>
            </w:r>
          </w:p>
        </w:tc>
        <w:tc>
          <w:tcPr>
            <w:tcW w:type="dxa" w:w="2016"/>
          </w:tcPr>
          <w:p>
            <w:pPr>
              <w:spacing w:after="60" w:before="60"/>
            </w:pPr>
            <w:r/>
            <w:r>
              <w:rPr>
                <w:sz w:val="20"/>
              </w:rPr>
              <w:t>Housing navigator</w:t>
            </w:r>
          </w:p>
        </w:tc>
        <w:tc>
          <w:tcPr>
            <w:tcW w:type="dxa" w:w="1728"/>
          </w:tcPr>
          <w:p>
            <w:pPr>
              <w:spacing w:after="60" w:before="60"/>
            </w:pPr>
            <w:r/>
            <w:r>
              <w:rPr>
                <w:sz w:val="20"/>
              </w:rPr>
              <w:t>At enrollment</w:t>
            </w:r>
          </w:p>
        </w:tc>
        <w:tc>
          <w:tcPr>
            <w:tcW w:type="dxa" w:w="2736"/>
          </w:tcPr>
          <w:p>
            <w:pPr>
              <w:spacing w:after="60" w:before="60"/>
            </w:pPr>
            <w:r/>
            <w:r>
              <w:rPr>
                <w:sz w:val="20"/>
              </w:rPr>
              <w:t>HMIS project entry</w:t>
            </w:r>
          </w:p>
        </w:tc>
      </w:tr>
      <w:tr>
        <w:tc>
          <w:tcPr>
            <w:tcW w:type="dxa" w:w="2880"/>
          </w:tcPr>
          <w:p>
            <w:pPr>
              <w:spacing w:after="60" w:before="60"/>
            </w:pPr>
            <w:r/>
            <w:r>
              <w:rPr>
                <w:sz w:val="20"/>
              </w:rPr>
              <w:t>Housing barriers assessment</w:t>
            </w:r>
          </w:p>
        </w:tc>
        <w:tc>
          <w:tcPr>
            <w:tcW w:type="dxa" w:w="2016"/>
          </w:tcPr>
          <w:p>
            <w:pPr>
              <w:spacing w:after="60" w:before="60"/>
            </w:pPr>
            <w:r/>
            <w:r>
              <w:rPr>
                <w:sz w:val="20"/>
              </w:rPr>
              <w:t>Housing navigator</w:t>
            </w:r>
          </w:p>
        </w:tc>
        <w:tc>
          <w:tcPr>
            <w:tcW w:type="dxa" w:w="1728"/>
          </w:tcPr>
          <w:p>
            <w:pPr>
              <w:spacing w:after="60" w:before="60"/>
            </w:pPr>
            <w:r/>
            <w:r>
              <w:rPr>
                <w:sz w:val="20"/>
              </w:rPr>
              <w:t>At enrollment</w:t>
            </w:r>
          </w:p>
        </w:tc>
        <w:tc>
          <w:tcPr>
            <w:tcW w:type="dxa" w:w="2736"/>
          </w:tcPr>
          <w:p>
            <w:pPr>
              <w:spacing w:after="60" w:before="60"/>
            </w:pPr>
            <w:r/>
            <w:r>
              <w:rPr>
                <w:sz w:val="20"/>
              </w:rPr>
              <w:t>HMIS and client file</w:t>
            </w:r>
          </w:p>
        </w:tc>
      </w:tr>
      <w:tr>
        <w:tc>
          <w:tcPr>
            <w:tcW w:type="dxa" w:w="2880"/>
          </w:tcPr>
          <w:p>
            <w:pPr>
              <w:spacing w:after="60" w:before="60"/>
            </w:pPr>
            <w:r/>
            <w:r>
              <w:rPr>
                <w:sz w:val="20"/>
              </w:rPr>
              <w:t>Landlord contacts, units viewed, agreements signed</w:t>
            </w:r>
          </w:p>
        </w:tc>
        <w:tc>
          <w:tcPr>
            <w:tcW w:type="dxa" w:w="2016"/>
          </w:tcPr>
          <w:p>
            <w:pPr>
              <w:spacing w:after="60" w:before="60"/>
            </w:pPr>
            <w:r/>
            <w:r>
              <w:rPr>
                <w:sz w:val="20"/>
              </w:rPr>
              <w:t>Housing navigator</w:t>
            </w:r>
          </w:p>
        </w:tc>
        <w:tc>
          <w:tcPr>
            <w:tcW w:type="dxa" w:w="1728"/>
          </w:tcPr>
          <w:p>
            <w:pPr>
              <w:spacing w:after="60" w:before="60"/>
            </w:pPr>
            <w:r/>
            <w:r>
              <w:rPr>
                <w:sz w:val="20"/>
              </w:rPr>
              <w:t>Weekly</w:t>
            </w:r>
          </w:p>
        </w:tc>
        <w:tc>
          <w:tcPr>
            <w:tcW w:type="dxa" w:w="2736"/>
          </w:tcPr>
          <w:p>
            <w:pPr>
              <w:spacing w:after="60" w:before="60"/>
            </w:pPr>
            <w:r/>
            <w:r>
              <w:rPr>
                <w:sz w:val="20"/>
              </w:rPr>
              <w:t>Landlord log</w:t>
            </w:r>
          </w:p>
        </w:tc>
      </w:tr>
      <w:tr>
        <w:tc>
          <w:tcPr>
            <w:tcW w:type="dxa" w:w="2880"/>
          </w:tcPr>
          <w:p>
            <w:pPr>
              <w:spacing w:after="60" w:before="60"/>
            </w:pPr>
            <w:r/>
            <w:r>
              <w:rPr>
                <w:sz w:val="20"/>
              </w:rPr>
              <w:t>Move-in date and lease copy</w:t>
            </w:r>
          </w:p>
        </w:tc>
        <w:tc>
          <w:tcPr>
            <w:tcW w:type="dxa" w:w="2016"/>
          </w:tcPr>
          <w:p>
            <w:pPr>
              <w:spacing w:after="60" w:before="60"/>
            </w:pPr>
            <w:r/>
            <w:r>
              <w:rPr>
                <w:sz w:val="20"/>
              </w:rPr>
              <w:t>Housing navigator</w:t>
            </w:r>
          </w:p>
        </w:tc>
        <w:tc>
          <w:tcPr>
            <w:tcW w:type="dxa" w:w="1728"/>
          </w:tcPr>
          <w:p>
            <w:pPr>
              <w:spacing w:after="60" w:before="60"/>
            </w:pPr>
            <w:r/>
            <w:r>
              <w:rPr>
                <w:sz w:val="20"/>
              </w:rPr>
              <w:t>At lease signing</w:t>
            </w:r>
          </w:p>
        </w:tc>
        <w:tc>
          <w:tcPr>
            <w:tcW w:type="dxa" w:w="2736"/>
          </w:tcPr>
          <w:p>
            <w:pPr>
              <w:spacing w:after="60" w:before="60"/>
            </w:pPr>
            <w:r/>
            <w:r>
              <w:rPr>
                <w:sz w:val="20"/>
              </w:rPr>
              <w:t>HMIS and client file</w:t>
            </w:r>
          </w:p>
        </w:tc>
      </w:tr>
      <w:tr>
        <w:tc>
          <w:tcPr>
            <w:tcW w:type="dxa" w:w="2880"/>
          </w:tcPr>
          <w:p>
            <w:pPr>
              <w:spacing w:after="60" w:before="60"/>
            </w:pPr>
            <w:r/>
            <w:r>
              <w:rPr>
                <w:sz w:val="20"/>
              </w:rPr>
              <w:t>Subsidy payments and extensions</w:t>
            </w:r>
          </w:p>
        </w:tc>
        <w:tc>
          <w:tcPr>
            <w:tcW w:type="dxa" w:w="2016"/>
          </w:tcPr>
          <w:p>
            <w:pPr>
              <w:spacing w:after="60" w:before="60"/>
            </w:pPr>
            <w:r/>
            <w:r>
              <w:rPr>
                <w:sz w:val="20"/>
              </w:rPr>
              <w:t>Finance manager</w:t>
            </w:r>
          </w:p>
        </w:tc>
        <w:tc>
          <w:tcPr>
            <w:tcW w:type="dxa" w:w="1728"/>
          </w:tcPr>
          <w:p>
            <w:pPr>
              <w:spacing w:after="60" w:before="60"/>
            </w:pPr>
            <w:r/>
            <w:r>
              <w:rPr>
                <w:sz w:val="20"/>
              </w:rPr>
              <w:t>Monthly</w:t>
            </w:r>
          </w:p>
        </w:tc>
        <w:tc>
          <w:tcPr>
            <w:tcW w:type="dxa" w:w="2736"/>
          </w:tcPr>
          <w:p>
            <w:pPr>
              <w:spacing w:after="60" w:before="60"/>
            </w:pPr>
            <w:r/>
            <w:r>
              <w:rPr>
                <w:sz w:val="20"/>
              </w:rPr>
              <w:t>Accounting system</w:t>
            </w:r>
          </w:p>
        </w:tc>
      </w:tr>
      <w:tr>
        <w:tc>
          <w:tcPr>
            <w:tcW w:type="dxa" w:w="2880"/>
          </w:tcPr>
          <w:p>
            <w:pPr>
              <w:spacing w:after="60" w:before="60"/>
            </w:pPr>
            <w:r/>
            <w:r>
              <w:rPr>
                <w:sz w:val="20"/>
              </w:rPr>
              <w:t>Case notes and stability plan progress</w:t>
            </w:r>
          </w:p>
        </w:tc>
        <w:tc>
          <w:tcPr>
            <w:tcW w:type="dxa" w:w="2016"/>
          </w:tcPr>
          <w:p>
            <w:pPr>
              <w:spacing w:after="60" w:before="60"/>
            </w:pPr>
            <w:r/>
            <w:r>
              <w:rPr>
                <w:sz w:val="20"/>
              </w:rPr>
              <w:t>Housing case manager</w:t>
            </w:r>
          </w:p>
        </w:tc>
        <w:tc>
          <w:tcPr>
            <w:tcW w:type="dxa" w:w="1728"/>
          </w:tcPr>
          <w:p>
            <w:pPr>
              <w:spacing w:after="60" w:before="60"/>
            </w:pPr>
            <w:r/>
            <w:r>
              <w:rPr>
                <w:sz w:val="20"/>
              </w:rPr>
              <w:t>Each contact</w:t>
            </w:r>
          </w:p>
        </w:tc>
        <w:tc>
          <w:tcPr>
            <w:tcW w:type="dxa" w:w="2736"/>
          </w:tcPr>
          <w:p>
            <w:pPr>
              <w:spacing w:after="60" w:before="60"/>
            </w:pPr>
            <w:r/>
            <w:r>
              <w:rPr>
                <w:sz w:val="20"/>
              </w:rPr>
              <w:t>HMIS</w:t>
            </w:r>
          </w:p>
        </w:tc>
      </w:tr>
      <w:tr>
        <w:tc>
          <w:tcPr>
            <w:tcW w:type="dxa" w:w="2880"/>
          </w:tcPr>
          <w:p>
            <w:pPr>
              <w:spacing w:after="60" w:before="60"/>
            </w:pPr>
            <w:r/>
            <w:r>
              <w:rPr>
                <w:sz w:val="20"/>
              </w:rPr>
              <w:t>Income at exit, exit destination</w:t>
            </w:r>
          </w:p>
        </w:tc>
        <w:tc>
          <w:tcPr>
            <w:tcW w:type="dxa" w:w="2016"/>
          </w:tcPr>
          <w:p>
            <w:pPr>
              <w:spacing w:after="60" w:before="60"/>
            </w:pPr>
            <w:r/>
            <w:r>
              <w:rPr>
                <w:sz w:val="20"/>
              </w:rPr>
              <w:t>Housing case manager</w:t>
            </w:r>
          </w:p>
        </w:tc>
        <w:tc>
          <w:tcPr>
            <w:tcW w:type="dxa" w:w="1728"/>
          </w:tcPr>
          <w:p>
            <w:pPr>
              <w:spacing w:after="60" w:before="60"/>
            </w:pPr>
            <w:r/>
            <w:r>
              <w:rPr>
                <w:sz w:val="20"/>
              </w:rPr>
              <w:t>At exit</w:t>
            </w:r>
          </w:p>
        </w:tc>
        <w:tc>
          <w:tcPr>
            <w:tcW w:type="dxa" w:w="2736"/>
          </w:tcPr>
          <w:p>
            <w:pPr>
              <w:spacing w:after="60" w:before="60"/>
            </w:pPr>
            <w:r/>
            <w:r>
              <w:rPr>
                <w:sz w:val="20"/>
              </w:rPr>
              <w:t>HMIS exit assessment</w:t>
            </w:r>
          </w:p>
        </w:tc>
      </w:tr>
      <w:tr>
        <w:tc>
          <w:tcPr>
            <w:tcW w:type="dxa" w:w="2880"/>
          </w:tcPr>
          <w:p>
            <w:pPr>
              <w:spacing w:after="60" w:before="60"/>
            </w:pPr>
            <w:r/>
            <w:r>
              <w:rPr>
                <w:sz w:val="20"/>
              </w:rPr>
              <w:t>Follow-up contact at 3, 6 and 12 months</w:t>
            </w:r>
          </w:p>
        </w:tc>
        <w:tc>
          <w:tcPr>
            <w:tcW w:type="dxa" w:w="2016"/>
          </w:tcPr>
          <w:p>
            <w:pPr>
              <w:spacing w:after="60" w:before="60"/>
            </w:pPr>
            <w:r/>
            <w:r>
              <w:rPr>
                <w:sz w:val="20"/>
              </w:rPr>
              <w:t>Housing case manager</w:t>
            </w:r>
          </w:p>
        </w:tc>
        <w:tc>
          <w:tcPr>
            <w:tcW w:type="dxa" w:w="1728"/>
          </w:tcPr>
          <w:p>
            <w:pPr>
              <w:spacing w:after="60" w:before="60"/>
            </w:pPr>
            <w:r/>
            <w:r>
              <w:rPr>
                <w:sz w:val="20"/>
              </w:rPr>
              <w:t>Per schedule</w:t>
            </w:r>
          </w:p>
        </w:tc>
        <w:tc>
          <w:tcPr>
            <w:tcW w:type="dxa" w:w="2736"/>
          </w:tcPr>
          <w:p>
            <w:pPr>
              <w:spacing w:after="60" w:before="60"/>
            </w:pPr>
            <w:r/>
            <w:r>
              <w:rPr>
                <w:sz w:val="20"/>
              </w:rPr>
              <w:t>HMIS follow-up record</w:t>
            </w:r>
          </w:p>
        </w:tc>
      </w:tr>
      <w:tr>
        <w:tc>
          <w:tcPr>
            <w:tcW w:type="dxa" w:w="2880"/>
          </w:tcPr>
          <w:p>
            <w:pPr>
              <w:spacing w:after="60" w:before="60"/>
            </w:pPr>
            <w:r/>
            <w:r>
              <w:rPr>
                <w:sz w:val="20"/>
              </w:rPr>
              <w:t>Data quality review</w:t>
            </w:r>
          </w:p>
        </w:tc>
        <w:tc>
          <w:tcPr>
            <w:tcW w:type="dxa" w:w="2016"/>
          </w:tcPr>
          <w:p>
            <w:pPr>
              <w:spacing w:after="60" w:before="60"/>
            </w:pPr>
            <w:r/>
            <w:r>
              <w:rPr>
                <w:sz w:val="20"/>
              </w:rPr>
              <w:t>Program director</w:t>
            </w:r>
          </w:p>
        </w:tc>
        <w:tc>
          <w:tcPr>
            <w:tcW w:type="dxa" w:w="1728"/>
          </w:tcPr>
          <w:p>
            <w:pPr>
              <w:spacing w:after="60" w:before="60"/>
            </w:pPr>
            <w:r/>
            <w:r>
              <w:rPr>
                <w:sz w:val="20"/>
              </w:rPr>
              <w:t>Monthly</w:t>
            </w:r>
          </w:p>
        </w:tc>
        <w:tc>
          <w:tcPr>
            <w:tcW w:type="dxa" w:w="2736"/>
          </w:tcPr>
          <w:p>
            <w:pPr>
              <w:spacing w:after="60" w:before="60"/>
            </w:pPr>
            <w:r/>
            <w:r>
              <w:rPr>
                <w:sz w:val="20"/>
              </w:rPr>
              <w:t>Continuum data quality report</w:t>
            </w:r>
          </w:p>
        </w:tc>
      </w:tr>
    </w:tbl>
    <w:p/>
    <w:p>
      <w:pPr>
        <w:pStyle w:val="Heading2"/>
      </w:pPr>
      <w:r>
        <w:t>9.2 How the data is used</w:t>
      </w:r>
    </w:p>
    <w:p>
      <w:r>
        <w:rPr>
          <w:b w:val="0"/>
        </w:rPr>
        <w:t>The program director reviews placement rate, median days to move-in and the landlord log with both staff monthly. Two triggers prompt a written response rather than a conversation. If median days to move-in exceeds 60 for two consecutive months, the navigator's landlord recruitment schedule is increased and the program director joins property owner meetings until the median recovers. If more than two households in a quarter are denied by landlords after paying an application fee, the Alliance moves to a pre-screening conversation with the landlord before any fee is paid.</w:t>
      </w:r>
    </w:p>
    <w:p>
      <w:r>
        <w:rPr>
          <w:b w:val="0"/>
        </w:rPr>
        <w:t>The funder receives a written report at six months and at close-out. Each report gives the measures in the table above against target, the response rate behind the retention figure, the number of subsidy extensions granted, and a plain statement of anything that missed. A missed target with a stated cause is a normal result in housing work. A perfect report is the one a reviewer stops believing.</w:t>
      </w:r>
    </w:p>
    <w:p>
      <w:r>
        <w:rPr>
          <w:b w:val="0"/>
        </w:rPr>
        <w:t>Evaluation is internal and conducted by program staff. The Alliance does not budget for an external evaluator on a $196,440 request, and reviewers do not expect one at this scale. Where a funder requires third-party evaluation, add the cost as a distinct budget line rather than absorbing it into personnel.</w:t>
      </w:r>
    </w:p>
    <w:p>
      <w:pPr>
        <w:pStyle w:val="Heading1"/>
      </w:pPr>
      <w:r>
        <w:t>10. Budget</w:t>
      </w:r>
    </w:p>
    <w:p>
      <w:pPr>
        <w:pStyle w:val="AdaptationNote"/>
      </w:pPr>
      <w:r>
        <w:t>Adapt this section: show the rental subsidy pool as its own block, separate from personnel and services, because funders decide differently about the two. Every figure here must match the narrative in Section 11 and the executive summary.</w:t>
      </w:r>
    </w:p>
    <w:p>
      <w:r>
        <w:rPr>
          <w:b/>
        </w:rPr>
        <w:t>Doorway Rapid Re-Housing Partnership, January 1 to December 31, 2027</w:t>
      </w:r>
    </w:p>
    <w:tbl>
      <w:tblPr>
        <w:tblStyle w:val="LightGrid-Accent1"/>
        <w:tblW w:type="auto" w:w="0"/>
        <w:jc w:val="center"/>
        <w:tblLook w:firstColumn="1" w:firstRow="1" w:lastColumn="0" w:lastRow="0" w:noHBand="0" w:noVBand="1" w:val="04A0"/>
      </w:tblPr>
      <w:tblGrid>
        <w:gridCol w:w="3120"/>
        <w:gridCol w:w="3120"/>
        <w:gridCol w:w="3120"/>
      </w:tblGrid>
      <w:tr>
        <w:tc>
          <w:tcPr>
            <w:tcW w:type="dxa" w:w="3312"/>
          </w:tcPr>
          <w:p>
            <w:pPr>
              <w:spacing w:after="60" w:before="60"/>
            </w:pPr>
            <w:r/>
            <w:r>
              <w:rPr>
                <w:b/>
                <w:sz w:val="20"/>
              </w:rPr>
              <w:t>Line item</w:t>
            </w:r>
          </w:p>
        </w:tc>
        <w:tc>
          <w:tcPr>
            <w:tcW w:type="dxa" w:w="4176"/>
          </w:tcPr>
          <w:p>
            <w:pPr>
              <w:spacing w:after="60" w:before="60"/>
            </w:pPr>
            <w:r/>
            <w:r>
              <w:rPr>
                <w:b/>
                <w:sz w:val="20"/>
              </w:rPr>
              <w:t>Basis of calculation</w:t>
            </w:r>
          </w:p>
        </w:tc>
        <w:tc>
          <w:tcPr>
            <w:tcW w:type="dxa" w:w="1872"/>
          </w:tcPr>
          <w:p>
            <w:pPr>
              <w:spacing w:after="60" w:before="60"/>
            </w:pPr>
            <w:r/>
            <w:r>
              <w:rPr>
                <w:b/>
                <w:sz w:val="20"/>
              </w:rPr>
              <w:t>Amount</w:t>
            </w:r>
          </w:p>
        </w:tc>
      </w:tr>
      <w:tr>
        <w:tc>
          <w:tcPr>
            <w:tcW w:type="dxa" w:w="3312"/>
          </w:tcPr>
          <w:p>
            <w:pPr>
              <w:spacing w:after="60" w:before="60"/>
            </w:pPr>
            <w:r/>
            <w:r>
              <w:rPr>
                <w:sz w:val="20"/>
              </w:rPr>
              <w:t>Housing navigator, 1.0 FTE</w:t>
            </w:r>
          </w:p>
        </w:tc>
        <w:tc>
          <w:tcPr>
            <w:tcW w:type="dxa" w:w="4176"/>
          </w:tcPr>
          <w:p>
            <w:pPr>
              <w:spacing w:after="60" w:before="60"/>
            </w:pPr>
            <w:r/>
            <w:r>
              <w:rPr>
                <w:sz w:val="20"/>
              </w:rPr>
              <w:t>$52,000 annual salary at 1.0 FTE</w:t>
            </w:r>
          </w:p>
        </w:tc>
        <w:tc>
          <w:tcPr>
            <w:tcW w:type="dxa" w:w="1872"/>
          </w:tcPr>
          <w:p>
            <w:pPr>
              <w:spacing w:after="60" w:before="60"/>
            </w:pPr>
            <w:r/>
            <w:r>
              <w:rPr>
                <w:sz w:val="20"/>
              </w:rPr>
              <w:t>$52,000</w:t>
            </w:r>
          </w:p>
        </w:tc>
      </w:tr>
      <w:tr>
        <w:tc>
          <w:tcPr>
            <w:tcW w:type="dxa" w:w="3312"/>
          </w:tcPr>
          <w:p>
            <w:pPr>
              <w:spacing w:after="60" w:before="60"/>
            </w:pPr>
            <w:r/>
            <w:r>
              <w:rPr>
                <w:sz w:val="20"/>
              </w:rPr>
              <w:t>Housing case manager, 0.5 FTE</w:t>
            </w:r>
          </w:p>
        </w:tc>
        <w:tc>
          <w:tcPr>
            <w:tcW w:type="dxa" w:w="4176"/>
          </w:tcPr>
          <w:p>
            <w:pPr>
              <w:spacing w:after="60" w:before="60"/>
            </w:pPr>
            <w:r/>
            <w:r>
              <w:rPr>
                <w:sz w:val="20"/>
              </w:rPr>
              <w:t>$48,000 annualized at 0.5 FTE</w:t>
            </w:r>
          </w:p>
        </w:tc>
        <w:tc>
          <w:tcPr>
            <w:tcW w:type="dxa" w:w="1872"/>
          </w:tcPr>
          <w:p>
            <w:pPr>
              <w:spacing w:after="60" w:before="60"/>
            </w:pPr>
            <w:r/>
            <w:r>
              <w:rPr>
                <w:sz w:val="20"/>
              </w:rPr>
              <w:t>$24,000</w:t>
            </w:r>
          </w:p>
        </w:tc>
      </w:tr>
      <w:tr>
        <w:tc>
          <w:tcPr>
            <w:tcW w:type="dxa" w:w="3312"/>
          </w:tcPr>
          <w:p>
            <w:pPr>
              <w:spacing w:after="60" w:before="60"/>
            </w:pPr>
            <w:r/>
            <w:r>
              <w:rPr>
                <w:sz w:val="20"/>
              </w:rPr>
              <w:t>Fringe benefits at 24 percent</w:t>
            </w:r>
          </w:p>
        </w:tc>
        <w:tc>
          <w:tcPr>
            <w:tcW w:type="dxa" w:w="4176"/>
          </w:tcPr>
          <w:p>
            <w:pPr>
              <w:spacing w:after="60" w:before="60"/>
            </w:pPr>
            <w:r/>
            <w:r>
              <w:rPr>
                <w:sz w:val="20"/>
              </w:rPr>
              <w:t>24% of $76,000 in salaries</w:t>
            </w:r>
          </w:p>
        </w:tc>
        <w:tc>
          <w:tcPr>
            <w:tcW w:type="dxa" w:w="1872"/>
          </w:tcPr>
          <w:p>
            <w:pPr>
              <w:spacing w:after="60" w:before="60"/>
            </w:pPr>
            <w:r/>
            <w:r>
              <w:rPr>
                <w:sz w:val="20"/>
              </w:rPr>
              <w:t>$18,240</w:t>
            </w:r>
          </w:p>
        </w:tc>
      </w:tr>
      <w:tr>
        <w:tc>
          <w:tcPr>
            <w:tcW w:type="dxa" w:w="3312"/>
          </w:tcPr>
          <w:p>
            <w:pPr>
              <w:spacing w:after="60" w:before="60"/>
            </w:pPr>
            <w:r/>
            <w:r>
              <w:rPr>
                <w:sz w:val="20"/>
              </w:rPr>
              <w:t>Personnel subtotal</w:t>
            </w:r>
          </w:p>
        </w:tc>
        <w:tc>
          <w:tcPr>
            <w:tcW w:type="dxa" w:w="4176"/>
          </w:tcPr>
          <w:p>
            <w:pPr>
              <w:spacing w:after="60" w:before="60"/>
            </w:pPr>
            <w:r/>
            <w:r>
              <w:rPr>
                <w:sz w:val="20"/>
              </w:rPr>
            </w:r>
          </w:p>
        </w:tc>
        <w:tc>
          <w:tcPr>
            <w:tcW w:type="dxa" w:w="1872"/>
          </w:tcPr>
          <w:p>
            <w:pPr>
              <w:spacing w:after="60" w:before="60"/>
            </w:pPr>
            <w:r/>
            <w:r>
              <w:rPr>
                <w:sz w:val="20"/>
              </w:rPr>
              <w:t>$94,240</w:t>
            </w:r>
          </w:p>
        </w:tc>
      </w:tr>
      <w:tr>
        <w:tc>
          <w:tcPr>
            <w:tcW w:type="dxa" w:w="3312"/>
          </w:tcPr>
          <w:p>
            <w:pPr>
              <w:spacing w:after="60" w:before="60"/>
            </w:pPr>
            <w:r/>
            <w:r>
              <w:rPr>
                <w:sz w:val="20"/>
              </w:rPr>
              <w:t>Rental assistance pool, 20 households</w:t>
            </w:r>
          </w:p>
        </w:tc>
        <w:tc>
          <w:tcPr>
            <w:tcW w:type="dxa" w:w="4176"/>
          </w:tcPr>
          <w:p>
            <w:pPr>
              <w:spacing w:after="60" w:before="60"/>
            </w:pPr>
            <w:r/>
            <w:r>
              <w:rPr>
                <w:sz w:val="20"/>
              </w:rPr>
              <w:t>12 households at $4,300 average, 8 at $2,550 average</w:t>
            </w:r>
          </w:p>
        </w:tc>
        <w:tc>
          <w:tcPr>
            <w:tcW w:type="dxa" w:w="1872"/>
          </w:tcPr>
          <w:p>
            <w:pPr>
              <w:spacing w:after="60" w:before="60"/>
            </w:pPr>
            <w:r/>
            <w:r>
              <w:rPr>
                <w:sz w:val="20"/>
              </w:rPr>
              <w:t>$72,000</w:t>
            </w:r>
          </w:p>
        </w:tc>
      </w:tr>
      <w:tr>
        <w:tc>
          <w:tcPr>
            <w:tcW w:type="dxa" w:w="3312"/>
          </w:tcPr>
          <w:p>
            <w:pPr>
              <w:spacing w:after="60" w:before="60"/>
            </w:pPr>
            <w:r/>
            <w:r>
              <w:rPr>
                <w:sz w:val="20"/>
              </w:rPr>
              <w:t>Security deposits and utility arrears</w:t>
            </w:r>
          </w:p>
        </w:tc>
        <w:tc>
          <w:tcPr>
            <w:tcW w:type="dxa" w:w="4176"/>
          </w:tcPr>
          <w:p>
            <w:pPr>
              <w:spacing w:after="60" w:before="60"/>
            </w:pPr>
            <w:r/>
            <w:r>
              <w:rPr>
                <w:sz w:val="20"/>
              </w:rPr>
              <w:t>8 security deposits at $1,180, 8 utility deposits at $195</w:t>
            </w:r>
          </w:p>
        </w:tc>
        <w:tc>
          <w:tcPr>
            <w:tcW w:type="dxa" w:w="1872"/>
          </w:tcPr>
          <w:p>
            <w:pPr>
              <w:spacing w:after="60" w:before="60"/>
            </w:pPr>
            <w:r/>
            <w:r>
              <w:rPr>
                <w:sz w:val="20"/>
              </w:rPr>
              <w:t>$11,000</w:t>
            </w:r>
          </w:p>
        </w:tc>
      </w:tr>
      <w:tr>
        <w:tc>
          <w:tcPr>
            <w:tcW w:type="dxa" w:w="3312"/>
          </w:tcPr>
          <w:p>
            <w:pPr>
              <w:spacing w:after="60" w:before="60"/>
            </w:pPr>
            <w:r/>
            <w:r>
              <w:rPr>
                <w:sz w:val="20"/>
              </w:rPr>
              <w:t>Landlord risk mitigation fund</w:t>
            </w:r>
          </w:p>
        </w:tc>
        <w:tc>
          <w:tcPr>
            <w:tcW w:type="dxa" w:w="4176"/>
          </w:tcPr>
          <w:p>
            <w:pPr>
              <w:spacing w:after="60" w:before="60"/>
            </w:pPr>
            <w:r/>
            <w:r>
              <w:rPr>
                <w:sz w:val="20"/>
              </w:rPr>
              <w:t>12 new units at $500 reserved per unit</w:t>
            </w:r>
          </w:p>
        </w:tc>
        <w:tc>
          <w:tcPr>
            <w:tcW w:type="dxa" w:w="1872"/>
          </w:tcPr>
          <w:p>
            <w:pPr>
              <w:spacing w:after="60" w:before="60"/>
            </w:pPr>
            <w:r/>
            <w:r>
              <w:rPr>
                <w:sz w:val="20"/>
              </w:rPr>
              <w:t>$6,000</w:t>
            </w:r>
          </w:p>
        </w:tc>
      </w:tr>
      <w:tr>
        <w:tc>
          <w:tcPr>
            <w:tcW w:type="dxa" w:w="3312"/>
          </w:tcPr>
          <w:p>
            <w:pPr>
              <w:spacing w:after="60" w:before="60"/>
            </w:pPr>
            <w:r/>
            <w:r>
              <w:rPr>
                <w:sz w:val="20"/>
              </w:rPr>
              <w:t>Flexible client assistance</w:t>
            </w:r>
          </w:p>
        </w:tc>
        <w:tc>
          <w:tcPr>
            <w:tcW w:type="dxa" w:w="4176"/>
          </w:tcPr>
          <w:p>
            <w:pPr>
              <w:spacing w:after="60" w:before="60"/>
            </w:pPr>
            <w:r/>
            <w:r>
              <w:rPr>
                <w:sz w:val="20"/>
              </w:rPr>
              <w:t>20 households at $300</w:t>
            </w:r>
          </w:p>
        </w:tc>
        <w:tc>
          <w:tcPr>
            <w:tcW w:type="dxa" w:w="1872"/>
          </w:tcPr>
          <w:p>
            <w:pPr>
              <w:spacing w:after="60" w:before="60"/>
            </w:pPr>
            <w:r/>
            <w:r>
              <w:rPr>
                <w:sz w:val="20"/>
              </w:rPr>
              <w:t>$6,000</w:t>
            </w:r>
          </w:p>
        </w:tc>
      </w:tr>
      <w:tr>
        <w:tc>
          <w:tcPr>
            <w:tcW w:type="dxa" w:w="3312"/>
          </w:tcPr>
          <w:p>
            <w:pPr>
              <w:spacing w:after="60" w:before="60"/>
            </w:pPr>
            <w:r/>
            <w:r>
              <w:rPr>
                <w:sz w:val="20"/>
              </w:rPr>
              <w:t>Transportation and move-in supplies</w:t>
            </w:r>
          </w:p>
        </w:tc>
        <w:tc>
          <w:tcPr>
            <w:tcW w:type="dxa" w:w="4176"/>
          </w:tcPr>
          <w:p>
            <w:pPr>
              <w:spacing w:after="60" w:before="60"/>
            </w:pPr>
            <w:r/>
            <w:r>
              <w:rPr>
                <w:sz w:val="20"/>
              </w:rPr>
              <w:t>16 placements at $300</w:t>
            </w:r>
          </w:p>
        </w:tc>
        <w:tc>
          <w:tcPr>
            <w:tcW w:type="dxa" w:w="1872"/>
          </w:tcPr>
          <w:p>
            <w:pPr>
              <w:spacing w:after="60" w:before="60"/>
            </w:pPr>
            <w:r/>
            <w:r>
              <w:rPr>
                <w:sz w:val="20"/>
              </w:rPr>
              <w:t>$4,800</w:t>
            </w:r>
          </w:p>
        </w:tc>
      </w:tr>
      <w:tr>
        <w:tc>
          <w:tcPr>
            <w:tcW w:type="dxa" w:w="3312"/>
          </w:tcPr>
          <w:p>
            <w:pPr>
              <w:spacing w:after="60" w:before="60"/>
            </w:pPr>
            <w:r/>
            <w:r>
              <w:rPr>
                <w:sz w:val="20"/>
              </w:rPr>
              <w:t>Direct household assistance subtotal</w:t>
            </w:r>
          </w:p>
        </w:tc>
        <w:tc>
          <w:tcPr>
            <w:tcW w:type="dxa" w:w="4176"/>
          </w:tcPr>
          <w:p>
            <w:pPr>
              <w:spacing w:after="60" w:before="60"/>
            </w:pPr>
            <w:r/>
            <w:r>
              <w:rPr>
                <w:sz w:val="20"/>
              </w:rPr>
            </w:r>
          </w:p>
        </w:tc>
        <w:tc>
          <w:tcPr>
            <w:tcW w:type="dxa" w:w="1872"/>
          </w:tcPr>
          <w:p>
            <w:pPr>
              <w:spacing w:after="60" w:before="60"/>
            </w:pPr>
            <w:r/>
            <w:r>
              <w:rPr>
                <w:sz w:val="20"/>
              </w:rPr>
              <w:t>$99,800</w:t>
            </w:r>
          </w:p>
        </w:tc>
      </w:tr>
      <w:tr>
        <w:tc>
          <w:tcPr>
            <w:tcW w:type="dxa" w:w="3312"/>
          </w:tcPr>
          <w:p>
            <w:pPr>
              <w:spacing w:after="60" w:before="60"/>
            </w:pPr>
            <w:r/>
            <w:r>
              <w:rPr>
                <w:sz w:val="20"/>
              </w:rPr>
              <w:t>HMIS licenses and data entry</w:t>
            </w:r>
          </w:p>
        </w:tc>
        <w:tc>
          <w:tcPr>
            <w:tcW w:type="dxa" w:w="4176"/>
          </w:tcPr>
          <w:p>
            <w:pPr>
              <w:spacing w:after="60" w:before="60"/>
            </w:pPr>
            <w:r/>
            <w:r>
              <w:rPr>
                <w:sz w:val="20"/>
              </w:rPr>
              <w:t>2 licenses at $100 per month for 12 months</w:t>
            </w:r>
          </w:p>
        </w:tc>
        <w:tc>
          <w:tcPr>
            <w:tcW w:type="dxa" w:w="1872"/>
          </w:tcPr>
          <w:p>
            <w:pPr>
              <w:spacing w:after="60" w:before="60"/>
            </w:pPr>
            <w:r/>
            <w:r>
              <w:rPr>
                <w:sz w:val="20"/>
              </w:rPr>
              <w:t>$2,400</w:t>
            </w:r>
          </w:p>
        </w:tc>
      </w:tr>
      <w:tr>
        <w:tc>
          <w:tcPr>
            <w:tcW w:type="dxa" w:w="3312"/>
          </w:tcPr>
          <w:p>
            <w:pPr>
              <w:spacing w:after="60" w:before="60"/>
            </w:pPr>
            <w:r>
              <w:rPr>
                <w:b/>
              </w:rPr>
            </w:r>
            <w:r>
              <w:rPr>
                <w:b/>
                <w:sz w:val="20"/>
              </w:rPr>
              <w:t>Total request</w:t>
            </w:r>
          </w:p>
        </w:tc>
        <w:tc>
          <w:tcPr>
            <w:tcW w:type="dxa" w:w="4176"/>
          </w:tcPr>
          <w:p>
            <w:pPr>
              <w:spacing w:after="60" w:before="60"/>
            </w:pPr>
            <w:r>
              <w:rPr>
                <w:b/>
              </w:rPr>
            </w:r>
            <w:r>
              <w:rPr>
                <w:b/>
                <w:sz w:val="20"/>
              </w:rPr>
            </w:r>
          </w:p>
        </w:tc>
        <w:tc>
          <w:tcPr>
            <w:tcW w:type="dxa" w:w="1872"/>
          </w:tcPr>
          <w:p>
            <w:pPr>
              <w:spacing w:after="60" w:before="60"/>
            </w:pPr>
            <w:r>
              <w:rPr>
                <w:b/>
              </w:rPr>
            </w:r>
            <w:r>
              <w:rPr>
                <w:b/>
                <w:sz w:val="20"/>
              </w:rPr>
              <w:t>$196,440</w:t>
            </w:r>
          </w:p>
        </w:tc>
      </w:tr>
    </w:tbl>
    <w:p/>
    <w:p>
      <w:r>
        <w:rPr>
          <w:b w:val="0"/>
        </w:rPr>
        <w:t>Cost per household enrolled is $9,822. Direct household assistance is 50.8 percent of the request, personnel and fringe are 48.0 percent, and HMIS licensing is 1.2 percent.</w:t>
      </w:r>
    </w:p>
    <w:p>
      <w:pPr>
        <w:pStyle w:val="Heading1"/>
      </w:pPr>
      <w:r>
        <w:t>11. Budget Narrative</w:t>
      </w:r>
    </w:p>
    <w:p>
      <w:pPr>
        <w:pStyle w:val="AdaptationNote"/>
      </w:pPr>
      <w:r>
        <w:t>Adapt this section: two pages. Give a basis of calculation for every line, state the indirect treatment explicitly, and answer the supplanting question before a reviewer asks it.</w:t>
      </w:r>
    </w:p>
    <w:p>
      <w:pPr>
        <w:pStyle w:val="Heading3"/>
      </w:pPr>
      <w:r>
        <w:t>11.1 Personnel</w:t>
      </w:r>
    </w:p>
    <w:p>
      <w:r>
        <w:rPr>
          <w:b w:val="0"/>
        </w:rPr>
        <w:t>Housing navigator, 1.0 FTE, $52,000. This is the position the request exists for. Salary is set at the midpoint of the Alliance's housing search band and matches the two comparable positions on staff. The navigator carries no case management caseload, which is a deliberate cost choice: combining the roles would save nothing, because the search work is the first thing that stops when a caseload gets heavy, and unit acquisition is the constraint on this program rather than case management capacity.</w:t>
      </w:r>
    </w:p>
    <w:p>
      <w:r>
        <w:rPr>
          <w:b w:val="0"/>
        </w:rPr>
        <w:t>Housing case manager, 0.5 FTE, $24,000. Annualized at $48,000, charged at half time. Half time is the right level for 20 households enrolled across a year with a peak retention caseload of 15, at the contact schedule described in Section 7.5. If the funder awards a partial amount, this is the line the Alliance would reduce last, because retention is the measure the whole proposal is judged on.</w:t>
      </w:r>
    </w:p>
    <w:p>
      <w:r>
        <w:rPr>
          <w:b w:val="0"/>
        </w:rPr>
        <w:t>Fringe benefits, $18,240. Twenty-four percent of $76,000 in salaries, covering the employer share of FICA at 7.65 percent, unemployment and workers compensation at 2.1 percent, health insurance at 12.4 percent and a 1.85 percent retirement match. The rate is the Alliance's actual audited rate for FY2026, not an estimate.</w:t>
      </w:r>
    </w:p>
    <w:p>
      <w:r>
        <w:rPr>
          <w:b w:val="0"/>
        </w:rPr>
        <w:t>Supervision is not charged to this grant. The program director spends approximately 0.1 FTE on this program and is funded from the Alliance's unrestricted revenue, which is stated here so the reviewer does not assume the program is unsupervised.</w:t>
      </w:r>
    </w:p>
    <w:p>
      <w:pPr>
        <w:pStyle w:val="Heading3"/>
      </w:pPr>
      <w:r>
        <w:t>11.2 Direct household assistance</w:t>
      </w:r>
    </w:p>
    <w:p>
      <w:r>
        <w:rPr>
          <w:b w:val="0"/>
        </w:rPr>
        <w:t>Rental assistance pool, $72,000. This is the subsidy itself, held as a pool rather than allocated equally, because households need different amounts and equal division would strand money in some cases and fall short in others. The budget models 12 households running the full six-month taper at an average of $4,300, and eight households needing short-term assistance averaging $2,550. The average across all 20 households enrolled is $3,600. At the two-bedroom Fair Market Rent of $1,180, the standard taper of full rent, then 60 percent, then 30 percent over six months costs $4,484 for a household at that full rent, and the $4,300 average reflects that several placements will be one-bedroom units below the two-bedroom Fair Market Rent.</w:t>
      </w:r>
    </w:p>
    <w:p>
      <w:r>
        <w:rPr>
          <w:b w:val="0"/>
        </w:rPr>
        <w:t>Security deposits and utility arrears, $11,000. Eight security deposits at one month's rent of $1,180, totaling $9,440, plus eight utility deposits and arrears clearances averaging $195, totaling $1,560. The budget assumes eight of the 16 placements, not all 16, because the county's Emergency Solutions Grants deposit assistance is expected to cover the other eight. Where that assistance is committed or a household has exhausted it, this line covers the difference. Section 11.5 states the boundary.</w:t>
      </w:r>
    </w:p>
    <w:p>
      <w:r>
        <w:rPr>
          <w:b w:val="0"/>
        </w:rPr>
        <w:t>Landlord risk mitigation fund, $6,000. Twelve new units at $500 reserved per unit, with claims capped at $1,000 per unit. This is the line that gets cut first when a total looks high and the line that produces the units. Over the past two years the Alliance paid four claims against a comparable reserve, averaging $610, against the 31 tenancies in units where a damage reserve was offered. Unspent reserve is not a windfall and is either returned or carried into the following year's fund with the funder's written agreement.</w:t>
      </w:r>
    </w:p>
    <w:p>
      <w:r>
        <w:rPr>
          <w:b w:val="0"/>
        </w:rPr>
        <w:t>Flexible client assistance, $6,000. Twenty households at $300. This covers rental application fees, replacement identification documents, birth certificates, a single missed rent payment during the taper, and small costs that threaten a tenancy. Each payment above $1,000 requires two-signature approval under the Alliance's client assistance policy. In practice this line is spent in amounts between $35 and $400.</w:t>
      </w:r>
    </w:p>
    <w:p>
      <w:r>
        <w:rPr>
          <w:b w:val="0"/>
        </w:rPr>
        <w:t>Transportation and move-in supplies, $4,800. Sixteen placements at $300, covering bus passes and mileage for unit viewings and appointments, and the basic furnishings a household needs on the first night: a bed, bedding, a table, kitchen basics and cleaning supplies. This line reads as minor until a household is holding keys to an empty apartment, at which point it is the difference between a tenancy and a return to shelter.</w:t>
      </w:r>
    </w:p>
    <w:p>
      <w:pPr>
        <w:pStyle w:val="Heading3"/>
      </w:pPr>
      <w:r>
        <w:t>11.3 HMIS and data</w:t>
      </w:r>
    </w:p>
    <w:p>
      <w:r>
        <w:rPr>
          <w:b w:val="0"/>
        </w:rPr>
        <w:t>HMIS licenses and data entry, $2,400. Two user licenses at $100 per month for twelve months, charged by the Continuum's HMIS lead agency. This is proof the program can report what it measures, and it is a small line worth naming rather than burying in an administrative category.</w:t>
      </w:r>
    </w:p>
    <w:p>
      <w:pPr>
        <w:pStyle w:val="Heading3"/>
      </w:pPr>
      <w:r>
        <w:t>11.4 Indirect costs</w:t>
      </w:r>
    </w:p>
    <w:p>
      <w:r>
        <w:rPr>
          <w:b w:val="0"/>
        </w:rPr>
        <w:t>This request includes no indirect cost line. The Alliance has no federally negotiated indirect cost rate and absorbs administrative costs for this program from unrestricted revenue.</w:t>
      </w:r>
    </w:p>
    <w:p>
      <w:r>
        <w:rPr>
          <w:b w:val="0"/>
        </w:rPr>
        <w:t>One detail is worth confirming with the funder in writing before submission, because housing budgets get returned over it. Where a funder does allow indirect costs, ask whether the rental subsidy pool sits inside or outside the base the rate applies to. Applying a rate to $72,000 of pass-through rent produces a very different total than applying it to personnel alone, and the answer varies by funder rather than by rule. Get it in writing and cite the guideline section in the narrative.</w:t>
      </w:r>
    </w:p>
    <w:p>
      <w:pPr>
        <w:pStyle w:val="Heading3"/>
      </w:pPr>
      <w:r>
        <w:t>11.5 Other funding and the supplanting question</w:t>
      </w:r>
    </w:p>
    <w:p>
      <w:r>
        <w:rPr>
          <w:b w:val="0"/>
        </w:rPr>
        <w:t>The Alliance's rapid re-housing work is supported by a county Emergency Solutions Grants subaward of $140,000 for the current program year, fully committed, and by $38,000 in unrestricted revenue from the Alliance's annual campaign. This request does not replace either source. It adds capacity for households those sources cannot reach.</w:t>
      </w:r>
    </w:p>
    <w:p>
      <w:r>
        <w:rPr>
          <w:b w:val="0"/>
        </w:rPr>
        <w:t>The boundary is specific and stated as a rule rather than an impression. Emergency Solutions Grants funds can pay a security deposit of up to two months' rent, a standard utility deposit, and up to 24 months of utility payments including up to six months of utility arrears under 24 CFR 576.105. They can also make a one-time payment covering up to six months of rent in arrears, within an overall limit of 24 months of rental assistance in any three-year period under 24 CFR 576.106. Deposits and arrears are therefore not ineligible costs, and this proposal does not claim they are. What this request funds is what sits outside those caps: landlord risk mitigation and damage reserves, furnishings, staff time spent on landlord recruitment, arrears past the six-month limit, and households that have exhausted the 24-month rental assistance limit or that the Continuum's written standards screen out of the available projects.</w:t>
      </w:r>
    </w:p>
    <w:p>
      <w:r>
        <w:rPr>
          <w:b w:val="0"/>
        </w:rPr>
        <w:t>If the award is partial, the Alliance would reduce the number of households served rather than reducing the subsidy per household, since a half-funded taper produces a move-out in month four and counts as a failure in every measure in Section 9. At $130,000, with both positions retained, the direct assistance pool falls to roughly $33,000 and the program serves seven households. Below $95,000 the navigator position cannot be sustained and the Alliance would return to the funder to discuss a different scope rather than accept an award it cannot deliver.</w:t>
      </w:r>
    </w:p>
    <w:p>
      <w:pPr>
        <w:pStyle w:val="Heading1"/>
      </w:pPr>
      <w:r>
        <w:t>12. Sustainability Plan</w:t>
      </w:r>
    </w:p>
    <w:p>
      <w:pPr>
        <w:pStyle w:val="AdaptationNote"/>
      </w:pPr>
      <w:r>
        <w:t>Adapt this section: 350 words. Name one path, one owner and one decision date. A housing sustainability plan that promises diversified funding without naming a source reads as a plan with no author.</w:t>
      </w:r>
    </w:p>
    <w:p>
      <w:r>
        <w:rPr>
          <w:b w:val="0"/>
        </w:rPr>
        <w:t>The honest starting point is that the subsidy is not meant to be sustained. Rapid re-housing is time-limited by design, and the thing that has to persist after the grant is the household's income and the lease, not the payment. That is why the sustainability question in this program is answered at enrollment, in the housing stability plan described in Section 7.4, rather than in a paragraph about future fundraising.</w:t>
      </w:r>
    </w:p>
    <w:p>
      <w:r>
        <w:rPr>
          <w:b w:val="0"/>
        </w:rPr>
        <w:t>Two program assets do persist beyond the grant year and are the reason this request is worth making once rather than annually. The first is the landlord relationships. Twelve new agreements signed in 2027 become units available to Alliance households in 2028 and after, at no additional acquisition cost, and the 19 turnovers the Alliance received last year came from relationships built in prior years. The second is the retention data. A rapid re-housing program that can evidence 85 percent retention at twelve months, drawn from HMIS rather than from self-report, is in a materially different position when the Continuum ranks projects in its local competition.</w:t>
      </w:r>
    </w:p>
    <w:p>
      <w:r>
        <w:rPr>
          <w:b w:val="0"/>
        </w:rPr>
        <w:t>The named path for continuation is the county's Emergency Solutions Grants allocation and the Continuum's annual local competition. The Alliance will submit the program for renewal consideration in the Continuum's competition using this grant year's placement and retention figures, and will request an increase in its county Emergency Solutions Grants subaward for the following program year. The executive director owns that submission, and the board's finance committee will review the program's continuation prospects at its meeting on September 30, 2027, in time to decide before the grant year closes whether to seek renewal from this funder, to shift the program into the Continuum's funded projects, or to close it deliberately rather than let it lapse mid-taper.</w:t>
      </w:r>
    </w:p>
    <w:p>
      <w:r>
        <w:rPr>
          <w:b w:val="0"/>
        </w:rPr>
        <w:t>Two smaller mechanisms reduce the ongoing cost. The landlord risk mitigation fund is a reserve rather than an expense, and the portion not paid out in claims carries forward. Unspent flexible assistance returns to the Alliance's client assistance fund, which is replenished annually from the year-end appeal and has never been fully exhausted.</w:t>
      </w:r>
    </w:p>
    <w:p>
      <w:pPr>
        <w:pStyle w:val="Heading1"/>
      </w:pPr>
      <w:r>
        <w:t>13. Key Personnel and Organizational Capacity</w:t>
      </w:r>
    </w:p>
    <w:p>
      <w:pPr>
        <w:pStyle w:val="AdaptationNote"/>
      </w:pPr>
      <w:r>
        <w:t>Adapt this section: 300 words. Housing funders want to know who carries the housing search and who carries retention, and that those are different people.</w:t>
      </w:r>
    </w:p>
    <w:tbl>
      <w:tblPr>
        <w:tblStyle w:val="LightGrid-Accent1"/>
        <w:tblW w:type="auto" w:w="0"/>
        <w:jc w:val="center"/>
        <w:tblLook w:firstColumn="1" w:firstRow="1" w:lastColumn="0" w:lastRow="0" w:noHBand="0" w:noVBand="1" w:val="04A0"/>
      </w:tblPr>
      <w:tblGrid>
        <w:gridCol w:w="2340"/>
        <w:gridCol w:w="2340"/>
        <w:gridCol w:w="2340"/>
        <w:gridCol w:w="2340"/>
      </w:tblGrid>
      <w:tr>
        <w:tc>
          <w:tcPr>
            <w:tcW w:type="dxa" w:w="2016"/>
          </w:tcPr>
          <w:p>
            <w:pPr>
              <w:spacing w:after="60" w:before="60"/>
            </w:pPr>
            <w:r/>
            <w:r>
              <w:rPr>
                <w:b/>
                <w:sz w:val="20"/>
              </w:rPr>
              <w:t>Position</w:t>
            </w:r>
          </w:p>
        </w:tc>
        <w:tc>
          <w:tcPr>
            <w:tcW w:type="dxa" w:w="1296"/>
          </w:tcPr>
          <w:p>
            <w:pPr>
              <w:spacing w:after="60" w:before="60"/>
            </w:pPr>
            <w:r/>
            <w:r>
              <w:rPr>
                <w:b/>
                <w:sz w:val="20"/>
              </w:rPr>
              <w:t>FTE on this grant</w:t>
            </w:r>
          </w:p>
        </w:tc>
        <w:tc>
          <w:tcPr>
            <w:tcW w:type="dxa" w:w="3456"/>
          </w:tcPr>
          <w:p>
            <w:pPr>
              <w:spacing w:after="60" w:before="60"/>
            </w:pPr>
            <w:r/>
            <w:r>
              <w:rPr>
                <w:b/>
                <w:sz w:val="20"/>
              </w:rPr>
              <w:t>Responsibilities</w:t>
            </w:r>
          </w:p>
        </w:tc>
        <w:tc>
          <w:tcPr>
            <w:tcW w:type="dxa" w:w="2592"/>
          </w:tcPr>
          <w:p>
            <w:pPr>
              <w:spacing w:after="60" w:before="60"/>
            </w:pPr>
            <w:r/>
            <w:r>
              <w:rPr>
                <w:b/>
                <w:sz w:val="20"/>
              </w:rPr>
              <w:t>Qualifications</w:t>
            </w:r>
          </w:p>
        </w:tc>
      </w:tr>
      <w:tr>
        <w:tc>
          <w:tcPr>
            <w:tcW w:type="dxa" w:w="2016"/>
          </w:tcPr>
          <w:p>
            <w:pPr>
              <w:spacing w:after="60" w:before="60"/>
            </w:pPr>
            <w:r/>
            <w:r>
              <w:rPr>
                <w:sz w:val="20"/>
              </w:rPr>
              <w:t>Housing navigator (new, to be hired)</w:t>
            </w:r>
          </w:p>
        </w:tc>
        <w:tc>
          <w:tcPr>
            <w:tcW w:type="dxa" w:w="1296"/>
          </w:tcPr>
          <w:p>
            <w:pPr>
              <w:spacing w:after="60" w:before="60"/>
            </w:pPr>
            <w:r/>
            <w:r>
              <w:rPr>
                <w:sz w:val="20"/>
              </w:rPr>
              <w:t>1.0</w:t>
            </w:r>
          </w:p>
        </w:tc>
        <w:tc>
          <w:tcPr>
            <w:tcW w:type="dxa" w:w="3456"/>
          </w:tcPr>
          <w:p>
            <w:pPr>
              <w:spacing w:after="60" w:before="60"/>
            </w:pPr>
            <w:r/>
            <w:r>
              <w:rPr>
                <w:sz w:val="20"/>
              </w:rPr>
              <w:t>Landlord recruitment, landlord log, unit inspection, rent negotiation, application support through lease signing. Up to 12 active searches.</w:t>
            </w:r>
          </w:p>
        </w:tc>
        <w:tc>
          <w:tcPr>
            <w:tcW w:type="dxa" w:w="2592"/>
          </w:tcPr>
          <w:p>
            <w:pPr>
              <w:spacing w:after="60" w:before="60"/>
            </w:pPr>
            <w:r/>
            <w:r>
              <w:rPr>
                <w:sz w:val="20"/>
              </w:rPr>
              <w:t>Two years in housing search, property management or leasing. Valid license and reliable transportation. Local rental market knowledge.</w:t>
            </w:r>
          </w:p>
        </w:tc>
      </w:tr>
      <w:tr>
        <w:tc>
          <w:tcPr>
            <w:tcW w:type="dxa" w:w="2016"/>
          </w:tcPr>
          <w:p>
            <w:pPr>
              <w:spacing w:after="60" w:before="60"/>
            </w:pPr>
            <w:r/>
            <w:r>
              <w:rPr>
                <w:sz w:val="20"/>
              </w:rPr>
              <w:t>Housing case manager (new, to be hired)</w:t>
            </w:r>
          </w:p>
        </w:tc>
        <w:tc>
          <w:tcPr>
            <w:tcW w:type="dxa" w:w="1296"/>
          </w:tcPr>
          <w:p>
            <w:pPr>
              <w:spacing w:after="60" w:before="60"/>
            </w:pPr>
            <w:r/>
            <w:r>
              <w:rPr>
                <w:sz w:val="20"/>
              </w:rPr>
              <w:t>0.5</w:t>
            </w:r>
          </w:p>
        </w:tc>
        <w:tc>
          <w:tcPr>
            <w:tcW w:type="dxa" w:w="3456"/>
          </w:tcPr>
          <w:p>
            <w:pPr>
              <w:spacing w:after="60" w:before="60"/>
            </w:pPr>
            <w:r/>
            <w:r>
              <w:rPr>
                <w:sz w:val="20"/>
              </w:rPr>
              <w:t>Retention from move-in through six months past the final subsidy payment, stability planning, landlord mediation, benefits and employment referral. Up to 15 households.</w:t>
            </w:r>
          </w:p>
        </w:tc>
        <w:tc>
          <w:tcPr>
            <w:tcW w:type="dxa" w:w="2592"/>
          </w:tcPr>
          <w:p>
            <w:pPr>
              <w:spacing w:after="60" w:before="60"/>
            </w:pPr>
            <w:r/>
            <w:r>
              <w:rPr>
                <w:sz w:val="20"/>
              </w:rPr>
              <w:t>Two years of case management with adults experiencing homelessness. HMIS proficiency. Housing First and trauma-informed practice.</w:t>
            </w:r>
          </w:p>
        </w:tc>
      </w:tr>
      <w:tr>
        <w:tc>
          <w:tcPr>
            <w:tcW w:type="dxa" w:w="2016"/>
          </w:tcPr>
          <w:p>
            <w:pPr>
              <w:spacing w:after="60" w:before="60"/>
            </w:pPr>
            <w:r/>
            <w:r>
              <w:rPr>
                <w:sz w:val="20"/>
              </w:rPr>
              <w:t>Program director (on staff)</w:t>
            </w:r>
          </w:p>
        </w:tc>
        <w:tc>
          <w:tcPr>
            <w:tcW w:type="dxa" w:w="1296"/>
          </w:tcPr>
          <w:p>
            <w:pPr>
              <w:spacing w:after="60" w:before="60"/>
            </w:pPr>
            <w:r/>
            <w:r>
              <w:rPr>
                <w:sz w:val="20"/>
              </w:rPr>
              <w:t>0.1, not charged</w:t>
            </w:r>
          </w:p>
        </w:tc>
        <w:tc>
          <w:tcPr>
            <w:tcW w:type="dxa" w:w="3456"/>
          </w:tcPr>
          <w:p>
            <w:pPr>
              <w:spacing w:after="60" w:before="60"/>
            </w:pPr>
            <w:r/>
            <w:r>
              <w:rPr>
                <w:sz w:val="20"/>
              </w:rPr>
              <w:t>Supervision, subsidy extension approvals, monthly data review, funder reporting.</w:t>
            </w:r>
          </w:p>
        </w:tc>
        <w:tc>
          <w:tcPr>
            <w:tcW w:type="dxa" w:w="2592"/>
          </w:tcPr>
          <w:p>
            <w:pPr>
              <w:spacing w:after="60" w:before="60"/>
            </w:pPr>
            <w:r/>
            <w:r>
              <w:rPr>
                <w:sz w:val="20"/>
              </w:rPr>
              <w:t>Seven years in homelessness services. Sits on the Continuum's rapid re-housing standards workgroup.</w:t>
            </w:r>
          </w:p>
        </w:tc>
      </w:tr>
      <w:tr>
        <w:tc>
          <w:tcPr>
            <w:tcW w:type="dxa" w:w="2016"/>
          </w:tcPr>
          <w:p>
            <w:pPr>
              <w:spacing w:after="60" w:before="60"/>
            </w:pPr>
            <w:r/>
            <w:r>
              <w:rPr>
                <w:sz w:val="20"/>
              </w:rPr>
              <w:t>Finance manager (on staff)</w:t>
            </w:r>
          </w:p>
        </w:tc>
        <w:tc>
          <w:tcPr>
            <w:tcW w:type="dxa" w:w="1296"/>
          </w:tcPr>
          <w:p>
            <w:pPr>
              <w:spacing w:after="60" w:before="60"/>
            </w:pPr>
            <w:r/>
            <w:r>
              <w:rPr>
                <w:sz w:val="20"/>
              </w:rPr>
              <w:t>Not charged</w:t>
            </w:r>
          </w:p>
        </w:tc>
        <w:tc>
          <w:tcPr>
            <w:tcW w:type="dxa" w:w="3456"/>
          </w:tcPr>
          <w:p>
            <w:pPr>
              <w:spacing w:after="60" w:before="60"/>
            </w:pPr>
            <w:r/>
            <w:r>
              <w:rPr>
                <w:sz w:val="20"/>
              </w:rPr>
              <w:t>Landlord payments, subsidy tracking, claims against the risk mitigation fund, financial reporting.</w:t>
            </w:r>
          </w:p>
        </w:tc>
        <w:tc>
          <w:tcPr>
            <w:tcW w:type="dxa" w:w="2592"/>
          </w:tcPr>
          <w:p>
            <w:pPr>
              <w:spacing w:after="60" w:before="60"/>
            </w:pPr>
            <w:r/>
            <w:r>
              <w:rPr>
                <w:sz w:val="20"/>
              </w:rPr>
              <w:t>Administers the Alliance's federal pass-through funds. Six audits with no findings.</w:t>
            </w:r>
          </w:p>
        </w:tc>
      </w:tr>
    </w:tbl>
    <w:p/>
    <w:p>
      <w:r>
        <w:rPr>
          <w:b w:val="0"/>
        </w:rPr>
        <w:t>Both funded positions will be posted within one week of award notification, with a target start date of January 15, 2027. The Alliance filled its two most recent direct service vacancies in 31 and 38 days. Should a position remain vacant past March 1, the program director covers landlord recruitment directly and the Alliance notifies the funder in writing rather than allowing enrollment to run ahead of the capacity to house people.</w:t>
      </w:r>
    </w:p>
    <w:p>
      <w:pPr>
        <w:pStyle w:val="Heading1"/>
      </w:pPr>
      <w:r>
        <w:t>14. Risks and Mitigation</w:t>
      </w:r>
    </w:p>
    <w:p>
      <w:pPr>
        <w:pStyle w:val="AdaptationNote"/>
      </w:pPr>
      <w:r>
        <w:t>Adapt this section: housing reviewers respect a proposal that names its own failure modes. Keep the mitigations concrete and already funded somewhere in the budget.</w:t>
      </w:r>
    </w:p>
    <w:tbl>
      <w:tblPr>
        <w:tblStyle w:val="LightGrid-Accent1"/>
        <w:tblW w:type="auto" w:w="0"/>
        <w:jc w:val="center"/>
        <w:tblLook w:firstColumn="1" w:firstRow="1" w:lastColumn="0" w:lastRow="0" w:noHBand="0" w:noVBand="1" w:val="04A0"/>
      </w:tblPr>
      <w:tblGrid>
        <w:gridCol w:w="3120"/>
        <w:gridCol w:w="3120"/>
        <w:gridCol w:w="3120"/>
      </w:tblGrid>
      <w:tr>
        <w:tc>
          <w:tcPr>
            <w:tcW w:type="dxa" w:w="3168"/>
          </w:tcPr>
          <w:p>
            <w:pPr>
              <w:spacing w:after="60" w:before="60"/>
            </w:pPr>
            <w:r/>
            <w:r>
              <w:rPr>
                <w:b/>
                <w:sz w:val="20"/>
              </w:rPr>
              <w:t>Risk</w:t>
            </w:r>
          </w:p>
        </w:tc>
        <w:tc>
          <w:tcPr>
            <w:tcW w:type="dxa" w:w="4320"/>
          </w:tcPr>
          <w:p>
            <w:pPr>
              <w:spacing w:after="60" w:before="60"/>
            </w:pPr>
            <w:r/>
            <w:r>
              <w:rPr>
                <w:b/>
                <w:sz w:val="20"/>
              </w:rPr>
              <w:t>Mitigation</w:t>
            </w:r>
          </w:p>
        </w:tc>
        <w:tc>
          <w:tcPr>
            <w:tcW w:type="dxa" w:w="1872"/>
          </w:tcPr>
          <w:p>
            <w:pPr>
              <w:spacing w:after="60" w:before="60"/>
            </w:pPr>
            <w:r/>
            <w:r>
              <w:rPr>
                <w:b/>
                <w:sz w:val="20"/>
              </w:rPr>
              <w:t>Where it is funded</w:t>
            </w:r>
          </w:p>
        </w:tc>
      </w:tr>
      <w:tr>
        <w:tc>
          <w:tcPr>
            <w:tcW w:type="dxa" w:w="3168"/>
          </w:tcPr>
          <w:p>
            <w:pPr>
              <w:spacing w:after="60" w:before="60"/>
            </w:pPr>
            <w:r/>
            <w:r>
              <w:rPr>
                <w:sz w:val="20"/>
              </w:rPr>
              <w:t>Vacancy stays at 2.1 percent and units are not available at the pace enrollment requires</w:t>
            </w:r>
          </w:p>
        </w:tc>
        <w:tc>
          <w:tcPr>
            <w:tcW w:type="dxa" w:w="4320"/>
          </w:tcPr>
          <w:p>
            <w:pPr>
              <w:spacing w:after="60" w:before="60"/>
            </w:pPr>
            <w:r/>
            <w:r>
              <w:rPr>
                <w:sz w:val="20"/>
              </w:rPr>
              <w:t>Dedicated navigator with a weekly landlord contact quota, quarterly touch with every existing landlord, and a 12-agreement target</w:t>
            </w:r>
          </w:p>
        </w:tc>
        <w:tc>
          <w:tcPr>
            <w:tcW w:type="dxa" w:w="1872"/>
          </w:tcPr>
          <w:p>
            <w:pPr>
              <w:spacing w:after="60" w:before="60"/>
            </w:pPr>
            <w:r/>
            <w:r>
              <w:rPr>
                <w:sz w:val="20"/>
              </w:rPr>
              <w:t>Housing navigator, 1.0 FTE</w:t>
            </w:r>
          </w:p>
        </w:tc>
      </w:tr>
      <w:tr>
        <w:tc>
          <w:tcPr>
            <w:tcW w:type="dxa" w:w="3168"/>
          </w:tcPr>
          <w:p>
            <w:pPr>
              <w:spacing w:after="60" w:before="60"/>
            </w:pPr>
            <w:r/>
            <w:r>
              <w:rPr>
                <w:sz w:val="20"/>
              </w:rPr>
              <w:t>Landlords decline households with eviction records or poor credit</w:t>
            </w:r>
          </w:p>
        </w:tc>
        <w:tc>
          <w:tcPr>
            <w:tcW w:type="dxa" w:w="4320"/>
          </w:tcPr>
          <w:p>
            <w:pPr>
              <w:spacing w:after="60" w:before="60"/>
            </w:pPr>
            <w:r/>
            <w:r>
              <w:rPr>
                <w:sz w:val="20"/>
              </w:rPr>
              <w:t>Direct rent payment, a named damage reserve up to $1,000 per unit with a ten-day claims decision, and pre-screening conversations before any application fee is paid</w:t>
            </w:r>
          </w:p>
        </w:tc>
        <w:tc>
          <w:tcPr>
            <w:tcW w:type="dxa" w:w="1872"/>
          </w:tcPr>
          <w:p>
            <w:pPr>
              <w:spacing w:after="60" w:before="60"/>
            </w:pPr>
            <w:r/>
            <w:r>
              <w:rPr>
                <w:sz w:val="20"/>
              </w:rPr>
              <w:t>Landlord risk mitigation fund, flexible client assistance</w:t>
            </w:r>
          </w:p>
        </w:tc>
      </w:tr>
      <w:tr>
        <w:tc>
          <w:tcPr>
            <w:tcW w:type="dxa" w:w="3168"/>
          </w:tcPr>
          <w:p>
            <w:pPr>
              <w:spacing w:after="60" w:before="60"/>
            </w:pPr>
            <w:r/>
            <w:r>
              <w:rPr>
                <w:sz w:val="20"/>
              </w:rPr>
              <w:t>Household income does not arrive by the end of the taper</w:t>
            </w:r>
          </w:p>
        </w:tc>
        <w:tc>
          <w:tcPr>
            <w:tcW w:type="dxa" w:w="4320"/>
          </w:tcPr>
          <w:p>
            <w:pPr>
              <w:spacing w:after="60" w:before="60"/>
            </w:pPr>
            <w:r/>
            <w:r>
              <w:rPr>
                <w:sz w:val="20"/>
              </w:rPr>
              <w:t>Stability plan written at enrollment, income path named before move-in, extension of up to three months on program director approval, referral back to coordinated entry where the intervention is wrong</w:t>
            </w:r>
          </w:p>
        </w:tc>
        <w:tc>
          <w:tcPr>
            <w:tcW w:type="dxa" w:w="1872"/>
          </w:tcPr>
          <w:p>
            <w:pPr>
              <w:spacing w:after="60" w:before="60"/>
            </w:pPr>
            <w:r/>
            <w:r>
              <w:rPr>
                <w:sz w:val="20"/>
              </w:rPr>
              <w:t>Rental assistance pool</w:t>
            </w:r>
          </w:p>
        </w:tc>
      </w:tr>
      <w:tr>
        <w:tc>
          <w:tcPr>
            <w:tcW w:type="dxa" w:w="3168"/>
          </w:tcPr>
          <w:p>
            <w:pPr>
              <w:spacing w:after="60" w:before="60"/>
            </w:pPr>
            <w:r/>
            <w:r>
              <w:rPr>
                <w:sz w:val="20"/>
              </w:rPr>
              <w:t>Rent exceeds the Fair Market Rent in the units actually available</w:t>
            </w:r>
          </w:p>
        </w:tc>
        <w:tc>
          <w:tcPr>
            <w:tcW w:type="dxa" w:w="4320"/>
          </w:tcPr>
          <w:p>
            <w:pPr>
              <w:spacing w:after="60" w:before="60"/>
            </w:pPr>
            <w:r/>
            <w:r>
              <w:rPr>
                <w:sz w:val="20"/>
              </w:rPr>
              <w:t>Rent reasonableness check against comparable unassisted units, negotiation by the navigator, written justification where a higher rent is still the right placement</w:t>
            </w:r>
          </w:p>
        </w:tc>
        <w:tc>
          <w:tcPr>
            <w:tcW w:type="dxa" w:w="1872"/>
          </w:tcPr>
          <w:p>
            <w:pPr>
              <w:spacing w:after="60" w:before="60"/>
            </w:pPr>
            <w:r/>
            <w:r>
              <w:rPr>
                <w:sz w:val="20"/>
              </w:rPr>
              <w:t>Housing navigator, 1.0 FTE</w:t>
            </w:r>
          </w:p>
        </w:tc>
      </w:tr>
      <w:tr>
        <w:tc>
          <w:tcPr>
            <w:tcW w:type="dxa" w:w="3168"/>
          </w:tcPr>
          <w:p>
            <w:pPr>
              <w:spacing w:after="60" w:before="60"/>
            </w:pPr>
            <w:r/>
            <w:r>
              <w:rPr>
                <w:sz w:val="20"/>
              </w:rPr>
              <w:t>A funded position stays vacant</w:t>
            </w:r>
          </w:p>
        </w:tc>
        <w:tc>
          <w:tcPr>
            <w:tcW w:type="dxa" w:w="4320"/>
          </w:tcPr>
          <w:p>
            <w:pPr>
              <w:spacing w:after="60" w:before="60"/>
            </w:pPr>
            <w:r/>
            <w:r>
              <w:rPr>
                <w:sz w:val="20"/>
              </w:rPr>
              <w:t>Program director covers landlord recruitment, enrollment pace is slowed to match housing capacity, funder notified in writing</w:t>
            </w:r>
          </w:p>
        </w:tc>
        <w:tc>
          <w:tcPr>
            <w:tcW w:type="dxa" w:w="1872"/>
          </w:tcPr>
          <w:p>
            <w:pPr>
              <w:spacing w:after="60" w:before="60"/>
            </w:pPr>
            <w:r/>
            <w:r>
              <w:rPr>
                <w:sz w:val="20"/>
              </w:rPr>
              <w:t>Program director time, not charged</w:t>
            </w:r>
          </w:p>
        </w:tc>
      </w:tr>
      <w:tr>
        <w:tc>
          <w:tcPr>
            <w:tcW w:type="dxa" w:w="3168"/>
          </w:tcPr>
          <w:p>
            <w:pPr>
              <w:spacing w:after="60" w:before="60"/>
            </w:pPr>
            <w:r/>
            <w:r>
              <w:rPr>
                <w:sz w:val="20"/>
              </w:rPr>
              <w:t>HMIS data quality drops and the measures cannot be evidenced</w:t>
            </w:r>
          </w:p>
        </w:tc>
        <w:tc>
          <w:tcPr>
            <w:tcW w:type="dxa" w:w="4320"/>
          </w:tcPr>
          <w:p>
            <w:pPr>
              <w:spacing w:after="60" w:before="60"/>
            </w:pPr>
            <w:r/>
            <w:r>
              <w:rPr>
                <w:sz w:val="20"/>
              </w:rPr>
              <w:t>Monthly data quality review against the Continuum's 95 percent threshold, annual HMIS training for both staff</w:t>
            </w:r>
          </w:p>
        </w:tc>
        <w:tc>
          <w:tcPr>
            <w:tcW w:type="dxa" w:w="1872"/>
          </w:tcPr>
          <w:p>
            <w:pPr>
              <w:spacing w:after="60" w:before="60"/>
            </w:pPr>
            <w:r/>
            <w:r>
              <w:rPr>
                <w:sz w:val="20"/>
              </w:rPr>
              <w:t>HMIS licenses and data entry</w:t>
            </w:r>
          </w:p>
        </w:tc>
      </w:tr>
      <w:tr>
        <w:tc>
          <w:tcPr>
            <w:tcW w:type="dxa" w:w="3168"/>
          </w:tcPr>
          <w:p>
            <w:pPr>
              <w:spacing w:after="60" w:before="60"/>
            </w:pPr>
            <w:r/>
            <w:r>
              <w:rPr>
                <w:sz w:val="20"/>
              </w:rPr>
              <w:t>Move-in stalls because documents are missing</w:t>
            </w:r>
          </w:p>
        </w:tc>
        <w:tc>
          <w:tcPr>
            <w:tcW w:type="dxa" w:w="4320"/>
          </w:tcPr>
          <w:p>
            <w:pPr>
              <w:spacing w:after="60" w:before="60"/>
            </w:pPr>
            <w:r/>
            <w:r>
              <w:rPr>
                <w:sz w:val="20"/>
              </w:rPr>
              <w:t>Document readiness check at enrollment rather than at application, flexible assistance for replacement identification and birth certificates</w:t>
            </w:r>
          </w:p>
        </w:tc>
        <w:tc>
          <w:tcPr>
            <w:tcW w:type="dxa" w:w="1872"/>
          </w:tcPr>
          <w:p>
            <w:pPr>
              <w:spacing w:after="60" w:before="60"/>
            </w:pPr>
            <w:r/>
            <w:r>
              <w:rPr>
                <w:sz w:val="20"/>
              </w:rPr>
              <w:t>Flexible client assistance</w:t>
            </w:r>
          </w:p>
        </w:tc>
      </w:tr>
    </w:tbl>
    <w:p/>
    <w:p>
      <w:pPr>
        <w:pStyle w:val="Heading1"/>
      </w:pPr>
      <w:r>
        <w:t>15. Attachments</w:t>
      </w:r>
    </w:p>
    <w:p>
      <w:pPr>
        <w:pStyle w:val="AdaptationNote"/>
      </w:pPr>
      <w:r>
        <w:t>Adapt this section: attach exactly what the funder asks for, in the order asked, and nothing else. The four housing-specific items are the landlord agreements, the unit list, the Continuum letter and the written standards.</w:t>
      </w:r>
    </w:p>
    <w:p>
      <w:pPr>
        <w:pStyle w:val="ListBullet"/>
      </w:pPr>
      <w:r>
        <w:t>IRS determination letter confirming 501(c)(3) status</w:t>
      </w:r>
    </w:p>
    <w:p>
      <w:pPr>
        <w:pStyle w:val="ListBullet"/>
      </w:pPr>
      <w:r>
        <w:t>Audited financial statements for the year ended June 30, 2026, with the management letter</w:t>
      </w:r>
    </w:p>
    <w:p>
      <w:pPr>
        <w:pStyle w:val="ListBullet"/>
      </w:pPr>
      <w:r>
        <w:t>Current fiscal year organizational budget and year-to-date statement of activities</w:t>
      </w:r>
    </w:p>
    <w:p>
      <w:pPr>
        <w:pStyle w:val="ListBullet"/>
      </w:pPr>
      <w:r>
        <w:t>Board of directors list with affiliations and terms</w:t>
      </w:r>
    </w:p>
    <w:p>
      <w:pPr>
        <w:pStyle w:val="ListBullet"/>
      </w:pPr>
      <w:r>
        <w:t>Letter of support from the Kestrel County Continuum of Care lead agency confirming membership and coordinated entry participation</w:t>
      </w:r>
    </w:p>
    <w:p>
      <w:pPr>
        <w:pStyle w:val="ListBullet"/>
      </w:pPr>
      <w:r>
        <w:t>Signed landlord agreements currently in force, redacted of personal contact details</w:t>
      </w:r>
    </w:p>
    <w:p>
      <w:pPr>
        <w:pStyle w:val="ListBullet"/>
      </w:pPr>
      <w:r>
        <w:t>Unit list showing address type, bedroom count, contract rent and current occupancy status</w:t>
      </w:r>
    </w:p>
    <w:p>
      <w:pPr>
        <w:pStyle w:val="ListBullet"/>
      </w:pPr>
      <w:r>
        <w:t>The Continuum's written standards for rapid re-housing, showing the eligibility rules the program follows</w:t>
      </w:r>
    </w:p>
    <w:p>
      <w:pPr>
        <w:pStyle w:val="ListBullet"/>
      </w:pPr>
      <w:r>
        <w:t>HMIS data quality report from the Continuum's most recent quarterly review</w:t>
      </w:r>
    </w:p>
    <w:p>
      <w:pPr>
        <w:pStyle w:val="ListBullet"/>
      </w:pPr>
      <w:r>
        <w:t>Job descriptions for the housing navigator and housing case manager</w:t>
      </w:r>
    </w:p>
    <w:p>
      <w:pPr>
        <w:pStyle w:val="ListBullet"/>
      </w:pPr>
      <w:r>
        <w:t>Client financial assistance policy, including the two-signature approval rule</w:t>
      </w:r>
    </w:p>
    <w:p>
      <w:pPr>
        <w:pStyle w:val="ListBullet"/>
      </w:pPr>
      <w:r>
        <w:t>Most recent Form 990</w:t>
      </w:r>
    </w:p>
    <w:p>
      <w:pPr>
        <w:pStyle w:val="Heading1"/>
      </w:pPr>
      <w:r>
        <w:t>Appendix A. Adapting This Proposal to Other Housing Interventions</w:t>
      </w:r>
    </w:p>
    <w:p>
      <w:r>
        <w:rPr>
          <w:b w:val="0"/>
        </w:rPr>
        <w:t>The section order and most of the document transfer directly. What changes between housing interventions is the subsidy structure, the measures, and which budget lines carry weight. Name the intervention in the executive summary and do not mix two of them in one request.</w:t>
      </w:r>
    </w:p>
    <w:p>
      <w:pPr>
        <w:pStyle w:val="Heading3"/>
      </w:pPr>
      <w:r>
        <w:t>Permanent supportive housing</w:t>
      </w:r>
    </w:p>
    <w:p>
      <w:r>
        <w:rPr>
          <w:b w:val="0"/>
        </w:rPr>
        <w:t>The subsidy is not time-limited, so Section 7.4 changes from a taper to an ongoing rent structure with tenant contribution set at 30 percent of income, and the sustainability section has to name a rental assistance source that persists rather than a household income plan. Eligibility narrows to households with a documented disability and chronic homelessness status, so the referral section states how documentation is obtained. Services intensity rises: budget a case manager at a caseload closer to 20, and add peer support if you staff it. The headline measure becomes housing retention at 12 and 24 months rather than placement rate, and time to move-in matters more because the target population sits longest on the queue.</w:t>
      </w:r>
    </w:p>
    <w:p>
      <w:pPr>
        <w:pStyle w:val="Heading3"/>
      </w:pPr>
      <w:r>
        <w:t>Homelessness prevention</w:t>
      </w:r>
    </w:p>
    <w:p>
      <w:r>
        <w:rPr>
          <w:b w:val="0"/>
        </w:rPr>
        <w:t>The need statement shifts from Point-in-Time counts to eviction filings, court dockets and the at-risk-of-homelessness definition your funder uses, since the households have not entered the homelessness system. Targeting becomes the hardest question in the document: state how you identify households that would actually become homeless without assistance, because a reviewer will assume most would not. The budget is arrears-heavy and light on housing search, so the navigator line shrinks or disappears. The measure is housing stability at 6 and 12 months after assistance ends, and the absence of an HMIS entry into shelter.</w:t>
      </w:r>
    </w:p>
    <w:p>
      <w:pPr>
        <w:pStyle w:val="Heading3"/>
      </w:pPr>
      <w:r>
        <w:t>Transitional housing</w:t>
      </w:r>
    </w:p>
    <w:p>
      <w:r>
        <w:rPr>
          <w:b w:val="0"/>
        </w:rPr>
        <w:t>You are operating units rather than leasing in the private market, so the budget carries facility operating costs: utilities, maintenance, insurance, furnishings and often overnight staffing. The landlord risk mitigation line disappears and a unit turnover and repair line replaces it. The critical measure is the exit destination, specifically the share exiting to permanent housing rather than to another temporary setting, and the length of stay. Expect a reviewer to ask why transitional housing rather than rapid re-housing, and answer it directly with the population characteristic that requires the structure.</w:t>
      </w:r>
    </w:p>
    <w:p>
      <w:pPr>
        <w:pStyle w:val="Heading3"/>
      </w:pPr>
      <w:r>
        <w:t>Homeowner repair and rehabilitation</w:t>
      </w:r>
    </w:p>
    <w:p>
      <w:r>
        <w:rPr>
          <w:b w:val="0"/>
        </w:rPr>
        <w:t>This is a preservation request rather than a homelessness services request, so the need statement is built from housing age, code violations, owner income and the cost of the repairs rather than from PIT and HMIS. The budget is dominated by construction line items with per-unit costs and a contingency, and it needs a contractor procurement policy. The measures are units repaired, code items cleared, and households remaining in the home at 12 months. Say explicitly whether the funder treats this as capital.</w:t>
      </w:r>
    </w:p>
    <w:p>
      <w:pPr>
        <w:pStyle w:val="Heading3"/>
      </w:pPr>
      <w:r>
        <w:t>Capital requests</w:t>
      </w:r>
    </w:p>
    <w:p>
      <w:r>
        <w:rPr>
          <w:b w:val="0"/>
        </w:rPr>
        <w:t>A capital request funds the building: acquisition, construction or rehabilitation. An operating request funds what happens inside it. Read the guidelines to see which one the funder does, because a proposal that mixes them lets the reviewer decide you do not know what you are asking for. A capital request needs a development budget, a sources and uses table, site control evidence, a construction timeline and an operating pro forma showing the building can be run after it is built. None of that belongs in the operating proposal modelled here.</w:t>
      </w:r>
    </w:p>
    <w:p>
      <w:pPr>
        <w:pStyle w:val="Heading1"/>
      </w:pPr>
      <w:r>
        <w:t>Appendix B. Four Objections Housing Funders Raise</w:t>
      </w:r>
    </w:p>
    <w:p>
      <w:r>
        <w:rPr>
          <w:b w:val="0"/>
        </w:rPr>
        <w:t>These four come up regardless of intervention type. Answer each one inside the proposal, in the section named, before a reviewer has to raise it.</w:t>
      </w:r>
    </w:p>
    <w:p>
      <w:pPr>
        <w:pStyle w:val="Heading3"/>
      </w:pPr>
      <w:r>
        <w:t>This is just paying someone's rent. What happens in month 13?</w:t>
      </w:r>
    </w:p>
    <w:p>
      <w:r>
        <w:rPr>
          <w:b w:val="0"/>
        </w:rPr>
        <w:t>Answer in the program description with a defined subsidy structure: the duration, the step-down schedule, and the income or benefit the household is expected to be paying rent from when assistance ends. Then attach the 12-month retention measure so the funder can see you plan to check rather than assume. A program that cannot say what month seven looks like is asking the funder to carry that risk silently.</w:t>
      </w:r>
    </w:p>
    <w:p>
      <w:pPr>
        <w:pStyle w:val="Heading3"/>
      </w:pPr>
      <w:r>
        <w:t>The Continuum of Care already does this. Why fund you separately?</w:t>
      </w:r>
    </w:p>
    <w:p>
      <w:r>
        <w:rPr>
          <w:b w:val="0"/>
        </w:rPr>
        <w:t>Name the gap against the rule rather than against your impression of the rule. Emergency Solutions Grants rental assistance is capped at 24 months in any three-year period, and rent arrears at a one-time payment of up to six months, under 24 CFR 576.106. Households run past those caps. Others fall outside the Continuum's written standards, or carry income too high for one project and no documented disability for another, or need a damage reserve rather than a subsidy. Say which of those households your request reaches, and how many of them there are.</w:t>
      </w:r>
    </w:p>
    <w:p>
      <w:pPr>
        <w:pStyle w:val="Heading3"/>
      </w:pPr>
      <w:r>
        <w:t>You have households but no units. Where is the supply?</w:t>
      </w:r>
    </w:p>
    <w:p>
      <w:r>
        <w:rPr>
          <w:b w:val="0"/>
        </w:rPr>
        <w:t>Answer with counts, in the organizational background and again in the program description. How many landlords currently rent to your program, how many units turned over to you last year, how many new agreements this request will produce, and the name of the position whose entire job is producing them. Attach signed landlord agreements where you have them. A funder can verify how many households you enrolled and cannot verify how many landlords will answer the phone in March, so the document has to carry that evidence itself.</w:t>
      </w:r>
    </w:p>
    <w:p>
      <w:pPr>
        <w:pStyle w:val="Heading3"/>
      </w:pPr>
      <w:r>
        <w:t>Is this supplanting public funding?</w:t>
      </w:r>
    </w:p>
    <w:p>
      <w:r>
        <w:rPr>
          <w:b w:val="0"/>
        </w:rPr>
        <w:t>State what the public sources in your jurisdiction cover, cite the rule, then show your request sitting outside it. Emergency Solutions Grants pays security deposits, utility deposits and utility arrears within the limits at 24 CFR 576.105, and rent arrears within the limits at 24 CFR 576.106, so those are the wrong lines to describe as unfunded. The honest remainder is landlord risk mitigation and damage reserves, furnishings, staff time on landlord recruitment, arrears past the six-month limit, and the households your Continuum's written standards screen out.</w:t>
      </w:r>
    </w:p>
    <w:p>
      <w:pPr>
        <w:pStyle w:val="Heading1"/>
      </w:pPr>
      <w:r>
        <w:t>Appendix C. Section Length Guide</w:t>
      </w:r>
    </w:p>
    <w:p>
      <w:r>
        <w:rPr>
          <w:b w:val="0"/>
        </w:rPr>
        <w:t>Follow the funder's stated page limit exactly, and expect housing funders to enforce it. Where no limit is given, these are the lengths a housing reviewer typically expects, and what they check in each section.</w:t>
      </w:r>
    </w:p>
    <w:tbl>
      <w:tblPr>
        <w:tblStyle w:val="LightGrid-Accent1"/>
        <w:tblW w:type="auto" w:w="0"/>
        <w:jc w:val="center"/>
        <w:tblLook w:firstColumn="1" w:firstRow="1" w:lastColumn="0" w:lastRow="0" w:noHBand="0" w:noVBand="1" w:val="04A0"/>
      </w:tblPr>
      <w:tblGrid>
        <w:gridCol w:w="3120"/>
        <w:gridCol w:w="3120"/>
        <w:gridCol w:w="3120"/>
      </w:tblGrid>
      <w:tr>
        <w:tc>
          <w:tcPr>
            <w:tcW w:type="dxa" w:w="2448"/>
          </w:tcPr>
          <w:p>
            <w:pPr>
              <w:spacing w:after="60" w:before="60"/>
            </w:pPr>
            <w:r/>
            <w:r>
              <w:rPr>
                <w:b/>
                <w:sz w:val="20"/>
              </w:rPr>
              <w:t>Section</w:t>
            </w:r>
          </w:p>
        </w:tc>
        <w:tc>
          <w:tcPr>
            <w:tcW w:type="dxa" w:w="2016"/>
          </w:tcPr>
          <w:p>
            <w:pPr>
              <w:spacing w:after="60" w:before="60"/>
            </w:pPr>
            <w:r/>
            <w:r>
              <w:rPr>
                <w:b/>
                <w:sz w:val="20"/>
              </w:rPr>
              <w:t>Suggested length</w:t>
            </w:r>
          </w:p>
        </w:tc>
        <w:tc>
          <w:tcPr>
            <w:tcW w:type="dxa" w:w="4896"/>
          </w:tcPr>
          <w:p>
            <w:pPr>
              <w:spacing w:after="60" w:before="60"/>
            </w:pPr>
            <w:r/>
            <w:r>
              <w:rPr>
                <w:b/>
                <w:sz w:val="20"/>
              </w:rPr>
              <w:t>What a housing reviewer checks</w:t>
            </w:r>
          </w:p>
        </w:tc>
      </w:tr>
      <w:tr>
        <w:tc>
          <w:tcPr>
            <w:tcW w:type="dxa" w:w="2448"/>
          </w:tcPr>
          <w:p>
            <w:pPr>
              <w:spacing w:after="60" w:before="60"/>
            </w:pPr>
            <w:r/>
            <w:r>
              <w:rPr>
                <w:sz w:val="20"/>
              </w:rPr>
              <w:t>Cover letter</w:t>
            </w:r>
          </w:p>
        </w:tc>
        <w:tc>
          <w:tcPr>
            <w:tcW w:type="dxa" w:w="2016"/>
          </w:tcPr>
          <w:p>
            <w:pPr>
              <w:spacing w:after="60" w:before="60"/>
            </w:pPr>
            <w:r/>
            <w:r>
              <w:rPr>
                <w:sz w:val="20"/>
              </w:rPr>
              <w:t>1 page</w:t>
            </w:r>
          </w:p>
        </w:tc>
        <w:tc>
          <w:tcPr>
            <w:tcW w:type="dxa" w:w="4896"/>
          </w:tcPr>
          <w:p>
            <w:pPr>
              <w:spacing w:after="60" w:before="60"/>
            </w:pPr>
            <w:r/>
            <w:r>
              <w:rPr>
                <w:sz w:val="20"/>
              </w:rPr>
              <w:t>Whether the ask matches the funder's housing priority</w:t>
            </w:r>
          </w:p>
        </w:tc>
      </w:tr>
      <w:tr>
        <w:tc>
          <w:tcPr>
            <w:tcW w:type="dxa" w:w="2448"/>
          </w:tcPr>
          <w:p>
            <w:pPr>
              <w:spacing w:after="60" w:before="60"/>
            </w:pPr>
            <w:r/>
            <w:r>
              <w:rPr>
                <w:sz w:val="20"/>
              </w:rPr>
              <w:t>Executive summary</w:t>
            </w:r>
          </w:p>
        </w:tc>
        <w:tc>
          <w:tcPr>
            <w:tcW w:type="dxa" w:w="2016"/>
          </w:tcPr>
          <w:p>
            <w:pPr>
              <w:spacing w:after="60" w:before="60"/>
            </w:pPr>
            <w:r/>
            <w:r>
              <w:rPr>
                <w:sz w:val="20"/>
              </w:rPr>
              <w:t>250 words</w:t>
            </w:r>
          </w:p>
        </w:tc>
        <w:tc>
          <w:tcPr>
            <w:tcW w:type="dxa" w:w="4896"/>
          </w:tcPr>
          <w:p>
            <w:pPr>
              <w:spacing w:after="60" w:before="60"/>
            </w:pPr>
            <w:r/>
            <w:r>
              <w:rPr>
                <w:sz w:val="20"/>
              </w:rPr>
              <w:t>Intervention type, households served, total request</w:t>
            </w:r>
          </w:p>
        </w:tc>
      </w:tr>
      <w:tr>
        <w:tc>
          <w:tcPr>
            <w:tcW w:type="dxa" w:w="2448"/>
          </w:tcPr>
          <w:p>
            <w:pPr>
              <w:spacing w:after="60" w:before="60"/>
            </w:pPr>
            <w:r/>
            <w:r>
              <w:rPr>
                <w:sz w:val="20"/>
              </w:rPr>
              <w:t>Organizational background</w:t>
            </w:r>
          </w:p>
        </w:tc>
        <w:tc>
          <w:tcPr>
            <w:tcW w:type="dxa" w:w="2016"/>
          </w:tcPr>
          <w:p>
            <w:pPr>
              <w:spacing w:after="60" w:before="60"/>
            </w:pPr>
            <w:r/>
            <w:r>
              <w:rPr>
                <w:sz w:val="20"/>
              </w:rPr>
              <w:t>400 words</w:t>
            </w:r>
          </w:p>
        </w:tc>
        <w:tc>
          <w:tcPr>
            <w:tcW w:type="dxa" w:w="4896"/>
          </w:tcPr>
          <w:p>
            <w:pPr>
              <w:spacing w:after="60" w:before="60"/>
            </w:pPr>
            <w:r/>
            <w:r>
              <w:rPr>
                <w:sz w:val="20"/>
              </w:rPr>
              <w:t>Continuum membership, HMIS participation, years running housing</w:t>
            </w:r>
          </w:p>
        </w:tc>
      </w:tr>
      <w:tr>
        <w:tc>
          <w:tcPr>
            <w:tcW w:type="dxa" w:w="2448"/>
          </w:tcPr>
          <w:p>
            <w:pPr>
              <w:spacing w:after="60" w:before="60"/>
            </w:pPr>
            <w:r/>
            <w:r>
              <w:rPr>
                <w:sz w:val="20"/>
              </w:rPr>
              <w:t>Statement of need</w:t>
            </w:r>
          </w:p>
        </w:tc>
        <w:tc>
          <w:tcPr>
            <w:tcW w:type="dxa" w:w="2016"/>
          </w:tcPr>
          <w:p>
            <w:pPr>
              <w:spacing w:after="60" w:before="60"/>
            </w:pPr>
            <w:r/>
            <w:r>
              <w:rPr>
                <w:sz w:val="20"/>
              </w:rPr>
              <w:t>700 words</w:t>
            </w:r>
          </w:p>
        </w:tc>
        <w:tc>
          <w:tcPr>
            <w:tcW w:type="dxa" w:w="4896"/>
          </w:tcPr>
          <w:p>
            <w:pPr>
              <w:spacing w:after="60" w:before="60"/>
            </w:pPr>
            <w:r/>
            <w:r>
              <w:rPr>
                <w:sz w:val="20"/>
              </w:rPr>
              <w:t>Local Point-in-Time and HMIS figures, rent burden, queue</w:t>
            </w:r>
          </w:p>
        </w:tc>
      </w:tr>
      <w:tr>
        <w:tc>
          <w:tcPr>
            <w:tcW w:type="dxa" w:w="2448"/>
          </w:tcPr>
          <w:p>
            <w:pPr>
              <w:spacing w:after="60" w:before="60"/>
            </w:pPr>
            <w:r/>
            <w:r>
              <w:rPr>
                <w:sz w:val="20"/>
              </w:rPr>
              <w:t>Program design</w:t>
            </w:r>
          </w:p>
        </w:tc>
        <w:tc>
          <w:tcPr>
            <w:tcW w:type="dxa" w:w="2016"/>
          </w:tcPr>
          <w:p>
            <w:pPr>
              <w:spacing w:after="60" w:before="60"/>
            </w:pPr>
            <w:r/>
            <w:r>
              <w:rPr>
                <w:sz w:val="20"/>
              </w:rPr>
              <w:t>900 words</w:t>
            </w:r>
          </w:p>
        </w:tc>
        <w:tc>
          <w:tcPr>
            <w:tcW w:type="dxa" w:w="4896"/>
          </w:tcPr>
          <w:p>
            <w:pPr>
              <w:spacing w:after="60" w:before="60"/>
            </w:pPr>
            <w:r/>
            <w:r>
              <w:rPr>
                <w:sz w:val="20"/>
              </w:rPr>
              <w:t>Named intervention, coordinated entry referral path, caseload</w:t>
            </w:r>
          </w:p>
        </w:tc>
      </w:tr>
      <w:tr>
        <w:tc>
          <w:tcPr>
            <w:tcW w:type="dxa" w:w="2448"/>
          </w:tcPr>
          <w:p>
            <w:pPr>
              <w:spacing w:after="60" w:before="60"/>
            </w:pPr>
            <w:r/>
            <w:r>
              <w:rPr>
                <w:sz w:val="20"/>
              </w:rPr>
              <w:t>Staffing plan</w:t>
            </w:r>
          </w:p>
        </w:tc>
        <w:tc>
          <w:tcPr>
            <w:tcW w:type="dxa" w:w="2016"/>
          </w:tcPr>
          <w:p>
            <w:pPr>
              <w:spacing w:after="60" w:before="60"/>
            </w:pPr>
            <w:r/>
            <w:r>
              <w:rPr>
                <w:sz w:val="20"/>
              </w:rPr>
              <w:t>300 words</w:t>
            </w:r>
          </w:p>
        </w:tc>
        <w:tc>
          <w:tcPr>
            <w:tcW w:type="dxa" w:w="4896"/>
          </w:tcPr>
          <w:p>
            <w:pPr>
              <w:spacing w:after="60" w:before="60"/>
            </w:pPr>
            <w:r/>
            <w:r>
              <w:rPr>
                <w:sz w:val="20"/>
              </w:rPr>
              <w:t>Who carries housing search, who carries retention</w:t>
            </w:r>
          </w:p>
        </w:tc>
      </w:tr>
      <w:tr>
        <w:tc>
          <w:tcPr>
            <w:tcW w:type="dxa" w:w="2448"/>
          </w:tcPr>
          <w:p>
            <w:pPr>
              <w:spacing w:after="60" w:before="60"/>
            </w:pPr>
            <w:r/>
            <w:r>
              <w:rPr>
                <w:sz w:val="20"/>
              </w:rPr>
              <w:t>Budget and narrative</w:t>
            </w:r>
          </w:p>
        </w:tc>
        <w:tc>
          <w:tcPr>
            <w:tcW w:type="dxa" w:w="2016"/>
          </w:tcPr>
          <w:p>
            <w:pPr>
              <w:spacing w:after="60" w:before="60"/>
            </w:pPr>
            <w:r/>
            <w:r>
              <w:rPr>
                <w:sz w:val="20"/>
              </w:rPr>
              <w:t>2 pages</w:t>
            </w:r>
          </w:p>
        </w:tc>
        <w:tc>
          <w:tcPr>
            <w:tcW w:type="dxa" w:w="4896"/>
          </w:tcPr>
          <w:p>
            <w:pPr>
              <w:spacing w:after="60" w:before="60"/>
            </w:pPr>
            <w:r/>
            <w:r>
              <w:rPr>
                <w:sz w:val="20"/>
              </w:rPr>
              <w:t>Subsidy pool broken out from personnel and services</w:t>
            </w:r>
          </w:p>
        </w:tc>
      </w:tr>
      <w:tr>
        <w:tc>
          <w:tcPr>
            <w:tcW w:type="dxa" w:w="2448"/>
          </w:tcPr>
          <w:p>
            <w:pPr>
              <w:spacing w:after="60" w:before="60"/>
            </w:pPr>
            <w:r/>
            <w:r>
              <w:rPr>
                <w:sz w:val="20"/>
              </w:rPr>
              <w:t>Evaluation plan</w:t>
            </w:r>
          </w:p>
        </w:tc>
        <w:tc>
          <w:tcPr>
            <w:tcW w:type="dxa" w:w="2016"/>
          </w:tcPr>
          <w:p>
            <w:pPr>
              <w:spacing w:after="60" w:before="60"/>
            </w:pPr>
            <w:r/>
            <w:r>
              <w:rPr>
                <w:sz w:val="20"/>
              </w:rPr>
              <w:t>500 words</w:t>
            </w:r>
          </w:p>
        </w:tc>
        <w:tc>
          <w:tcPr>
            <w:tcW w:type="dxa" w:w="4896"/>
          </w:tcPr>
          <w:p>
            <w:pPr>
              <w:spacing w:after="60" w:before="60"/>
            </w:pPr>
            <w:r/>
            <w:r>
              <w:rPr>
                <w:sz w:val="20"/>
              </w:rPr>
              <w:t>Placement rate, 12-month retention, returns to homelessness</w:t>
            </w:r>
          </w:p>
        </w:tc>
      </w:tr>
      <w:tr>
        <w:tc>
          <w:tcPr>
            <w:tcW w:type="dxa" w:w="2448"/>
          </w:tcPr>
          <w:p>
            <w:pPr>
              <w:spacing w:after="60" w:before="60"/>
            </w:pPr>
            <w:r/>
            <w:r>
              <w:rPr>
                <w:sz w:val="20"/>
              </w:rPr>
              <w:t>Sustainability plan</w:t>
            </w:r>
          </w:p>
        </w:tc>
        <w:tc>
          <w:tcPr>
            <w:tcW w:type="dxa" w:w="2016"/>
          </w:tcPr>
          <w:p>
            <w:pPr>
              <w:spacing w:after="60" w:before="60"/>
            </w:pPr>
            <w:r/>
            <w:r>
              <w:rPr>
                <w:sz w:val="20"/>
              </w:rPr>
              <w:t>350 words</w:t>
            </w:r>
          </w:p>
        </w:tc>
        <w:tc>
          <w:tcPr>
            <w:tcW w:type="dxa" w:w="4896"/>
          </w:tcPr>
          <w:p>
            <w:pPr>
              <w:spacing w:after="60" w:before="60"/>
            </w:pPr>
            <w:r/>
            <w:r>
              <w:rPr>
                <w:sz w:val="20"/>
              </w:rPr>
              <w:t>What replaces the subsidy, and when</w:t>
            </w:r>
          </w:p>
        </w:tc>
      </w:tr>
      <w:tr>
        <w:tc>
          <w:tcPr>
            <w:tcW w:type="dxa" w:w="2448"/>
          </w:tcPr>
          <w:p>
            <w:pPr>
              <w:spacing w:after="60" w:before="60"/>
            </w:pPr>
            <w:r/>
            <w:r>
              <w:rPr>
                <w:sz w:val="20"/>
              </w:rPr>
              <w:t>Attachments</w:t>
            </w:r>
          </w:p>
        </w:tc>
        <w:tc>
          <w:tcPr>
            <w:tcW w:type="dxa" w:w="2016"/>
          </w:tcPr>
          <w:p>
            <w:pPr>
              <w:spacing w:after="60" w:before="60"/>
            </w:pPr>
            <w:r/>
            <w:r>
              <w:rPr>
                <w:sz w:val="20"/>
              </w:rPr>
              <w:t>List</w:t>
            </w:r>
          </w:p>
        </w:tc>
        <w:tc>
          <w:tcPr>
            <w:tcW w:type="dxa" w:w="4896"/>
          </w:tcPr>
          <w:p>
            <w:pPr>
              <w:spacing w:after="60" w:before="60"/>
            </w:pPr>
            <w:r/>
            <w:r>
              <w:rPr>
                <w:sz w:val="20"/>
              </w:rPr>
              <w:t>Audit, board list, Continuum letter, landlord agreements, unit list</w:t>
            </w:r>
          </w:p>
        </w:tc>
      </w:tr>
    </w:tbl>
    <w:p/>
    <w:p>
      <w:pPr>
        <w:pStyle w:val="Heading1"/>
      </w:pPr>
      <w:r>
        <w:t>Appendix D. Pre-Submission Checklist</w:t>
      </w:r>
    </w:p>
    <w:p>
      <w:pPr>
        <w:pStyle w:val="ListBullet"/>
      </w:pPr>
      <w:r>
        <w:t>Every composite name from this file has been replaced: the organization, the county, the city, the landlords, the staff.</w:t>
      </w:r>
    </w:p>
    <w:p>
      <w:pPr>
        <w:pStyle w:val="ListBullet"/>
      </w:pPr>
      <w:r>
        <w:t>The intervention type is named in the first sentence of the executive summary and never changes across the document.</w:t>
      </w:r>
    </w:p>
    <w:p>
      <w:pPr>
        <w:pStyle w:val="ListBullet"/>
      </w:pPr>
      <w:r>
        <w:t>Every figure in the statement of need traces to a source you can produce in writing: your Continuum's count, your HMIS, HUD User, the American Community Survey.</w:t>
      </w:r>
    </w:p>
    <w:p>
      <w:pPr>
        <w:pStyle w:val="ListBullet"/>
      </w:pPr>
      <w:r>
        <w:t>You have checked which year your unsheltered Point-in-Time figure comes from, and the proposal says so.</w:t>
      </w:r>
    </w:p>
    <w:p>
      <w:pPr>
        <w:pStyle w:val="ListBullet"/>
      </w:pPr>
      <w:r>
        <w:t>The Fair Market Rent quoted is for your metropolitan area and the correct fiscal year.</w:t>
      </w:r>
    </w:p>
    <w:p>
      <w:pPr>
        <w:pStyle w:val="ListBullet"/>
      </w:pPr>
      <w:r>
        <w:t>The rental subsidy pool appears as its own block in the budget, separate from personnel and services.</w:t>
      </w:r>
    </w:p>
    <w:p>
      <w:pPr>
        <w:pStyle w:val="ListBullet"/>
      </w:pPr>
      <w:r>
        <w:t>Every budget line shows a basis of calculation, and the arithmetic in each one is correct.</w:t>
      </w:r>
    </w:p>
    <w:p>
      <w:pPr>
        <w:pStyle w:val="ListBullet"/>
      </w:pPr>
      <w:r>
        <w:t>The number of households in the executive summary matches the number in the budget, the objectives and the evaluation plan.</w:t>
      </w:r>
    </w:p>
    <w:p>
      <w:pPr>
        <w:pStyle w:val="ListBullet"/>
      </w:pPr>
      <w:r>
        <w:t>The unit supply evidence is in the document: landlords currently renting to you, units turned over last year, new agreements this request produces.</w:t>
      </w:r>
    </w:p>
    <w:p>
      <w:pPr>
        <w:pStyle w:val="ListBullet"/>
      </w:pPr>
      <w:r>
        <w:t>The subsidy duration and step-down schedule are stated, and the proposal says what happens in the first month with no payment.</w:t>
      </w:r>
    </w:p>
    <w:p>
      <w:pPr>
        <w:pStyle w:val="ListBullet"/>
      </w:pPr>
      <w:r>
        <w:t>Retention is measured at 12 months from HMIS, and the reported figure will state its response rate.</w:t>
      </w:r>
    </w:p>
    <w:p>
      <w:pPr>
        <w:pStyle w:val="ListBullet"/>
      </w:pPr>
      <w:r>
        <w:t>Returns to homelessness use HUD's 6, 12 and 24 month intervals rather than intervals of your own.</w:t>
      </w:r>
    </w:p>
    <w:p>
      <w:pPr>
        <w:pStyle w:val="ListBullet"/>
      </w:pPr>
      <w:r>
        <w:t>You have confirmed in writing whether the rental subsidy sits inside or outside the indirect cost base.</w:t>
      </w:r>
    </w:p>
    <w:p>
      <w:pPr>
        <w:pStyle w:val="ListBullet"/>
      </w:pPr>
      <w:r>
        <w:t>The supplanting answer cites the actual caps at 24 CFR 576.105 and 576.106 rather than calling those costs ineligible.</w:t>
      </w:r>
    </w:p>
    <w:p>
      <w:pPr>
        <w:pStyle w:val="ListBullet"/>
      </w:pPr>
      <w:r>
        <w:t>The sustainability section names one path, one owner and one decision date.</w:t>
      </w:r>
    </w:p>
    <w:p>
      <w:pPr>
        <w:pStyle w:val="ListBullet"/>
      </w:pPr>
      <w:r>
        <w:t>No target is set at 100 percent. A proposal promising perfect retention reads as one from someone who has never run the program.</w:t>
      </w:r>
    </w:p>
    <w:p>
      <w:pPr>
        <w:pStyle w:val="ListBullet"/>
      </w:pPr>
      <w:r>
        <w:t>The proposal is within the funder's page limit, and the attachments are exactly the ones requested, in the order requested.</w:t>
      </w:r>
    </w:p>
    <w:p>
      <w:pPr>
        <w:pStyle w:val="Heading1"/>
      </w:pPr>
      <w:r>
        <w:t>Sources Cited in This Document</w:t>
      </w:r>
    </w:p>
    <w:p>
      <w:r>
        <w:rPr>
          <w:b w:val="0"/>
        </w:rPr>
        <w:t>The example organization, county and figures are invented. The rules and data sources referred to are real, and these are the ones to check against your own jurisdiction. All accessed September 2026.</w:t>
      </w:r>
    </w:p>
    <w:p>
      <w:pPr>
        <w:pStyle w:val="ListBullet"/>
      </w:pPr>
      <w:r>
        <w:t>Point-in-time count requirement: 24 CFR 578.7(c)(2), Continuum of Care Program, Electronic Code of Federal Regulations, ecfr.gov/current/title-24/part-578/section-578.7</w:t>
      </w:r>
    </w:p>
    <w:p>
      <w:pPr>
        <w:pStyle w:val="ListBullet"/>
      </w:pPr>
      <w:r>
        <w:t>Sheltered and unsheltered count practice: HUD Exchange, Point-in-Time Count and Housing Inventory Count, hudexchange.info/programs/hdx/pit-hic/</w:t>
      </w:r>
    </w:p>
    <w:p>
      <w:pPr>
        <w:pStyle w:val="ListBullet"/>
      </w:pPr>
      <w:r>
        <w:t>Emergency Solutions Grants housing relocation and stabilization services, including deposits and utility arrears limits: 24 CFR 576.105, ecfr.gov/current/title-24/part-576/section-576.105</w:t>
      </w:r>
    </w:p>
    <w:p>
      <w:pPr>
        <w:pStyle w:val="ListBullet"/>
      </w:pPr>
      <w:r>
        <w:t>Emergency Solutions Grants short-term and medium-term rental assistance, including the 24-month limit in any three-year period and the one-time six-month arrears payment: 24 CFR 576.106, ecfr.gov/current/title-24/part-576/section-576.106</w:t>
      </w:r>
    </w:p>
    <w:p>
      <w:pPr>
        <w:pStyle w:val="ListBullet"/>
      </w:pPr>
      <w:r>
        <w:t>Fair Market Rents by state, county and metropolitan area: HUD User, huduser.gov/portal/datasets/fmr.html</w:t>
      </w:r>
    </w:p>
    <w:p>
      <w:pPr>
        <w:pStyle w:val="ListBullet"/>
      </w:pPr>
      <w:r>
        <w:t>Rent burden data, table B25070, gross rent as a percentage of household income in the past 12 months: U.S. Census Bureau, American Community Survey, census.gov/programs-surveys/acs</w:t>
      </w:r>
    </w:p>
    <w:p>
      <w:pPr>
        <w:pStyle w:val="ListBullet"/>
      </w:pPr>
      <w:r>
        <w:t>Returns to homelessness definition and the 6, 12 and 24 month intervals: HUD Exchange, System Performance Measures HMIS Programming Specifications, files.hudexchange.info/resources/documents/System-Performance-Measures-HMIS-Programming-Specifications.pdf</w:t>
      </w:r>
    </w:p>
    <w:p>
      <w:pPr>
        <w:pStyle w:val="ListBullet"/>
      </w:pPr>
      <w:r>
        <w:t>Continuum of Care Program and Emergency Solutions Grants program pages: HUD Exchange, hudexchange.info/programs/coc/ and hudexchange.info/programs/esg/</w:t>
      </w:r>
    </w:p>
    <w:p>
      <w:pPr>
        <w:pStyle w:val="Heading2"/>
      </w:pPr>
      <w:r>
        <w:t>Find housing funders worth applying to</w:t>
      </w:r>
    </w:p>
    <w:p>
      <w:r>
        <w:rPr>
          <w:b w:val="0"/>
        </w:rPr>
        <w:t>Housing money is distributed locally and published on unrelated calendars: a federal notice of funding opportunity, a state housing finance agency cycle, a county allocation, a Federal Home Loan Bank round and several foundation deadlines can all be open at once. GrantCue searches federal and state grant portals in one place, tracks the deadlines it finds, and holds IRS Form 990-PF foundation data so you can check whether a funder has made housing grants before you write to them. Start at grantcue.com.</w:t>
      </w:r>
    </w:p>
    <w:p>
      <w:r>
        <w:rPr>
          <w:b w:val="0"/>
        </w:rPr>
        <w:t>GrantCue - grantcue.com/blog/sample-grant-proposal-housing-nonprofit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Pr>
        <w:rFonts w:ascii="Calibri" w:hAnsi="Calibri"/>
        <w:color w:val="666666"/>
        <w:sz w:val="17"/>
      </w:rPr>
      <w:t>GrantCue - grantcue.com/blog/sample-grant-proposal-housing-nonprofit</w:t>
      <w:tab/>
    </w:r>
    <w:r>
      <w:rPr>
        <w:rFonts w:ascii="Calibri" w:hAnsi="Calibri"/>
        <w:color w:val="666666"/>
        <w:sz w:val="17"/>
      </w:rPr>
      <w:fldChar w:fldCharType="begin"/>
      <w:instrText xml:space="preserve"> PAGE </w:instrText>
      <w:fldChar w:fldCharType="separate"/>
    </w:r>
    <w:r>
      <w:rPr>
        <w:rFonts w:ascii="Calibri" w:hAnsi="Calibri"/>
        <w:color w:val="666666"/>
        <w:sz w:val="17"/>
      </w:rPr>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1F3364"/>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2E4B8B"/>
      <w:sz w:val="28"/>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b/>
      <w:bCs/>
      <w:color w:val="2E4B8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336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val="0"/>
      <w:iCs/>
      <w:color w:val="5B5B5B"/>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daptationNote">
    <w:name w:val="Adaptation Note"/>
    <w:basedOn w:val="Normal"/>
    <w:pPr>
      <w:spacing w:after="200"/>
      <w:ind w:left="0"/>
    </w:pPr>
    <w:rPr>
      <w:i/>
      <w:color w:val="5B5B5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Grant Proposal: Rapid Re-Housing for a Housing Nonprofit</dc:title>
  <dc:subject/>
  <dc:creator>GrantCue</dc:creator>
  <cp:keywords/>
  <dc:description>GrantCue - grantcue.com/blog/sample-grant-proposal-housing-nonprofit</dc:description>
  <cp:lastModifiedBy/>
  <cp:revision>1</cp:revision>
  <dcterms:created xsi:type="dcterms:W3CDTF">2013-12-23T23:15:00Z</dcterms:created>
  <dcterms:modified xsi:type="dcterms:W3CDTF">2013-12-23T23:15:00Z</dcterms:modified>
  <cp:category>Grant Writing</cp:category>
</cp:coreProperties>
</file>