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Grant Proposal: Community Health Clinic</w:t>
      </w:r>
    </w:p>
    <w:p>
      <w:pPr>
        <w:pStyle w:val="Subtitle"/>
      </w:pPr>
      <w:r>
        <w:t>A complete, adaptable proposal for an integrated behavioral health program at a two-site rural community health center</w:t>
      </w:r>
    </w:p>
    <w:p>
      <w:pPr>
        <w:spacing w:after="40"/>
      </w:pPr>
      <w:r>
        <w:rPr>
          <w:b/>
          <w:i w:val="0"/>
        </w:rPr>
        <w:t xml:space="preserve">Request: </w:t>
      </w:r>
      <w:r>
        <w:rPr>
          <w:b w:val="0"/>
          <w:i w:val="0"/>
        </w:rPr>
        <w:t>$190,865 for a twelve-month project period</w:t>
      </w:r>
    </w:p>
    <w:p>
      <w:pPr>
        <w:spacing w:after="40"/>
      </w:pPr>
      <w:r>
        <w:rPr>
          <w:b/>
          <w:i w:val="0"/>
        </w:rPr>
        <w:t xml:space="preserve">Program: </w:t>
      </w:r>
      <w:r>
        <w:rPr>
          <w:b w:val="0"/>
          <w:i w:val="0"/>
        </w:rPr>
        <w:t>Universal behavioral health screening, same-day warm handoff, and brief intervention</w:t>
      </w:r>
    </w:p>
    <w:p>
      <w:pPr>
        <w:spacing w:after="40"/>
      </w:pPr>
      <w:r>
        <w:rPr>
          <w:b/>
          <w:i w:val="0"/>
        </w:rPr>
        <w:t xml:space="preserve">Applicant: </w:t>
      </w:r>
      <w:r>
        <w:rPr>
          <w:b w:val="0"/>
          <w:i w:val="0"/>
        </w:rPr>
        <w:t>Example Community Health Center, a composite organization created for this template</w:t>
      </w:r>
    </w:p>
    <w:p>
      <w:pPr>
        <w:spacing w:after="280"/>
      </w:pPr>
      <w:r>
        <w:rPr>
          <w:b/>
          <w:i w:val="0"/>
        </w:rPr>
        <w:t xml:space="preserve">Document version: </w:t>
      </w:r>
      <w:r>
        <w:rPr>
          <w:b w:val="0"/>
          <w:i w:val="0"/>
        </w:rPr>
        <w:t>September 2026</w:t>
      </w:r>
    </w:p>
    <w:p>
      <w:pPr>
        <w:pStyle w:val="IntenseQuote"/>
      </w:pPr>
      <w:r>
        <w:rPr>
          <w:b/>
        </w:rPr>
        <w:t xml:space="preserve">Read this first. </w:t>
      </w:r>
      <w:r>
        <w:t>Example Community Health Center is not a real clinic. It is a composite applicant built for this template, and every figure attributed to it, including patient counts, wait times, salaries, and payer mix, is illustrative. Replace each number with your own before you submit. The regulatory citations, the reporting deadline, and the measure specifications are real and are sourced at the end of this document.</w:t>
      </w:r>
    </w:p>
    <w:p>
      <w:r>
        <w:rPr>
          <w:b w:val="0"/>
          <w:i w:val="0"/>
        </w:rPr>
        <w:t>This document is drafted at submission length. Every section is drafted in full so you can adapt it line by line rather than reconstruct it from an outline. The only bracketed fields left in the text are the details no template can know: the funder, the dates, your address, and the people who sign. Those are listed in the table below.</w:t>
      </w:r>
    </w:p>
    <w:p>
      <w:r>
        <w:br w:type="page"/>
      </w:r>
    </w:p>
    <w:p>
      <w:pPr>
        <w:pStyle w:val="Heading1"/>
      </w:pPr>
      <w:r>
        <w:t>How to Use This Document</w:t>
      </w:r>
    </w:p>
    <w:p>
      <w:r>
        <w:rPr>
          <w:b w:val="0"/>
          <w:i w:val="0"/>
        </w:rPr>
        <w:t>This proposal follows the section order most health funders ask for, and it is built around one clinical service rather than a general program. The arithmetic connecting patient volume, staffing, and budget is shown on the page, because that arithmetic is what a health reviewer checks first.</w:t>
      </w:r>
    </w:p>
    <w:p>
      <w:pPr>
        <w:pStyle w:val="Heading2"/>
      </w:pPr>
      <w:r>
        <w:t>Fields to replace</w:t>
      </w:r>
    </w:p>
    <w:tbl>
      <w:tblPr>
        <w:tblStyle w:val="LightGrid-Accent1"/>
        <w:tblW w:type="auto" w:w="0"/>
        <w:jc w:val="center"/>
        <w:tblLayout w:type="autofit"/>
        <w:tblLook w:firstColumn="1" w:firstRow="1" w:lastColumn="0" w:lastRow="0" w:noHBand="0" w:noVBand="1" w:val="04A0"/>
      </w:tblPr>
      <w:tblGrid>
        <w:gridCol w:w="3120"/>
        <w:gridCol w:w="3120"/>
        <w:gridCol w:w="3120"/>
      </w:tblGrid>
      <w:tr>
        <w:trPr>
          <w:tblHeader w:val="true"/>
        </w:trPr>
        <w:tc>
          <w:tcPr>
            <w:tcW w:type="dxa" w:w="3456"/>
          </w:tcPr>
          <w:p>
            <w:pPr>
              <w:spacing w:after="40" w:before="40"/>
            </w:pPr>
            <w:r/>
            <w:r>
              <w:rPr>
                <w:b/>
                <w:sz w:val="19"/>
              </w:rPr>
              <w:t>Placeholder in this document</w:t>
            </w:r>
          </w:p>
        </w:tc>
        <w:tc>
          <w:tcPr>
            <w:tcW w:type="dxa" w:w="3024"/>
          </w:tcPr>
          <w:p>
            <w:pPr>
              <w:spacing w:after="40" w:before="40"/>
            </w:pPr>
            <w:r/>
            <w:r>
              <w:rPr>
                <w:b/>
                <w:sz w:val="19"/>
              </w:rPr>
              <w:t>Replace with</w:t>
            </w:r>
          </w:p>
        </w:tc>
        <w:tc>
          <w:tcPr>
            <w:tcW w:type="dxa" w:w="2592"/>
          </w:tcPr>
          <w:p>
            <w:pPr>
              <w:spacing w:after="40" w:before="40"/>
            </w:pPr>
            <w:r/>
            <w:r>
              <w:rPr>
                <w:b/>
                <w:sz w:val="19"/>
              </w:rPr>
              <w:t>Where it appears</w:t>
            </w:r>
          </w:p>
        </w:tc>
      </w:tr>
      <w:tr>
        <w:tc>
          <w:tcPr>
            <w:tcW w:type="dxa" w:w="3456"/>
          </w:tcPr>
          <w:p>
            <w:pPr>
              <w:spacing w:after="40" w:before="40"/>
            </w:pPr>
            <w:r/>
            <w:r>
              <w:rPr>
                <w:sz w:val="19"/>
              </w:rPr>
              <w:t>Example Community Health Center (ECHC)</w:t>
            </w:r>
          </w:p>
        </w:tc>
        <w:tc>
          <w:tcPr>
            <w:tcW w:type="dxa" w:w="3024"/>
          </w:tcPr>
          <w:p>
            <w:pPr>
              <w:spacing w:after="40" w:before="40"/>
            </w:pPr>
            <w:r/>
            <w:r>
              <w:rPr>
                <w:sz w:val="19"/>
              </w:rPr>
              <w:t>Your organization's legal name, then a short form</w:t>
            </w:r>
          </w:p>
        </w:tc>
        <w:tc>
          <w:tcPr>
            <w:tcW w:type="dxa" w:w="2592"/>
          </w:tcPr>
          <w:p>
            <w:pPr>
              <w:spacing w:after="40" w:before="40"/>
            </w:pPr>
            <w:r/>
            <w:r>
              <w:rPr>
                <w:sz w:val="19"/>
              </w:rPr>
              <w:t>Throughout</w:t>
            </w:r>
          </w:p>
        </w:tc>
      </w:tr>
      <w:tr>
        <w:tc>
          <w:tcPr>
            <w:tcW w:type="dxa" w:w="3456"/>
          </w:tcPr>
          <w:p>
            <w:pPr>
              <w:spacing w:after="40" w:before="40"/>
            </w:pPr>
            <w:r/>
            <w:r>
              <w:rPr>
                <w:sz w:val="19"/>
              </w:rPr>
              <w:t>Meadow County</w:t>
            </w:r>
          </w:p>
        </w:tc>
        <w:tc>
          <w:tcPr>
            <w:tcW w:type="dxa" w:w="3024"/>
          </w:tcPr>
          <w:p>
            <w:pPr>
              <w:spacing w:after="40" w:before="40"/>
            </w:pPr>
            <w:r/>
            <w:r>
              <w:rPr>
                <w:sz w:val="19"/>
              </w:rPr>
              <w:t>Your county, parish, or borough</w:t>
            </w:r>
          </w:p>
        </w:tc>
        <w:tc>
          <w:tcPr>
            <w:tcW w:type="dxa" w:w="2592"/>
          </w:tcPr>
          <w:p>
            <w:pPr>
              <w:spacing w:after="40" w:before="40"/>
            </w:pPr>
            <w:r/>
            <w:r>
              <w:rPr>
                <w:sz w:val="19"/>
              </w:rPr>
              <w:t>Cover letter, need, capacity</w:t>
            </w:r>
          </w:p>
        </w:tc>
      </w:tr>
      <w:tr>
        <w:tc>
          <w:tcPr>
            <w:tcW w:type="dxa" w:w="3456"/>
          </w:tcPr>
          <w:p>
            <w:pPr>
              <w:spacing w:after="40" w:before="40"/>
            </w:pPr>
            <w:r/>
            <w:r>
              <w:rPr>
                <w:sz w:val="19"/>
              </w:rPr>
              <w:t>[Funder name]</w:t>
            </w:r>
          </w:p>
        </w:tc>
        <w:tc>
          <w:tcPr>
            <w:tcW w:type="dxa" w:w="3024"/>
          </w:tcPr>
          <w:p>
            <w:pPr>
              <w:spacing w:after="40" w:before="40"/>
            </w:pPr>
            <w:r/>
            <w:r>
              <w:rPr>
                <w:sz w:val="19"/>
              </w:rPr>
              <w:t>The funding organization's legal name</w:t>
            </w:r>
          </w:p>
        </w:tc>
        <w:tc>
          <w:tcPr>
            <w:tcW w:type="dxa" w:w="2592"/>
          </w:tcPr>
          <w:p>
            <w:pPr>
              <w:spacing w:after="40" w:before="40"/>
            </w:pPr>
            <w:r/>
            <w:r>
              <w:rPr>
                <w:sz w:val="19"/>
              </w:rPr>
              <w:t>Cover letter, executive summary</w:t>
            </w:r>
          </w:p>
        </w:tc>
      </w:tr>
      <w:tr>
        <w:tc>
          <w:tcPr>
            <w:tcW w:type="dxa" w:w="3456"/>
          </w:tcPr>
          <w:p>
            <w:pPr>
              <w:spacing w:after="40" w:before="40"/>
            </w:pPr>
            <w:r/>
            <w:r>
              <w:rPr>
                <w:sz w:val="19"/>
              </w:rPr>
              <w:t>[Program or fund name]</w:t>
            </w:r>
          </w:p>
        </w:tc>
        <w:tc>
          <w:tcPr>
            <w:tcW w:type="dxa" w:w="3024"/>
          </w:tcPr>
          <w:p>
            <w:pPr>
              <w:spacing w:after="40" w:before="40"/>
            </w:pPr>
            <w:r/>
            <w:r>
              <w:rPr>
                <w:sz w:val="19"/>
              </w:rPr>
              <w:t>The exact opportunity title from the notice or guidelines</w:t>
            </w:r>
          </w:p>
        </w:tc>
        <w:tc>
          <w:tcPr>
            <w:tcW w:type="dxa" w:w="2592"/>
          </w:tcPr>
          <w:p>
            <w:pPr>
              <w:spacing w:after="40" w:before="40"/>
            </w:pPr>
            <w:r/>
            <w:r>
              <w:rPr>
                <w:sz w:val="19"/>
              </w:rPr>
              <w:t>Cover letter, executive summary</w:t>
            </w:r>
          </w:p>
        </w:tc>
      </w:tr>
      <w:tr>
        <w:tc>
          <w:tcPr>
            <w:tcW w:type="dxa" w:w="3456"/>
          </w:tcPr>
          <w:p>
            <w:pPr>
              <w:spacing w:after="40" w:before="40"/>
            </w:pPr>
            <w:r/>
            <w:r>
              <w:rPr>
                <w:sz w:val="19"/>
              </w:rPr>
              <w:t>[Date]</w:t>
            </w:r>
          </w:p>
        </w:tc>
        <w:tc>
          <w:tcPr>
            <w:tcW w:type="dxa" w:w="3024"/>
          </w:tcPr>
          <w:p>
            <w:pPr>
              <w:spacing w:after="40" w:before="40"/>
            </w:pPr>
            <w:r/>
            <w:r>
              <w:rPr>
                <w:sz w:val="19"/>
              </w:rPr>
              <w:t>The submission date</w:t>
            </w:r>
          </w:p>
        </w:tc>
        <w:tc>
          <w:tcPr>
            <w:tcW w:type="dxa" w:w="2592"/>
          </w:tcPr>
          <w:p>
            <w:pPr>
              <w:spacing w:after="40" w:before="40"/>
            </w:pPr>
            <w:r/>
            <w:r>
              <w:rPr>
                <w:sz w:val="19"/>
              </w:rPr>
              <w:t>Cover letter</w:t>
            </w:r>
          </w:p>
        </w:tc>
      </w:tr>
      <w:tr>
        <w:tc>
          <w:tcPr>
            <w:tcW w:type="dxa" w:w="3456"/>
          </w:tcPr>
          <w:p>
            <w:pPr>
              <w:spacing w:after="40" w:before="40"/>
            </w:pPr>
            <w:r/>
            <w:r>
              <w:rPr>
                <w:sz w:val="19"/>
              </w:rPr>
              <w:t>[start date] and [end date]</w:t>
            </w:r>
          </w:p>
        </w:tc>
        <w:tc>
          <w:tcPr>
            <w:tcW w:type="dxa" w:w="3024"/>
          </w:tcPr>
          <w:p>
            <w:pPr>
              <w:spacing w:after="40" w:before="40"/>
            </w:pPr>
            <w:r/>
            <w:r>
              <w:rPr>
                <w:sz w:val="19"/>
              </w:rPr>
              <w:t>Your twelve-month project period</w:t>
            </w:r>
          </w:p>
        </w:tc>
        <w:tc>
          <w:tcPr>
            <w:tcW w:type="dxa" w:w="2592"/>
          </w:tcPr>
          <w:p>
            <w:pPr>
              <w:spacing w:after="40" w:before="40"/>
            </w:pPr>
            <w:r/>
            <w:r>
              <w:rPr>
                <w:sz w:val="19"/>
              </w:rPr>
              <w:t>Cover letter, summary, budget</w:t>
            </w:r>
          </w:p>
        </w:tc>
      </w:tr>
      <w:tr>
        <w:tc>
          <w:tcPr>
            <w:tcW w:type="dxa" w:w="3456"/>
          </w:tcPr>
          <w:p>
            <w:pPr>
              <w:spacing w:after="40" w:before="40"/>
            </w:pPr>
            <w:r/>
            <w:r>
              <w:rPr>
                <w:sz w:val="19"/>
              </w:rPr>
              <w:t>[Street address], [City, State ZIP]</w:t>
            </w:r>
          </w:p>
        </w:tc>
        <w:tc>
          <w:tcPr>
            <w:tcW w:type="dxa" w:w="3024"/>
          </w:tcPr>
          <w:p>
            <w:pPr>
              <w:spacing w:after="40" w:before="40"/>
            </w:pPr>
            <w:r/>
            <w:r>
              <w:rPr>
                <w:sz w:val="19"/>
              </w:rPr>
              <w:t>Your mailing address and the funder's</w:t>
            </w:r>
          </w:p>
        </w:tc>
        <w:tc>
          <w:tcPr>
            <w:tcW w:type="dxa" w:w="2592"/>
          </w:tcPr>
          <w:p>
            <w:pPr>
              <w:spacing w:after="40" w:before="40"/>
            </w:pPr>
            <w:r/>
            <w:r>
              <w:rPr>
                <w:sz w:val="19"/>
              </w:rPr>
              <w:t>Cover letter</w:t>
            </w:r>
          </w:p>
        </w:tc>
      </w:tr>
      <w:tr>
        <w:tc>
          <w:tcPr>
            <w:tcW w:type="dxa" w:w="3456"/>
          </w:tcPr>
          <w:p>
            <w:pPr>
              <w:spacing w:after="40" w:before="40"/>
            </w:pPr>
            <w:r/>
            <w:r>
              <w:rPr>
                <w:sz w:val="19"/>
              </w:rPr>
              <w:t>[Name], Board Chair and [Name], Chief Executive Officer</w:t>
            </w:r>
          </w:p>
        </w:tc>
        <w:tc>
          <w:tcPr>
            <w:tcW w:type="dxa" w:w="3024"/>
          </w:tcPr>
          <w:p>
            <w:pPr>
              <w:spacing w:after="40" w:before="40"/>
            </w:pPr>
            <w:r/>
            <w:r>
              <w:rPr>
                <w:sz w:val="19"/>
              </w:rPr>
              <w:t>The two signatories your bylaws require</w:t>
            </w:r>
          </w:p>
        </w:tc>
        <w:tc>
          <w:tcPr>
            <w:tcW w:type="dxa" w:w="2592"/>
          </w:tcPr>
          <w:p>
            <w:pPr>
              <w:spacing w:after="40" w:before="40"/>
            </w:pPr>
            <w:r/>
            <w:r>
              <w:rPr>
                <w:sz w:val="19"/>
              </w:rPr>
              <w:t>Cover letter signature block</w:t>
            </w:r>
          </w:p>
        </w:tc>
      </w:tr>
      <w:tr>
        <w:tc>
          <w:tcPr>
            <w:tcW w:type="dxa" w:w="3456"/>
          </w:tcPr>
          <w:p>
            <w:pPr>
              <w:spacing w:after="40" w:before="40"/>
            </w:pPr>
            <w:r/>
            <w:r>
              <w:rPr>
                <w:sz w:val="19"/>
              </w:rPr>
              <w:t>[Contact name], [title], [phone], [email]</w:t>
            </w:r>
          </w:p>
        </w:tc>
        <w:tc>
          <w:tcPr>
            <w:tcW w:type="dxa" w:w="3024"/>
          </w:tcPr>
          <w:p>
            <w:pPr>
              <w:spacing w:after="40" w:before="40"/>
            </w:pPr>
            <w:r/>
            <w:r>
              <w:rPr>
                <w:sz w:val="19"/>
              </w:rPr>
              <w:t>Your grant contact</w:t>
            </w:r>
          </w:p>
        </w:tc>
        <w:tc>
          <w:tcPr>
            <w:tcW w:type="dxa" w:w="2592"/>
          </w:tcPr>
          <w:p>
            <w:pPr>
              <w:spacing w:after="40" w:before="40"/>
            </w:pPr>
            <w:r/>
            <w:r>
              <w:rPr>
                <w:sz w:val="19"/>
              </w:rPr>
              <w:t>Cover letter, summary</w:t>
            </w:r>
          </w:p>
        </w:tc>
      </w:tr>
    </w:tbl>
    <w:p>
      <w:pPr>
        <w:spacing w:after="0"/>
      </w:pPr>
    </w:p>
    <w:p>
      <w:pPr>
        <w:pStyle w:val="Heading2"/>
      </w:pPr>
      <w:r>
        <w:t>What to keep and what to rebuild</w:t>
      </w:r>
    </w:p>
    <w:p>
      <w:r>
        <w:rPr>
          <w:b w:val="0"/>
          <w:i w:val="0"/>
        </w:rPr>
        <w:t>Keep the structure, the four-field outcome format, the budget basis column, and the sustainability step-down. Those are the parts reviewers score. Rebuild every number from your own systems. In practice that means five data pulls before you start writing: a patient count by ZIP code from your electronic health record, a payer mix report from your practice management system, your current screening or referral completion rate, a salary benchmark for the position you are funding, and your indirect cost rate with its base.</w:t>
      </w:r>
    </w:p>
    <w:p>
      <w:r>
        <w:rPr>
          <w:b w:val="0"/>
          <w:i w:val="0"/>
        </w:rPr>
        <w:t>The composite clinic in this document is a private nonprofit primary care clinic that is not a Health Center Program awardee. If your organization does hold a Section 330 award or look-alike designation, your capacity and compliance sections will be longer, and your outcome measures will already exist in your Uniform Data System report.</w:t>
      </w:r>
    </w:p>
    <w:p>
      <w:r>
        <w:br w:type="page"/>
      </w:r>
    </w:p>
    <w:p>
      <w:pPr>
        <w:pStyle w:val="Heading1"/>
      </w:pPr>
      <w:r>
        <w:t>Cover Letter</w:t>
      </w:r>
    </w:p>
    <w:p>
      <w:pPr>
        <w:spacing w:after="200"/>
      </w:pPr>
      <w:r>
        <w:rPr>
          <w:b w:val="0"/>
          <w:i w:val="0"/>
        </w:rPr>
        <w:t>[Date]</w:t>
      </w:r>
    </w:p>
    <w:p>
      <w:pPr>
        <w:spacing w:after="0"/>
      </w:pPr>
      <w:r>
        <w:rPr>
          <w:b w:val="0"/>
          <w:i w:val="0"/>
        </w:rPr>
        <w:t>[Contact name], [title]</w:t>
      </w:r>
    </w:p>
    <w:p>
      <w:pPr>
        <w:spacing w:after="0"/>
      </w:pPr>
      <w:r>
        <w:rPr>
          <w:b w:val="0"/>
          <w:i w:val="0"/>
        </w:rPr>
        <w:t>[Funder name]</w:t>
      </w:r>
    </w:p>
    <w:p>
      <w:pPr>
        <w:spacing w:after="0"/>
      </w:pPr>
      <w:r>
        <w:rPr>
          <w:b w:val="0"/>
          <w:i w:val="0"/>
        </w:rPr>
        <w:t>[Street address]</w:t>
      </w:r>
    </w:p>
    <w:p>
      <w:pPr>
        <w:spacing w:after="200"/>
      </w:pPr>
      <w:r>
        <w:rPr>
          <w:b w:val="0"/>
          <w:i w:val="0"/>
        </w:rPr>
        <w:t>[City, State ZIP]</w:t>
      </w:r>
    </w:p>
    <w:p>
      <w:pPr>
        <w:spacing w:after="200"/>
      </w:pPr>
      <w:r>
        <w:rPr>
          <w:b/>
          <w:i w:val="0"/>
        </w:rPr>
        <w:t xml:space="preserve">Re: </w:t>
      </w:r>
      <w:r>
        <w:rPr>
          <w:b w:val="0"/>
          <w:i w:val="0"/>
        </w:rPr>
        <w:t>Request for $190,865 to launch integrated behavioral health services, [Program or fund name]</w:t>
      </w:r>
    </w:p>
    <w:p>
      <w:r>
        <w:rPr>
          <w:b w:val="0"/>
          <w:i w:val="0"/>
        </w:rPr>
        <w:t>Dear [Contact name]:</w:t>
      </w:r>
    </w:p>
    <w:p>
      <w:r>
        <w:rPr>
          <w:b w:val="0"/>
          <w:i w:val="0"/>
        </w:rPr>
        <w:t>On behalf of the Board of Directors of Example Community Health Center, I am requesting $190,865 over twelve months, from [start date] to [end date], to bring behavioral health care into our two primary care sites in Meadow County.</w:t>
      </w:r>
    </w:p>
    <w:p>
      <w:r>
        <w:rPr>
          <w:b w:val="0"/>
          <w:i w:val="0"/>
        </w:rPr>
        <w:t>The gap we are closing is documented in our own records. Last year our care teams screened 412 adults for depression at annual wellness visits. Ninety-six screened positive. Thirty-one had a documented follow-up plan within 30 days. The remaining 65 patients left the building with a positive screen and nothing attached to it. The nearest licensed mental health clinician accepting new patients practices 38 miles from our main site, and the average wait for a new patient appointment there is 47 days.</w:t>
      </w:r>
    </w:p>
    <w:p>
      <w:r>
        <w:rPr>
          <w:b w:val="0"/>
          <w:i w:val="0"/>
        </w:rPr>
        <w:t>This grant funds one licensed clinical social worker at 1.0 FTE, three days a week at our main site and two at our satellite, supported by a part-time community health worker and existing medical assistant time. The clinician receives patients by same-day warm handoff from the primary care team and provides up to six brief-intervention sessions. In the first year we project 5,100 completed screens, 337 patients accepting a handoff, and approximately 1,180 behavioral health encounters, at $83 per encounter in clinician salary and fringe.</w:t>
      </w:r>
    </w:p>
    <w:p>
      <w:r>
        <w:rPr>
          <w:b w:val="0"/>
          <w:i w:val="0"/>
        </w:rPr>
        <w:t>We will report progress against a specification that already exists rather than one we invented. Our primary measure is depression screening and follow-up plan as specified for Uniform Data System Table 6B, currently CMS2v14 for the 2025 reporting cycle, pulled quarterly from our electronic health record by our Quality Improvement Coordinator. Our current performance on that composite measure is 14 percent. Our year-one target is 70 percent.</w:t>
      </w:r>
    </w:p>
    <w:p>
      <w:r>
        <w:rPr>
          <w:b w:val="0"/>
          <w:i w:val="0"/>
        </w:rPr>
        <w:t>The program is designed to outlast the grant. Behavioral health encounters become billable once credentialing and payer enrollment finish, which we project at month six. Our plan reduces the grant share of program cost to 60 percent in year two and 25 percent in year three, with billable revenue, hospital community benefit support, and a county health department allocation carrying the balance.</w:t>
      </w:r>
    </w:p>
    <w:p>
      <w:r>
        <w:rPr>
          <w:b w:val="0"/>
          <w:i w:val="0"/>
        </w:rPr>
        <w:t>Our audited financial statements, IRS determination letter, state clinic license, provider roster, sliding fee discount schedule, and service area map are enclosed as attachments. [Contact name], [title], can answer questions at [phone] or [email].</w:t>
      </w:r>
    </w:p>
    <w:p>
      <w:r>
        <w:rPr>
          <w:b w:val="0"/>
          <w:i w:val="0"/>
        </w:rPr>
        <w:t>Thank you for considering this request.</w:t>
      </w:r>
    </w:p>
    <w:p>
      <w:pPr>
        <w:spacing w:after="560"/>
      </w:pPr>
      <w:r>
        <w:rPr>
          <w:b w:val="0"/>
          <w:i w:val="0"/>
        </w:rPr>
        <w:t>Sincerely,</w:t>
      </w:r>
    </w:p>
    <w:p>
      <w:pPr>
        <w:spacing w:after="0"/>
      </w:pPr>
      <w:r>
        <w:rPr>
          <w:b w:val="0"/>
          <w:i w:val="0"/>
        </w:rPr>
        <w:t>[Name], Board Chair</w:t>
      </w:r>
    </w:p>
    <w:p>
      <w:pPr>
        <w:spacing w:after="400"/>
      </w:pPr>
      <w:r>
        <w:rPr>
          <w:b w:val="0"/>
          <w:i w:val="0"/>
        </w:rPr>
        <w:t>Example Community Health Center</w:t>
      </w:r>
    </w:p>
    <w:p>
      <w:pPr>
        <w:spacing w:after="0"/>
      </w:pPr>
      <w:r>
        <w:rPr>
          <w:b w:val="0"/>
          <w:i w:val="0"/>
        </w:rPr>
        <w:t>[Name], Chief Executive Officer</w:t>
      </w:r>
    </w:p>
    <w:p>
      <w:r>
        <w:rPr>
          <w:b w:val="0"/>
          <w:i w:val="0"/>
        </w:rPr>
        <w:t>Example Community Health Center</w:t>
      </w:r>
    </w:p>
    <w:p>
      <w:r>
        <w:br w:type="page"/>
      </w:r>
    </w:p>
    <w:p>
      <w:pPr>
        <w:pStyle w:val="Heading1"/>
      </w:pPr>
      <w:r>
        <w:t>Executive Summary</w:t>
      </w:r>
    </w:p>
    <w:p>
      <w:r>
        <w:rPr>
          <w:b w:val="0"/>
          <w:i w:val="0"/>
        </w:rPr>
        <w:t>Example Community Health Center (ECHC) requests $190,865 from [Funder name] over twelve months to establish an integrated behavioral health program at its two primary care sites in Meadow County.</w:t>
      </w:r>
    </w:p>
    <w:p>
      <w:pPr>
        <w:pStyle w:val="Heading2"/>
      </w:pPr>
      <w:r>
        <w:t>The problem</w:t>
      </w:r>
    </w:p>
    <w:p>
      <w:r>
        <w:rPr>
          <w:b w:val="0"/>
          <w:i w:val="0"/>
        </w:rPr>
        <w:t>ECHC serves 3,300 unique patients a year across five rural ZIP codes. Twenty-six percent of those patients are uninsured or self-pay. There is no licensed mental health clinician practicing inside the service area who accepts new patients. Of 118 outbound behavioral health referrals ECHC made last year, 26 resulted in a documented completed visit, a referral completion rate of 22 percent. Screening adults for depression without a clinician to receive them produces a diagnosis and no treatment.</w:t>
      </w:r>
    </w:p>
    <w:p>
      <w:pPr>
        <w:pStyle w:val="Heading2"/>
      </w:pPr>
      <w:r>
        <w:t>The service</w:t>
      </w:r>
    </w:p>
    <w:p>
      <w:r>
        <w:rPr>
          <w:b w:val="0"/>
          <w:i w:val="0"/>
        </w:rPr>
        <w:t>ECHC will screen every adult primary care patient for depression and anxiety at the point of care, using PHQ-2 with PHQ-9 escalation and GAD-7, administered by medical assistants inside the visit workflow. Patients who screen positive are offered a same-day warm handoff to a licensed clinical social worker in the same building, followed by up to six brief-intervention sessions. Patients who need a level of care beyond brief intervention are referred out with the community health worker tracking the referral to completion.</w:t>
      </w:r>
    </w:p>
    <w:p>
      <w:pPr>
        <w:pStyle w:val="Heading2"/>
      </w:pPr>
      <w:r>
        <w:t>The numbers</w:t>
      </w:r>
    </w:p>
    <w:tbl>
      <w:tblPr>
        <w:tblStyle w:val="LightGrid-Accent1"/>
        <w:tblW w:type="auto" w:w="0"/>
        <w:jc w:val="center"/>
        <w:tblLayout w:type="autofit"/>
        <w:tblLook w:firstColumn="1" w:firstRow="1" w:lastColumn="0" w:lastRow="0" w:noHBand="0" w:noVBand="1" w:val="04A0"/>
      </w:tblPr>
      <w:tblGrid>
        <w:gridCol w:w="4680"/>
        <w:gridCol w:w="4680"/>
      </w:tblGrid>
      <w:tr>
        <w:trPr>
          <w:tblHeader w:val="true"/>
        </w:trPr>
        <w:tc>
          <w:tcPr>
            <w:tcW w:type="dxa" w:w="5760"/>
          </w:tcPr>
          <w:p>
            <w:pPr>
              <w:spacing w:after="40" w:before="40"/>
            </w:pPr>
            <w:r/>
            <w:r>
              <w:rPr>
                <w:b/>
                <w:sz w:val="19"/>
              </w:rPr>
              <w:t>What the grant buys</w:t>
            </w:r>
          </w:p>
        </w:tc>
        <w:tc>
          <w:tcPr>
            <w:tcW w:type="dxa" w:w="3312"/>
          </w:tcPr>
          <w:p>
            <w:pPr>
              <w:spacing w:after="40" w:before="40"/>
            </w:pPr>
            <w:r/>
            <w:r>
              <w:rPr>
                <w:b/>
                <w:sz w:val="19"/>
              </w:rPr>
              <w:t>Year 1 projection</w:t>
            </w:r>
          </w:p>
        </w:tc>
      </w:tr>
      <w:tr>
        <w:tc>
          <w:tcPr>
            <w:tcW w:type="dxa" w:w="5760"/>
          </w:tcPr>
          <w:p>
            <w:pPr>
              <w:spacing w:after="40" w:before="40"/>
            </w:pPr>
            <w:r/>
            <w:r>
              <w:rPr>
                <w:sz w:val="19"/>
              </w:rPr>
              <w:t>Adult primary care visits in scope</w:t>
            </w:r>
          </w:p>
        </w:tc>
        <w:tc>
          <w:tcPr>
            <w:tcW w:type="dxa" w:w="3312"/>
          </w:tcPr>
          <w:p>
            <w:pPr>
              <w:spacing w:after="40" w:before="40"/>
            </w:pPr>
            <w:r/>
            <w:r>
              <w:rPr>
                <w:sz w:val="19"/>
              </w:rPr>
              <w:t>6,000</w:t>
            </w:r>
          </w:p>
        </w:tc>
      </w:tr>
      <w:tr>
        <w:tc>
          <w:tcPr>
            <w:tcW w:type="dxa" w:w="5760"/>
          </w:tcPr>
          <w:p>
            <w:pPr>
              <w:spacing w:after="40" w:before="40"/>
            </w:pPr>
            <w:r/>
            <w:r>
              <w:rPr>
                <w:sz w:val="19"/>
              </w:rPr>
              <w:t>Completed screens at an 85 percent screening rate</w:t>
            </w:r>
          </w:p>
        </w:tc>
        <w:tc>
          <w:tcPr>
            <w:tcW w:type="dxa" w:w="3312"/>
          </w:tcPr>
          <w:p>
            <w:pPr>
              <w:spacing w:after="40" w:before="40"/>
            </w:pPr>
            <w:r/>
            <w:r>
              <w:rPr>
                <w:sz w:val="19"/>
              </w:rPr>
              <w:t>5,100</w:t>
            </w:r>
          </w:p>
        </w:tc>
      </w:tr>
      <w:tr>
        <w:tc>
          <w:tcPr>
            <w:tcW w:type="dxa" w:w="5760"/>
          </w:tcPr>
          <w:p>
            <w:pPr>
              <w:spacing w:after="40" w:before="40"/>
            </w:pPr>
            <w:r/>
            <w:r>
              <w:rPr>
                <w:sz w:val="19"/>
              </w:rPr>
              <w:t>Positive screens at a 12 percent positive rate</w:t>
            </w:r>
          </w:p>
        </w:tc>
        <w:tc>
          <w:tcPr>
            <w:tcW w:type="dxa" w:w="3312"/>
          </w:tcPr>
          <w:p>
            <w:pPr>
              <w:spacing w:after="40" w:before="40"/>
            </w:pPr>
            <w:r/>
            <w:r>
              <w:rPr>
                <w:sz w:val="19"/>
              </w:rPr>
              <w:t>612</w:t>
            </w:r>
          </w:p>
        </w:tc>
      </w:tr>
      <w:tr>
        <w:tc>
          <w:tcPr>
            <w:tcW w:type="dxa" w:w="5760"/>
          </w:tcPr>
          <w:p>
            <w:pPr>
              <w:spacing w:after="40" w:before="40"/>
            </w:pPr>
            <w:r/>
            <w:r>
              <w:rPr>
                <w:sz w:val="19"/>
              </w:rPr>
              <w:t>Patients accepting a same-day warm handoff (55 percent)</w:t>
            </w:r>
          </w:p>
        </w:tc>
        <w:tc>
          <w:tcPr>
            <w:tcW w:type="dxa" w:w="3312"/>
          </w:tcPr>
          <w:p>
            <w:pPr>
              <w:spacing w:after="40" w:before="40"/>
            </w:pPr>
            <w:r/>
            <w:r>
              <w:rPr>
                <w:sz w:val="19"/>
              </w:rPr>
              <w:t>337</w:t>
            </w:r>
          </w:p>
        </w:tc>
      </w:tr>
      <w:tr>
        <w:tc>
          <w:tcPr>
            <w:tcW w:type="dxa" w:w="5760"/>
          </w:tcPr>
          <w:p>
            <w:pPr>
              <w:spacing w:after="40" w:before="40"/>
            </w:pPr>
            <w:r/>
            <w:r>
              <w:rPr>
                <w:sz w:val="19"/>
              </w:rPr>
              <w:t>Behavioral health encounters at 3.5 sessions per patient</w:t>
            </w:r>
          </w:p>
        </w:tc>
        <w:tc>
          <w:tcPr>
            <w:tcW w:type="dxa" w:w="3312"/>
          </w:tcPr>
          <w:p>
            <w:pPr>
              <w:spacing w:after="40" w:before="40"/>
            </w:pPr>
            <w:r/>
            <w:r>
              <w:rPr>
                <w:sz w:val="19"/>
              </w:rPr>
              <w:t>1,180</w:t>
            </w:r>
          </w:p>
        </w:tc>
      </w:tr>
      <w:tr>
        <w:tc>
          <w:tcPr>
            <w:tcW w:type="dxa" w:w="5760"/>
          </w:tcPr>
          <w:p>
            <w:pPr>
              <w:spacing w:after="40" w:before="40"/>
            </w:pPr>
            <w:r/>
            <w:r>
              <w:rPr>
                <w:sz w:val="19"/>
              </w:rPr>
              <w:t>Encounters per clinical day across 220 days</w:t>
            </w:r>
          </w:p>
        </w:tc>
        <w:tc>
          <w:tcPr>
            <w:tcW w:type="dxa" w:w="3312"/>
          </w:tcPr>
          <w:p>
            <w:pPr>
              <w:spacing w:after="40" w:before="40"/>
            </w:pPr>
            <w:r/>
            <w:r>
              <w:rPr>
                <w:sz w:val="19"/>
              </w:rPr>
              <w:t>5 to 6</w:t>
            </w:r>
          </w:p>
        </w:tc>
      </w:tr>
      <w:tr>
        <w:tc>
          <w:tcPr>
            <w:tcW w:type="dxa" w:w="5760"/>
          </w:tcPr>
          <w:p>
            <w:pPr>
              <w:spacing w:after="40" w:before="40"/>
            </w:pPr>
            <w:r/>
            <w:r>
              <w:rPr>
                <w:sz w:val="19"/>
              </w:rPr>
              <w:t>Clinician salary and fringe per encounter</w:t>
            </w:r>
          </w:p>
        </w:tc>
        <w:tc>
          <w:tcPr>
            <w:tcW w:type="dxa" w:w="3312"/>
          </w:tcPr>
          <w:p>
            <w:pPr>
              <w:spacing w:after="40" w:before="40"/>
            </w:pPr>
            <w:r/>
            <w:r>
              <w:rPr>
                <w:sz w:val="19"/>
              </w:rPr>
              <w:t>$83</w:t>
            </w:r>
          </w:p>
        </w:tc>
      </w:tr>
      <w:tr>
        <w:tc>
          <w:tcPr>
            <w:tcW w:type="dxa" w:w="5760"/>
          </w:tcPr>
          <w:p>
            <w:pPr>
              <w:spacing w:after="40" w:before="40"/>
            </w:pPr>
            <w:r/>
            <w:r>
              <w:rPr>
                <w:b/>
                <w:sz w:val="19"/>
              </w:rPr>
              <w:t>Total request</w:t>
            </w:r>
          </w:p>
        </w:tc>
        <w:tc>
          <w:tcPr>
            <w:tcW w:type="dxa" w:w="3312"/>
          </w:tcPr>
          <w:p>
            <w:pPr>
              <w:spacing w:after="40" w:before="40"/>
            </w:pPr>
            <w:r/>
            <w:r>
              <w:rPr>
                <w:b/>
                <w:sz w:val="19"/>
              </w:rPr>
              <w:t>$190,865</w:t>
            </w:r>
          </w:p>
        </w:tc>
      </w:tr>
    </w:tbl>
    <w:p>
      <w:pPr>
        <w:spacing w:before="60"/>
      </w:pPr>
      <w:r>
        <w:rPr>
          <w:i/>
          <w:color w:val="556066"/>
          <w:sz w:val="17"/>
        </w:rPr>
        <w:t>Illustrative figures for a composite clinic. Substitute your own visit volume and salary data.</w:t>
      </w:r>
    </w:p>
    <w:p>
      <w:pPr>
        <w:spacing w:after="0"/>
      </w:pPr>
    </w:p>
    <w:p>
      <w:pPr>
        <w:pStyle w:val="Heading2"/>
      </w:pPr>
      <w:r>
        <w:t>The measure</w:t>
      </w:r>
    </w:p>
    <w:p>
      <w:r>
        <w:rPr>
          <w:b w:val="0"/>
          <w:i w:val="0"/>
        </w:rPr>
        <w:t>Primary outcome: depression screening and follow-up plan, specified for Uniform Data System Table 6B (CMS2v14 in the 2025 reporting cycle). Baseline 14 percent, year-one target 70 percent, source the electronic health record clinical quality measure report, pulled quarterly by the Quality Improvement Coordinator. Secondary outcomes and program process measures appear in the evaluation section.</w:t>
      </w:r>
    </w:p>
    <w:p>
      <w:pPr>
        <w:pStyle w:val="Heading2"/>
      </w:pPr>
      <w:r>
        <w:t>The path after the grant</w:t>
      </w:r>
    </w:p>
    <w:p>
      <w:r>
        <w:rPr>
          <w:b w:val="0"/>
          <w:i w:val="0"/>
        </w:rPr>
        <w:t>Behavioral health encounters become billable at month six, when payer enrollment completes. The grant covers 100 percent of program cost in year one, 60 percent in year two, and 25 percent in year three. Billable revenue, a hospital community benefit contribution, and a county health department allocation replace the difference on a schedule stated in the sustainability section.</w:t>
      </w:r>
    </w:p>
    <w:p>
      <w:r>
        <w:br w:type="page"/>
      </w:r>
    </w:p>
    <w:p>
      <w:pPr>
        <w:pStyle w:val="Heading1"/>
      </w:pPr>
      <w:r>
        <w:t>Statement of Need</w:t>
      </w:r>
    </w:p>
    <w:p>
      <w:r>
        <w:rPr>
          <w:b w:val="0"/>
          <w:i w:val="0"/>
        </w:rPr>
        <w:t>This section argues that specific patients inside a defined service area cannot get a specific service today. It is built from four data layers: the service area, the population inside it, the size of the access gap, and the clinic's own screening data. National prevalence figures appear nowhere in it, because a reviewer cannot act on them.</w:t>
      </w:r>
    </w:p>
    <w:p>
      <w:pPr>
        <w:pStyle w:val="Heading2"/>
      </w:pPr>
      <w:r>
        <w:t>The service area</w:t>
      </w:r>
    </w:p>
    <w:p>
      <w:r>
        <w:rPr>
          <w:b w:val="0"/>
          <w:i w:val="0"/>
        </w:rPr>
        <w:t>ECHC operates two sites in Meadow County, a rural county with a population of approximately 24,600. Eighty-one percent of ECHC's adult patients live in five ZIP codes, and 68 percent live in the three ZIP codes closest to the main site. The count comes from a patient-by-ZIP report run in the electronic health record for the most recent complete calendar year, and the full list with patient counts appears in Attachment H, the service area map.</w:t>
      </w:r>
    </w:p>
    <w:p>
      <w:r>
        <w:rPr>
          <w:b w:val="0"/>
          <w:i w:val="0"/>
        </w:rPr>
        <w:t>Any clinic can produce this report in an afternoon, and it is more persuasive than a county-level statistic because it describes the people who actually walk through the door.</w:t>
      </w:r>
    </w:p>
    <w:p>
      <w:pPr>
        <w:pStyle w:val="Heading2"/>
      </w:pPr>
      <w:r>
        <w:t>Who lives there</w:t>
      </w:r>
    </w:p>
    <w:p>
      <w:r>
        <w:rPr>
          <w:b w:val="0"/>
          <w:i w:val="0"/>
        </w:rPr>
        <w:t>Nineteen percent of Meadow County residents under 65 are uninsured, 14 percent speak a language other than English at home, and 21 percent are 65 or older, according to American Community Survey five-year estimates for the county. ECHC's own payer mix, drawn from the practice management system for the most recent complete fiscal year, is Medicaid 44 percent, Medicare 12 percent, commercial 18 percent, and self-pay or uninsured 26 percent.</w:t>
      </w:r>
    </w:p>
    <w:p>
      <w:r>
        <w:rPr>
          <w:b w:val="0"/>
          <w:i w:val="0"/>
        </w:rPr>
        <w:t>Those two sources answer different questions and reviewers expect both. Census data describes the county. The payer mix describes the patients whose care this grant subsidizes.</w:t>
      </w:r>
    </w:p>
    <w:p>
      <w:pPr>
        <w:pStyle w:val="Heading2"/>
      </w:pPr>
      <w:r>
        <w:t>The size of the access gap</w:t>
      </w:r>
    </w:p>
    <w:p>
      <w:r>
        <w:rPr>
          <w:b w:val="0"/>
          <w:i w:val="0"/>
        </w:rPr>
        <w:t>Four numbers describe the gap, and each is verifiable.</w:t>
      </w:r>
    </w:p>
    <w:p>
      <w:pPr>
        <w:pStyle w:val="ListBullet"/>
      </w:pPr>
      <w:r>
        <w:rPr>
          <w:b/>
        </w:rPr>
        <w:t xml:space="preserve">Distance. </w:t>
      </w:r>
      <w:r>
        <w:t>The nearest licensed mental health clinician accepting new patients practices 38 miles from the main ECHC site, a 52-minute drive. There is no public transit connection.</w:t>
      </w:r>
    </w:p>
    <w:p>
      <w:pPr>
        <w:pStyle w:val="ListBullet"/>
      </w:pPr>
      <w:r>
        <w:rPr>
          <w:b/>
        </w:rPr>
        <w:t xml:space="preserve">Wait time. </w:t>
      </w:r>
      <w:r>
        <w:t>The average wait for a new patient behavioral health appointment at that practice was 47 days when ECHC staff last called to confirm availability, a call the care coordination team logs monthly.</w:t>
      </w:r>
    </w:p>
    <w:p>
      <w:pPr>
        <w:pStyle w:val="ListBullet"/>
      </w:pPr>
      <w:r>
        <w:rPr>
          <w:b/>
        </w:rPr>
        <w:t xml:space="preserve">Referral completion. </w:t>
      </w:r>
      <w:r>
        <w:t>Of 118 outbound behavioral health referrals ECHC placed last year, 26 produced a documented completed visit. That is 22 percent, against a clinic-wide referral completion rate of 61 percent for all specialty types.</w:t>
      </w:r>
    </w:p>
    <w:p>
      <w:pPr>
        <w:pStyle w:val="ListBullet"/>
      </w:pPr>
      <w:r>
        <w:rPr>
          <w:b/>
        </w:rPr>
        <w:t xml:space="preserve">No-show rate. </w:t>
      </w:r>
      <w:r>
        <w:t>The clinic-wide no-show rate is 19 percent, and it is higher for appointments requiring travel outside the county.</w:t>
      </w:r>
    </w:p>
    <w:p>
      <w:r>
        <w:rPr>
          <w:b w:val="0"/>
          <w:i w:val="0"/>
        </w:rPr>
        <w:t>The referral completion figure is the one that carries this section. It shows the problem is not a shortage of identification, it is a shortage of clinicians patients can actually reach.</w:t>
      </w:r>
    </w:p>
    <w:p>
      <w:pPr>
        <w:pStyle w:val="Heading2"/>
      </w:pPr>
      <w:r>
        <w:t>Federal designation</w:t>
      </w:r>
    </w:p>
    <w:p>
      <w:r>
        <w:rPr>
          <w:b w:val="0"/>
          <w:i w:val="0"/>
        </w:rPr>
        <w:t>Meadow County carries a Health Professional Shortage Area designation for mental health and a Medically Underserved Area designation. A designation is not an argument on its own, but it is confirmation a funder can verify without relying on the applicant's description of its own service area. Current designation status for any address can be checked in HRSA's shortage area data portal, and a printout for the ECHC service area is enclosed as Attachment I.</w:t>
      </w:r>
    </w:p>
    <w:p>
      <w:pPr>
        <w:pStyle w:val="IntenseQuote"/>
      </w:pPr>
      <w:r>
        <w:rPr>
          <w:b/>
        </w:rPr>
        <w:t xml:space="preserve">Adaptation note. </w:t>
      </w:r>
      <w:r>
        <w:t>Verify your own designation status before you cite it. Designations are withdrawn and re-scored, and a lapsed designation stated as current is the kind of error that costs credibility across the whole application.</w:t>
      </w:r>
    </w:p>
    <w:p>
      <w:pPr>
        <w:pStyle w:val="Heading2"/>
      </w:pPr>
      <w:r>
        <w:t>What ECHC already knows about its own patients</w:t>
      </w:r>
    </w:p>
    <w:p>
      <w:r>
        <w:rPr>
          <w:b w:val="0"/>
          <w:i w:val="0"/>
        </w:rPr>
        <w:t>One paragraph of a clinic's own screening data does more than a page of secondary research. Last year ECHC screened 412 adults for depression, a practice limited to annual wellness visits because no clinician was available to receive positive results. Of those 412, 96 screened positive. Thirty-one had a documented follow-up plan within 30 days. Sixty-five did not.</w:t>
      </w:r>
    </w:p>
    <w:p>
      <w:r>
        <w:rPr>
          <w:b w:val="0"/>
          <w:i w:val="0"/>
        </w:rPr>
        <w:t>That is a 32 percent follow-up rate on a positive screen, and it is the number this program is designed to move. It also demonstrates something a reviewer needs to believe before funding an evaluation plan: ECHC can already pull the report.</w:t>
      </w:r>
    </w:p>
    <w:p>
      <w:pPr>
        <w:pStyle w:val="Heading2"/>
      </w:pPr>
      <w:r>
        <w:t>What happens without this program</w:t>
      </w:r>
    </w:p>
    <w:p>
      <w:r>
        <w:rPr>
          <w:b w:val="0"/>
          <w:i w:val="0"/>
        </w:rPr>
        <w:t>Without an on-site clinician, ECHC has two options for a patient who screens positive. Refer out, and watch 78 percent of those referrals go uncompleted. Or narrow screening to the wellness visits where the care team has time to manage the result, which is the current practice and which leaves most adult primary care visits unscreened. Neither is a treatment plan. Both are documented in the numbers above.</w:t>
      </w:r>
    </w:p>
    <w:p>
      <w:r>
        <w:br w:type="page"/>
      </w:r>
    </w:p>
    <w:p>
      <w:pPr>
        <w:pStyle w:val="Heading1"/>
      </w:pPr>
      <w:r>
        <w:t>Program Description</w:t>
      </w:r>
    </w:p>
    <w:p>
      <w:r>
        <w:rPr>
          <w:b w:val="0"/>
          <w:i w:val="0"/>
        </w:rPr>
        <w:t>This section names one clinical service, states who delivers it, and describes the visit that produces the outcome. Language about improving community wellbeing is left out on purpose. A reviewer scoring this section is looking for a service they can picture and a caseload they can check.</w:t>
      </w:r>
    </w:p>
    <w:p>
      <w:pPr>
        <w:pStyle w:val="Heading2"/>
      </w:pPr>
      <w:r>
        <w:t>The service</w:t>
      </w:r>
    </w:p>
    <w:p>
      <w:r>
        <w:rPr>
          <w:b w:val="0"/>
          <w:i w:val="0"/>
        </w:rPr>
        <w:t>ECHC will implement universal behavioral health screening with same-day access to a licensed clinician at both sites. The model has three parts.</w:t>
      </w:r>
    </w:p>
    <w:p>
      <w:pPr>
        <w:pStyle w:val="ListNumber"/>
      </w:pPr>
      <w:r>
        <w:rPr>
          <w:b/>
        </w:rPr>
        <w:t xml:space="preserve">Screening. </w:t>
      </w:r>
      <w:r>
        <w:t>Every adult primary care patient is screened at the point of care. A medical assistant administers PHQ-2 and GAD-7 during rooming, with PHQ-9 escalation on a positive PHQ-2, using an electronic health record template that writes discrete, reportable values rather than free text.</w:t>
      </w:r>
    </w:p>
    <w:p>
      <w:pPr>
        <w:pStyle w:val="ListNumber"/>
      </w:pPr>
      <w:r>
        <w:rPr>
          <w:b/>
        </w:rPr>
        <w:t xml:space="preserve">Same-day warm handoff. </w:t>
      </w:r>
      <w:r>
        <w:t>A patient who screens positive is introduced to the licensed clinical social worker during the same visit, in the same building, before leaving. The warm handoff is a brief joint conversation with the primary care provider present, and it is the single design element that moves a positive screen into treatment. Where the clinician is at the other site that day, the handoff happens by secure video from the exam room, and the patient is scheduled in person within seven days.</w:t>
      </w:r>
    </w:p>
    <w:p>
      <w:pPr>
        <w:pStyle w:val="ListNumber"/>
      </w:pPr>
      <w:r>
        <w:rPr>
          <w:b/>
        </w:rPr>
        <w:t xml:space="preserve">Brief intervention. </w:t>
      </w:r>
      <w:r>
        <w:t>Patients accepting the handoff receive up to six sessions of structured brief intervention, using behavioral activation and problem-solving approaches appropriate to a primary care setting. Patients whose acuity or diagnosis needs a higher level of care are referred out, and the community health worker tracks that referral until a completed visit is documented or the patient declines.</w:t>
      </w:r>
    </w:p>
    <w:p>
      <w:pPr>
        <w:pStyle w:val="Heading2"/>
      </w:pPr>
      <w:r>
        <w:t>Staffing</w:t>
      </w:r>
    </w:p>
    <w:tbl>
      <w:tblPr>
        <w:tblStyle w:val="LightGrid-Accent1"/>
        <w:tblW w:type="auto" w:w="0"/>
        <w:jc w:val="center"/>
        <w:tblLayout w:type="autofit"/>
        <w:tblLook w:firstColumn="1" w:firstRow="1" w:lastColumn="0" w:lastRow="0" w:noHBand="0" w:noVBand="1" w:val="04A0"/>
      </w:tblPr>
      <w:tblGrid>
        <w:gridCol w:w="2340"/>
        <w:gridCol w:w="2340"/>
        <w:gridCol w:w="2340"/>
        <w:gridCol w:w="2340"/>
      </w:tblGrid>
      <w:tr>
        <w:trPr>
          <w:tblHeader w:val="true"/>
        </w:trPr>
        <w:tc>
          <w:tcPr>
            <w:tcW w:type="dxa" w:w="2160"/>
          </w:tcPr>
          <w:p>
            <w:pPr>
              <w:spacing w:after="40" w:before="40"/>
            </w:pPr>
            <w:r/>
            <w:r>
              <w:rPr>
                <w:b/>
                <w:sz w:val="19"/>
              </w:rPr>
              <w:t>Position</w:t>
            </w:r>
          </w:p>
        </w:tc>
        <w:tc>
          <w:tcPr>
            <w:tcW w:type="dxa" w:w="720"/>
          </w:tcPr>
          <w:p>
            <w:pPr>
              <w:spacing w:after="40" w:before="40"/>
            </w:pPr>
            <w:r/>
            <w:r>
              <w:rPr>
                <w:b/>
                <w:sz w:val="19"/>
              </w:rPr>
              <w:t>FTE</w:t>
            </w:r>
          </w:p>
        </w:tc>
        <w:tc>
          <w:tcPr>
            <w:tcW w:type="dxa" w:w="4464"/>
          </w:tcPr>
          <w:p>
            <w:pPr>
              <w:spacing w:after="40" w:before="40"/>
            </w:pPr>
            <w:r/>
            <w:r>
              <w:rPr>
                <w:b/>
                <w:sz w:val="19"/>
              </w:rPr>
              <w:t>Role in this program</w:t>
            </w:r>
          </w:p>
        </w:tc>
        <w:tc>
          <w:tcPr>
            <w:tcW w:type="dxa" w:w="1728"/>
          </w:tcPr>
          <w:p>
            <w:pPr>
              <w:spacing w:after="40" w:before="40"/>
            </w:pPr>
            <w:r/>
            <w:r>
              <w:rPr>
                <w:b/>
                <w:sz w:val="19"/>
              </w:rPr>
              <w:t>Funded by</w:t>
            </w:r>
          </w:p>
        </w:tc>
      </w:tr>
      <w:tr>
        <w:tc>
          <w:tcPr>
            <w:tcW w:type="dxa" w:w="2160"/>
          </w:tcPr>
          <w:p>
            <w:pPr>
              <w:spacing w:after="40" w:before="40"/>
            </w:pPr>
            <w:r/>
            <w:r>
              <w:rPr>
                <w:sz w:val="19"/>
              </w:rPr>
              <w:t>Licensed clinical social worker</w:t>
            </w:r>
          </w:p>
        </w:tc>
        <w:tc>
          <w:tcPr>
            <w:tcW w:type="dxa" w:w="720"/>
          </w:tcPr>
          <w:p>
            <w:pPr>
              <w:spacing w:after="40" w:before="40"/>
            </w:pPr>
            <w:r/>
            <w:r>
              <w:rPr>
                <w:sz w:val="19"/>
              </w:rPr>
              <w:t>1.00</w:t>
            </w:r>
          </w:p>
        </w:tc>
        <w:tc>
          <w:tcPr>
            <w:tcW w:type="dxa" w:w="4464"/>
          </w:tcPr>
          <w:p>
            <w:pPr>
              <w:spacing w:after="40" w:before="40"/>
            </w:pPr>
            <w:r/>
            <w:r>
              <w:rPr>
                <w:sz w:val="19"/>
              </w:rPr>
              <w:t>Receives warm handoffs, delivers brief intervention, documents in the shared record. Three days at the main site, two at the satellite.</w:t>
            </w:r>
          </w:p>
        </w:tc>
        <w:tc>
          <w:tcPr>
            <w:tcW w:type="dxa" w:w="1728"/>
          </w:tcPr>
          <w:p>
            <w:pPr>
              <w:spacing w:after="40" w:before="40"/>
            </w:pPr>
            <w:r/>
            <w:r>
              <w:rPr>
                <w:sz w:val="19"/>
              </w:rPr>
              <w:t>This grant</w:t>
            </w:r>
          </w:p>
        </w:tc>
      </w:tr>
      <w:tr>
        <w:tc>
          <w:tcPr>
            <w:tcW w:type="dxa" w:w="2160"/>
          </w:tcPr>
          <w:p>
            <w:pPr>
              <w:spacing w:after="40" w:before="40"/>
            </w:pPr>
            <w:r/>
            <w:r>
              <w:rPr>
                <w:sz w:val="19"/>
              </w:rPr>
              <w:t>Community health worker</w:t>
            </w:r>
          </w:p>
        </w:tc>
        <w:tc>
          <w:tcPr>
            <w:tcW w:type="dxa" w:w="720"/>
          </w:tcPr>
          <w:p>
            <w:pPr>
              <w:spacing w:after="40" w:before="40"/>
            </w:pPr>
            <w:r/>
            <w:r>
              <w:rPr>
                <w:sz w:val="19"/>
              </w:rPr>
              <w:t>0.50</w:t>
            </w:r>
          </w:p>
        </w:tc>
        <w:tc>
          <w:tcPr>
            <w:tcW w:type="dxa" w:w="4464"/>
          </w:tcPr>
          <w:p>
            <w:pPr>
              <w:spacing w:after="40" w:before="40"/>
            </w:pPr>
            <w:r/>
            <w:r>
              <w:rPr>
                <w:sz w:val="19"/>
              </w:rPr>
              <w:t>Reminder calls, transportation coordination, no-show recovery, referral tracking for patients sent to a higher level of care.</w:t>
            </w:r>
          </w:p>
        </w:tc>
        <w:tc>
          <w:tcPr>
            <w:tcW w:type="dxa" w:w="1728"/>
          </w:tcPr>
          <w:p>
            <w:pPr>
              <w:spacing w:after="40" w:before="40"/>
            </w:pPr>
            <w:r/>
            <w:r>
              <w:rPr>
                <w:sz w:val="19"/>
              </w:rPr>
              <w:t>This grant</w:t>
            </w:r>
          </w:p>
        </w:tc>
      </w:tr>
      <w:tr>
        <w:tc>
          <w:tcPr>
            <w:tcW w:type="dxa" w:w="2160"/>
          </w:tcPr>
          <w:p>
            <w:pPr>
              <w:spacing w:after="40" w:before="40"/>
            </w:pPr>
            <w:r/>
            <w:r>
              <w:rPr>
                <w:sz w:val="19"/>
              </w:rPr>
              <w:t>Medical assistant</w:t>
            </w:r>
          </w:p>
        </w:tc>
        <w:tc>
          <w:tcPr>
            <w:tcW w:type="dxa" w:w="720"/>
          </w:tcPr>
          <w:p>
            <w:pPr>
              <w:spacing w:after="40" w:before="40"/>
            </w:pPr>
            <w:r/>
            <w:r>
              <w:rPr>
                <w:sz w:val="19"/>
              </w:rPr>
              <w:t>0.25</w:t>
            </w:r>
          </w:p>
        </w:tc>
        <w:tc>
          <w:tcPr>
            <w:tcW w:type="dxa" w:w="4464"/>
          </w:tcPr>
          <w:p>
            <w:pPr>
              <w:spacing w:after="40" w:before="40"/>
            </w:pPr>
            <w:r/>
            <w:r>
              <w:rPr>
                <w:sz w:val="19"/>
              </w:rPr>
              <w:t>Screening administration and documentation inside the rooming workflow. Existing position, partial time charged to the program.</w:t>
            </w:r>
          </w:p>
        </w:tc>
        <w:tc>
          <w:tcPr>
            <w:tcW w:type="dxa" w:w="1728"/>
          </w:tcPr>
          <w:p>
            <w:pPr>
              <w:spacing w:after="40" w:before="40"/>
            </w:pPr>
            <w:r/>
            <w:r>
              <w:rPr>
                <w:sz w:val="19"/>
              </w:rPr>
              <w:t>This grant</w:t>
            </w:r>
          </w:p>
        </w:tc>
      </w:tr>
      <w:tr>
        <w:tc>
          <w:tcPr>
            <w:tcW w:type="dxa" w:w="2160"/>
          </w:tcPr>
          <w:p>
            <w:pPr>
              <w:spacing w:after="40" w:before="40"/>
            </w:pPr>
            <w:r/>
            <w:r>
              <w:rPr>
                <w:sz w:val="19"/>
              </w:rPr>
              <w:t>Primary care providers</w:t>
            </w:r>
          </w:p>
        </w:tc>
        <w:tc>
          <w:tcPr>
            <w:tcW w:type="dxa" w:w="720"/>
          </w:tcPr>
          <w:p>
            <w:pPr>
              <w:spacing w:after="40" w:before="40"/>
            </w:pPr>
            <w:r/>
            <w:r>
              <w:rPr>
                <w:sz w:val="19"/>
              </w:rPr>
              <w:t>In kind</w:t>
            </w:r>
          </w:p>
        </w:tc>
        <w:tc>
          <w:tcPr>
            <w:tcW w:type="dxa" w:w="4464"/>
          </w:tcPr>
          <w:p>
            <w:pPr>
              <w:spacing w:after="40" w:before="40"/>
            </w:pPr>
            <w:r/>
            <w:r>
              <w:rPr>
                <w:sz w:val="19"/>
              </w:rPr>
              <w:t>Introduce the handoff, prescribe and manage medication, remain the patient's medical home.</w:t>
            </w:r>
          </w:p>
        </w:tc>
        <w:tc>
          <w:tcPr>
            <w:tcW w:type="dxa" w:w="1728"/>
          </w:tcPr>
          <w:p>
            <w:pPr>
              <w:spacing w:after="40" w:before="40"/>
            </w:pPr>
            <w:r/>
            <w:r>
              <w:rPr>
                <w:sz w:val="19"/>
              </w:rPr>
              <w:t>Existing operations</w:t>
            </w:r>
          </w:p>
        </w:tc>
      </w:tr>
      <w:tr>
        <w:tc>
          <w:tcPr>
            <w:tcW w:type="dxa" w:w="2160"/>
          </w:tcPr>
          <w:p>
            <w:pPr>
              <w:spacing w:after="40" w:before="40"/>
            </w:pPr>
            <w:r/>
            <w:r>
              <w:rPr>
                <w:sz w:val="19"/>
              </w:rPr>
              <w:t>Quality improvement coordinator</w:t>
            </w:r>
          </w:p>
        </w:tc>
        <w:tc>
          <w:tcPr>
            <w:tcW w:type="dxa" w:w="720"/>
          </w:tcPr>
          <w:p>
            <w:pPr>
              <w:spacing w:after="40" w:before="40"/>
            </w:pPr>
            <w:r/>
            <w:r>
              <w:rPr>
                <w:sz w:val="19"/>
              </w:rPr>
              <w:t>In kind</w:t>
            </w:r>
          </w:p>
        </w:tc>
        <w:tc>
          <w:tcPr>
            <w:tcW w:type="dxa" w:w="4464"/>
          </w:tcPr>
          <w:p>
            <w:pPr>
              <w:spacing w:after="40" w:before="40"/>
            </w:pPr>
            <w:r/>
            <w:r>
              <w:rPr>
                <w:sz w:val="19"/>
              </w:rPr>
              <w:t>Pulls the quarterly measure reports, chairs the program review, prepares funder reports.</w:t>
            </w:r>
          </w:p>
        </w:tc>
        <w:tc>
          <w:tcPr>
            <w:tcW w:type="dxa" w:w="1728"/>
          </w:tcPr>
          <w:p>
            <w:pPr>
              <w:spacing w:after="40" w:before="40"/>
            </w:pPr>
            <w:r/>
            <w:r>
              <w:rPr>
                <w:sz w:val="19"/>
              </w:rPr>
              <w:t>Existing operations</w:t>
            </w:r>
          </w:p>
        </w:tc>
      </w:tr>
      <w:tr>
        <w:tc>
          <w:tcPr>
            <w:tcW w:type="dxa" w:w="2160"/>
          </w:tcPr>
          <w:p>
            <w:pPr>
              <w:spacing w:after="40" w:before="40"/>
            </w:pPr>
            <w:r/>
            <w:r>
              <w:rPr>
                <w:sz w:val="19"/>
              </w:rPr>
              <w:t>Chief executive officer</w:t>
            </w:r>
          </w:p>
        </w:tc>
        <w:tc>
          <w:tcPr>
            <w:tcW w:type="dxa" w:w="720"/>
          </w:tcPr>
          <w:p>
            <w:pPr>
              <w:spacing w:after="40" w:before="40"/>
            </w:pPr>
            <w:r/>
            <w:r>
              <w:rPr>
                <w:sz w:val="19"/>
              </w:rPr>
              <w:t>In kind</w:t>
            </w:r>
          </w:p>
        </w:tc>
        <w:tc>
          <w:tcPr>
            <w:tcW w:type="dxa" w:w="4464"/>
          </w:tcPr>
          <w:p>
            <w:pPr>
              <w:spacing w:after="40" w:before="40"/>
            </w:pPr>
            <w:r/>
            <w:r>
              <w:rPr>
                <w:sz w:val="19"/>
              </w:rPr>
              <w:t>Program oversight, payer contracting, sustainability negotiations with county and hospital partners.</w:t>
            </w:r>
          </w:p>
        </w:tc>
        <w:tc>
          <w:tcPr>
            <w:tcW w:type="dxa" w:w="1728"/>
          </w:tcPr>
          <w:p>
            <w:pPr>
              <w:spacing w:after="40" w:before="40"/>
            </w:pPr>
            <w:r/>
            <w:r>
              <w:rPr>
                <w:sz w:val="19"/>
              </w:rPr>
              <w:t>Existing operations</w:t>
            </w:r>
          </w:p>
        </w:tc>
      </w:tr>
    </w:tbl>
    <w:p>
      <w:pPr>
        <w:spacing w:after="0"/>
      </w:pPr>
    </w:p>
    <w:p>
      <w:r>
        <w:rPr>
          <w:b w:val="0"/>
          <w:i w:val="0"/>
        </w:rPr>
        <w:t>The clinician must hold an independent clinical license in the state, because an associate-level license requiring supervision changes both the billing picture and the hiring timeline. The job description, including that requirement, is Attachment K.</w:t>
      </w:r>
    </w:p>
    <w:p>
      <w:pPr>
        <w:pStyle w:val="Heading2"/>
      </w:pPr>
      <w:r>
        <w:t>Projected volume, with the arithmetic shown</w:t>
      </w:r>
    </w:p>
    <w:p>
      <w:r>
        <w:rPr>
          <w:b w:val="0"/>
          <w:i w:val="0"/>
        </w:rPr>
        <w:t>A funder will test whether the salary lines can deliver the visit volume the narrative promises. That test is one line of division, so the arithmetic belongs in the proposal rather than in a spreadsheet the reviewer does not have.</w:t>
      </w:r>
    </w:p>
    <w:tbl>
      <w:tblPr>
        <w:tblStyle w:val="LightGrid-Accent1"/>
        <w:tblW w:type="auto" w:w="0"/>
        <w:jc w:val="center"/>
        <w:tblLayout w:type="autofit"/>
        <w:tblLook w:firstColumn="1" w:firstRow="1" w:lastColumn="0" w:lastRow="0" w:noHBand="0" w:noVBand="1" w:val="04A0"/>
      </w:tblPr>
      <w:tblGrid>
        <w:gridCol w:w="2340"/>
        <w:gridCol w:w="2340"/>
        <w:gridCol w:w="2340"/>
        <w:gridCol w:w="2340"/>
      </w:tblGrid>
      <w:tr>
        <w:trPr>
          <w:tblHeader w:val="true"/>
        </w:trPr>
        <w:tc>
          <w:tcPr>
            <w:tcW w:type="dxa" w:w="2160"/>
          </w:tcPr>
          <w:p>
            <w:pPr>
              <w:spacing w:after="40" w:before="40"/>
            </w:pPr>
            <w:r/>
            <w:r>
              <w:rPr>
                <w:b/>
                <w:sz w:val="19"/>
              </w:rPr>
              <w:t>Step</w:t>
            </w:r>
          </w:p>
        </w:tc>
        <w:tc>
          <w:tcPr>
            <w:tcW w:type="dxa" w:w="1872"/>
          </w:tcPr>
          <w:p>
            <w:pPr>
              <w:spacing w:after="40" w:before="40"/>
            </w:pPr>
            <w:r/>
            <w:r>
              <w:rPr>
                <w:b/>
                <w:sz w:val="19"/>
              </w:rPr>
              <w:t>Assumption</w:t>
            </w:r>
          </w:p>
        </w:tc>
        <w:tc>
          <w:tcPr>
            <w:tcW w:type="dxa" w:w="1728"/>
          </w:tcPr>
          <w:p>
            <w:pPr>
              <w:spacing w:after="40" w:before="40"/>
            </w:pPr>
            <w:r/>
            <w:r>
              <w:rPr>
                <w:b/>
                <w:sz w:val="19"/>
              </w:rPr>
              <w:t>Result</w:t>
            </w:r>
          </w:p>
        </w:tc>
        <w:tc>
          <w:tcPr>
            <w:tcW w:type="dxa" w:w="3312"/>
          </w:tcPr>
          <w:p>
            <w:pPr>
              <w:spacing w:after="40" w:before="40"/>
            </w:pPr>
            <w:r/>
            <w:r>
              <w:rPr>
                <w:b/>
                <w:sz w:val="19"/>
              </w:rPr>
              <w:t>Basis</w:t>
            </w:r>
          </w:p>
        </w:tc>
      </w:tr>
      <w:tr>
        <w:tc>
          <w:tcPr>
            <w:tcW w:type="dxa" w:w="2160"/>
          </w:tcPr>
          <w:p>
            <w:pPr>
              <w:spacing w:after="40" w:before="40"/>
            </w:pPr>
            <w:r/>
            <w:r>
              <w:rPr>
                <w:sz w:val="19"/>
              </w:rPr>
              <w:t>Adult primary care visits in scope</w:t>
            </w:r>
          </w:p>
        </w:tc>
        <w:tc>
          <w:tcPr>
            <w:tcW w:type="dxa" w:w="1872"/>
          </w:tcPr>
          <w:p>
            <w:pPr>
              <w:spacing w:after="40" w:before="40"/>
            </w:pPr>
            <w:r/>
            <w:r>
              <w:rPr>
                <w:sz w:val="19"/>
              </w:rPr>
              <w:t>Current volume, both sites</w:t>
            </w:r>
          </w:p>
        </w:tc>
        <w:tc>
          <w:tcPr>
            <w:tcW w:type="dxa" w:w="1728"/>
          </w:tcPr>
          <w:p>
            <w:pPr>
              <w:spacing w:after="40" w:before="40"/>
            </w:pPr>
            <w:r/>
            <w:r>
              <w:rPr>
                <w:sz w:val="19"/>
              </w:rPr>
              <w:t>6,000</w:t>
            </w:r>
          </w:p>
        </w:tc>
        <w:tc>
          <w:tcPr>
            <w:tcW w:type="dxa" w:w="3312"/>
          </w:tcPr>
          <w:p>
            <w:pPr>
              <w:spacing w:after="40" w:before="40"/>
            </w:pPr>
            <w:r/>
            <w:r>
              <w:rPr>
                <w:sz w:val="19"/>
              </w:rPr>
              <w:t>Practice management system, most recent complete year</w:t>
            </w:r>
          </w:p>
        </w:tc>
      </w:tr>
      <w:tr>
        <w:tc>
          <w:tcPr>
            <w:tcW w:type="dxa" w:w="2160"/>
          </w:tcPr>
          <w:p>
            <w:pPr>
              <w:spacing w:after="40" w:before="40"/>
            </w:pPr>
            <w:r/>
            <w:r>
              <w:rPr>
                <w:sz w:val="19"/>
              </w:rPr>
              <w:t>Screening rate</w:t>
            </w:r>
          </w:p>
        </w:tc>
        <w:tc>
          <w:tcPr>
            <w:tcW w:type="dxa" w:w="1872"/>
          </w:tcPr>
          <w:p>
            <w:pPr>
              <w:spacing w:after="40" w:before="40"/>
            </w:pPr>
            <w:r/>
            <w:r>
              <w:rPr>
                <w:sz w:val="19"/>
              </w:rPr>
              <w:t>85 percent</w:t>
            </w:r>
          </w:p>
        </w:tc>
        <w:tc>
          <w:tcPr>
            <w:tcW w:type="dxa" w:w="1728"/>
          </w:tcPr>
          <w:p>
            <w:pPr>
              <w:spacing w:after="40" w:before="40"/>
            </w:pPr>
            <w:r/>
            <w:r>
              <w:rPr>
                <w:sz w:val="19"/>
              </w:rPr>
              <w:t>5,100 screens</w:t>
            </w:r>
          </w:p>
        </w:tc>
        <w:tc>
          <w:tcPr>
            <w:tcW w:type="dxa" w:w="3312"/>
          </w:tcPr>
          <w:p>
            <w:pPr>
              <w:spacing w:after="40" w:before="40"/>
            </w:pPr>
            <w:r/>
            <w:r>
              <w:rPr>
                <w:sz w:val="19"/>
              </w:rPr>
              <w:t>Target rate once the template is live at both sites</w:t>
            </w:r>
          </w:p>
        </w:tc>
      </w:tr>
      <w:tr>
        <w:tc>
          <w:tcPr>
            <w:tcW w:type="dxa" w:w="2160"/>
          </w:tcPr>
          <w:p>
            <w:pPr>
              <w:spacing w:after="40" w:before="40"/>
            </w:pPr>
            <w:r/>
            <w:r>
              <w:rPr>
                <w:sz w:val="19"/>
              </w:rPr>
              <w:t>Positive screen rate</w:t>
            </w:r>
          </w:p>
        </w:tc>
        <w:tc>
          <w:tcPr>
            <w:tcW w:type="dxa" w:w="1872"/>
          </w:tcPr>
          <w:p>
            <w:pPr>
              <w:spacing w:after="40" w:before="40"/>
            </w:pPr>
            <w:r/>
            <w:r>
              <w:rPr>
                <w:sz w:val="19"/>
              </w:rPr>
              <w:t>12 percent</w:t>
            </w:r>
          </w:p>
        </w:tc>
        <w:tc>
          <w:tcPr>
            <w:tcW w:type="dxa" w:w="1728"/>
          </w:tcPr>
          <w:p>
            <w:pPr>
              <w:spacing w:after="40" w:before="40"/>
            </w:pPr>
            <w:r/>
            <w:r>
              <w:rPr>
                <w:sz w:val="19"/>
              </w:rPr>
              <w:t>612 positive screens</w:t>
            </w:r>
          </w:p>
        </w:tc>
        <w:tc>
          <w:tcPr>
            <w:tcW w:type="dxa" w:w="3312"/>
          </w:tcPr>
          <w:p>
            <w:pPr>
              <w:spacing w:after="40" w:before="40"/>
            </w:pPr>
            <w:r/>
            <w:r>
              <w:rPr>
                <w:sz w:val="19"/>
              </w:rPr>
              <w:t>Conservative rate for a universally screened primary care population</w:t>
            </w:r>
          </w:p>
        </w:tc>
      </w:tr>
      <w:tr>
        <w:tc>
          <w:tcPr>
            <w:tcW w:type="dxa" w:w="2160"/>
          </w:tcPr>
          <w:p>
            <w:pPr>
              <w:spacing w:after="40" w:before="40"/>
            </w:pPr>
            <w:r/>
            <w:r>
              <w:rPr>
                <w:sz w:val="19"/>
              </w:rPr>
              <w:t>Handoff acceptance</w:t>
            </w:r>
          </w:p>
        </w:tc>
        <w:tc>
          <w:tcPr>
            <w:tcW w:type="dxa" w:w="1872"/>
          </w:tcPr>
          <w:p>
            <w:pPr>
              <w:spacing w:after="40" w:before="40"/>
            </w:pPr>
            <w:r/>
            <w:r>
              <w:rPr>
                <w:sz w:val="19"/>
              </w:rPr>
              <w:t>55 percent</w:t>
            </w:r>
          </w:p>
        </w:tc>
        <w:tc>
          <w:tcPr>
            <w:tcW w:type="dxa" w:w="1728"/>
          </w:tcPr>
          <w:p>
            <w:pPr>
              <w:spacing w:after="40" w:before="40"/>
            </w:pPr>
            <w:r/>
            <w:r>
              <w:rPr>
                <w:sz w:val="19"/>
              </w:rPr>
              <w:t>337 patients</w:t>
            </w:r>
          </w:p>
        </w:tc>
        <w:tc>
          <w:tcPr>
            <w:tcW w:type="dxa" w:w="3312"/>
          </w:tcPr>
          <w:p>
            <w:pPr>
              <w:spacing w:after="40" w:before="40"/>
            </w:pPr>
            <w:r/>
            <w:r>
              <w:rPr>
                <w:sz w:val="19"/>
              </w:rPr>
              <w:t>Published integrated care experience and ECHC's own wellness visit acceptance</w:t>
            </w:r>
          </w:p>
        </w:tc>
      </w:tr>
      <w:tr>
        <w:tc>
          <w:tcPr>
            <w:tcW w:type="dxa" w:w="2160"/>
          </w:tcPr>
          <w:p>
            <w:pPr>
              <w:spacing w:after="40" w:before="40"/>
            </w:pPr>
            <w:r/>
            <w:r>
              <w:rPr>
                <w:sz w:val="19"/>
              </w:rPr>
              <w:t>Sessions per patient</w:t>
            </w:r>
          </w:p>
        </w:tc>
        <w:tc>
          <w:tcPr>
            <w:tcW w:type="dxa" w:w="1872"/>
          </w:tcPr>
          <w:p>
            <w:pPr>
              <w:spacing w:after="40" w:before="40"/>
            </w:pPr>
            <w:r/>
            <w:r>
              <w:rPr>
                <w:sz w:val="19"/>
              </w:rPr>
              <w:t>3.5 average</w:t>
            </w:r>
          </w:p>
        </w:tc>
        <w:tc>
          <w:tcPr>
            <w:tcW w:type="dxa" w:w="1728"/>
          </w:tcPr>
          <w:p>
            <w:pPr>
              <w:spacing w:after="40" w:before="40"/>
            </w:pPr>
            <w:r/>
            <w:r>
              <w:rPr>
                <w:sz w:val="19"/>
              </w:rPr>
              <w:t>1,180 encounters</w:t>
            </w:r>
          </w:p>
        </w:tc>
        <w:tc>
          <w:tcPr>
            <w:tcW w:type="dxa" w:w="3312"/>
          </w:tcPr>
          <w:p>
            <w:pPr>
              <w:spacing w:after="40" w:before="40"/>
            </w:pPr>
            <w:r/>
            <w:r>
              <w:rPr>
                <w:sz w:val="19"/>
              </w:rPr>
              <w:t>Six-session maximum, with expected attrition</w:t>
            </w:r>
          </w:p>
        </w:tc>
      </w:tr>
      <w:tr>
        <w:tc>
          <w:tcPr>
            <w:tcW w:type="dxa" w:w="2160"/>
          </w:tcPr>
          <w:p>
            <w:pPr>
              <w:spacing w:after="40" w:before="40"/>
            </w:pPr>
            <w:r/>
            <w:r>
              <w:rPr>
                <w:sz w:val="19"/>
              </w:rPr>
              <w:t>Clinical days per year</w:t>
            </w:r>
          </w:p>
        </w:tc>
        <w:tc>
          <w:tcPr>
            <w:tcW w:type="dxa" w:w="1872"/>
          </w:tcPr>
          <w:p>
            <w:pPr>
              <w:spacing w:after="40" w:before="40"/>
            </w:pPr>
            <w:r/>
            <w:r>
              <w:rPr>
                <w:sz w:val="19"/>
              </w:rPr>
              <w:t>220</w:t>
            </w:r>
          </w:p>
        </w:tc>
        <w:tc>
          <w:tcPr>
            <w:tcW w:type="dxa" w:w="1728"/>
          </w:tcPr>
          <w:p>
            <w:pPr>
              <w:spacing w:after="40" w:before="40"/>
            </w:pPr>
            <w:r/>
            <w:r>
              <w:rPr>
                <w:sz w:val="19"/>
              </w:rPr>
              <w:t>5 to 6 encounters per day</w:t>
            </w:r>
          </w:p>
        </w:tc>
        <w:tc>
          <w:tcPr>
            <w:tcW w:type="dxa" w:w="3312"/>
          </w:tcPr>
          <w:p>
            <w:pPr>
              <w:spacing w:after="40" w:before="40"/>
            </w:pPr>
            <w:r/>
            <w:r>
              <w:rPr>
                <w:sz w:val="19"/>
              </w:rPr>
              <w:t>Net of holidays, paid time off, training, and administrative time</w:t>
            </w:r>
          </w:p>
        </w:tc>
      </w:tr>
    </w:tbl>
    <w:p>
      <w:pPr>
        <w:spacing w:after="0"/>
      </w:pPr>
    </w:p>
    <w:p>
      <w:r>
        <w:rPr>
          <w:b w:val="0"/>
          <w:i w:val="0"/>
        </w:rPr>
        <w:t>Five to six behavioral health encounters a day for one clinician is a workable caseload with documentation time in it, and a reviewer who runs the division arrives at the same answer.</w:t>
      </w:r>
    </w:p>
    <w:p>
      <w:pPr>
        <w:pStyle w:val="Heading3"/>
      </w:pPr>
      <w:r>
        <w:t>Why the projected positive rate is lower than the observed one</w:t>
      </w:r>
    </w:p>
    <w:p>
      <w:r>
        <w:rPr>
          <w:b w:val="0"/>
          <w:i w:val="0"/>
        </w:rPr>
        <w:t>ECHC's wellness visit screening found a 23 percent positive rate, not 12 percent. The projection is deliberately lower because universal screening reaches every adult visit, including acute and follow-up visits for a broader and generally lower-acuity population, while wellness visits skew toward patients already engaged in care. Planning to the higher rate would overstate demand and understate the clinician's available capacity. If the observed rate under universal screening runs closer to 23 percent, the program will hit the clinician's caseload ceiling by month nine, and the contingency is stated in the sustainability section.</w:t>
      </w:r>
    </w:p>
    <w:p>
      <w:pPr>
        <w:pStyle w:val="Heading2"/>
      </w:pPr>
      <w:r>
        <w:t>Implementation timeline</w:t>
      </w:r>
    </w:p>
    <w:tbl>
      <w:tblPr>
        <w:tblStyle w:val="LightGrid-Accent1"/>
        <w:tblW w:type="auto" w:w="0"/>
        <w:jc w:val="center"/>
        <w:tblLayout w:type="autofit"/>
        <w:tblLook w:firstColumn="1" w:firstRow="1" w:lastColumn="0" w:lastRow="0" w:noHBand="0" w:noVBand="1" w:val="04A0"/>
      </w:tblPr>
      <w:tblGrid>
        <w:gridCol w:w="3120"/>
        <w:gridCol w:w="3120"/>
        <w:gridCol w:w="3120"/>
      </w:tblGrid>
      <w:tr>
        <w:trPr>
          <w:tblHeader w:val="true"/>
        </w:trPr>
        <w:tc>
          <w:tcPr>
            <w:tcW w:type="dxa" w:w="1152"/>
          </w:tcPr>
          <w:p>
            <w:pPr>
              <w:spacing w:after="40" w:before="40"/>
            </w:pPr>
            <w:r/>
            <w:r>
              <w:rPr>
                <w:b/>
                <w:sz w:val="19"/>
              </w:rPr>
              <w:t>Month</w:t>
            </w:r>
          </w:p>
        </w:tc>
        <w:tc>
          <w:tcPr>
            <w:tcW w:type="dxa" w:w="5760"/>
          </w:tcPr>
          <w:p>
            <w:pPr>
              <w:spacing w:after="40" w:before="40"/>
            </w:pPr>
            <w:r/>
            <w:r>
              <w:rPr>
                <w:b/>
                <w:sz w:val="19"/>
              </w:rPr>
              <w:t>Milestone</w:t>
            </w:r>
          </w:p>
        </w:tc>
        <w:tc>
          <w:tcPr>
            <w:tcW w:type="dxa" w:w="2160"/>
          </w:tcPr>
          <w:p>
            <w:pPr>
              <w:spacing w:after="40" w:before="40"/>
            </w:pPr>
            <w:r/>
            <w:r>
              <w:rPr>
                <w:b/>
                <w:sz w:val="19"/>
              </w:rPr>
              <w:t>Owner</w:t>
            </w:r>
          </w:p>
        </w:tc>
      </w:tr>
      <w:tr>
        <w:tc>
          <w:tcPr>
            <w:tcW w:type="dxa" w:w="1152"/>
          </w:tcPr>
          <w:p>
            <w:pPr>
              <w:spacing w:after="40" w:before="40"/>
            </w:pPr>
            <w:r/>
            <w:r>
              <w:rPr>
                <w:sz w:val="19"/>
              </w:rPr>
              <w:t>1</w:t>
            </w:r>
          </w:p>
        </w:tc>
        <w:tc>
          <w:tcPr>
            <w:tcW w:type="dxa" w:w="5760"/>
          </w:tcPr>
          <w:p>
            <w:pPr>
              <w:spacing w:after="40" w:before="40"/>
            </w:pPr>
            <w:r/>
            <w:r>
              <w:rPr>
                <w:sz w:val="19"/>
              </w:rPr>
              <w:t>Post the clinician position, confirm the salary benchmark, convene the program workgroup</w:t>
            </w:r>
          </w:p>
        </w:tc>
        <w:tc>
          <w:tcPr>
            <w:tcW w:type="dxa" w:w="2160"/>
          </w:tcPr>
          <w:p>
            <w:pPr>
              <w:spacing w:after="40" w:before="40"/>
            </w:pPr>
            <w:r/>
            <w:r>
              <w:rPr>
                <w:sz w:val="19"/>
              </w:rPr>
              <w:t>Chief executive officer</w:t>
            </w:r>
          </w:p>
        </w:tc>
      </w:tr>
      <w:tr>
        <w:tc>
          <w:tcPr>
            <w:tcW w:type="dxa" w:w="1152"/>
          </w:tcPr>
          <w:p>
            <w:pPr>
              <w:spacing w:after="40" w:before="40"/>
            </w:pPr>
            <w:r/>
            <w:r>
              <w:rPr>
                <w:sz w:val="19"/>
              </w:rPr>
              <w:t>1 to 3</w:t>
            </w:r>
          </w:p>
        </w:tc>
        <w:tc>
          <w:tcPr>
            <w:tcW w:type="dxa" w:w="5760"/>
          </w:tcPr>
          <w:p>
            <w:pPr>
              <w:spacing w:after="40" w:before="40"/>
            </w:pPr>
            <w:r/>
            <w:r>
              <w:rPr>
                <w:sz w:val="19"/>
              </w:rPr>
              <w:t>Recruit, interview, and hire; verify licensure; assemble the credentialing packet</w:t>
            </w:r>
          </w:p>
        </w:tc>
        <w:tc>
          <w:tcPr>
            <w:tcW w:type="dxa" w:w="2160"/>
          </w:tcPr>
          <w:p>
            <w:pPr>
              <w:spacing w:after="40" w:before="40"/>
            </w:pPr>
            <w:r/>
            <w:r>
              <w:rPr>
                <w:sz w:val="19"/>
              </w:rPr>
              <w:t>Chief executive officer</w:t>
            </w:r>
          </w:p>
        </w:tc>
      </w:tr>
      <w:tr>
        <w:tc>
          <w:tcPr>
            <w:tcW w:type="dxa" w:w="1152"/>
          </w:tcPr>
          <w:p>
            <w:pPr>
              <w:spacing w:after="40" w:before="40"/>
            </w:pPr>
            <w:r/>
            <w:r>
              <w:rPr>
                <w:sz w:val="19"/>
              </w:rPr>
              <w:t>2 to 3</w:t>
            </w:r>
          </w:p>
        </w:tc>
        <w:tc>
          <w:tcPr>
            <w:tcW w:type="dxa" w:w="5760"/>
          </w:tcPr>
          <w:p>
            <w:pPr>
              <w:spacing w:after="40" w:before="40"/>
            </w:pPr>
            <w:r/>
            <w:r>
              <w:rPr>
                <w:sz w:val="19"/>
              </w:rPr>
              <w:t>Build the electronic health record screening template and the reporting view</w:t>
            </w:r>
          </w:p>
        </w:tc>
        <w:tc>
          <w:tcPr>
            <w:tcW w:type="dxa" w:w="2160"/>
          </w:tcPr>
          <w:p>
            <w:pPr>
              <w:spacing w:after="40" w:before="40"/>
            </w:pPr>
            <w:r/>
            <w:r>
              <w:rPr>
                <w:sz w:val="19"/>
              </w:rPr>
              <w:t>Quality improvement coordinator with the vendor</w:t>
            </w:r>
          </w:p>
        </w:tc>
      </w:tr>
      <w:tr>
        <w:tc>
          <w:tcPr>
            <w:tcW w:type="dxa" w:w="1152"/>
          </w:tcPr>
          <w:p>
            <w:pPr>
              <w:spacing w:after="40" w:before="40"/>
            </w:pPr>
            <w:r/>
            <w:r>
              <w:rPr>
                <w:sz w:val="19"/>
              </w:rPr>
              <w:t>3</w:t>
            </w:r>
          </w:p>
        </w:tc>
        <w:tc>
          <w:tcPr>
            <w:tcW w:type="dxa" w:w="5760"/>
          </w:tcPr>
          <w:p>
            <w:pPr>
              <w:spacing w:after="40" w:before="40"/>
            </w:pPr>
            <w:r/>
            <w:r>
              <w:rPr>
                <w:sz w:val="19"/>
              </w:rPr>
              <w:t>Universal screening goes live at both sites, with the existing referral pathway as the interim destination</w:t>
            </w:r>
          </w:p>
        </w:tc>
        <w:tc>
          <w:tcPr>
            <w:tcW w:type="dxa" w:w="2160"/>
          </w:tcPr>
          <w:p>
            <w:pPr>
              <w:spacing w:after="40" w:before="40"/>
            </w:pPr>
            <w:r/>
            <w:r>
              <w:rPr>
                <w:sz w:val="19"/>
              </w:rPr>
              <w:t>Clinical director</w:t>
            </w:r>
          </w:p>
        </w:tc>
      </w:tr>
      <w:tr>
        <w:tc>
          <w:tcPr>
            <w:tcW w:type="dxa" w:w="1152"/>
          </w:tcPr>
          <w:p>
            <w:pPr>
              <w:spacing w:after="40" w:before="40"/>
            </w:pPr>
            <w:r/>
            <w:r>
              <w:rPr>
                <w:sz w:val="19"/>
              </w:rPr>
              <w:t>3 to 6</w:t>
            </w:r>
          </w:p>
        </w:tc>
        <w:tc>
          <w:tcPr>
            <w:tcW w:type="dxa" w:w="5760"/>
          </w:tcPr>
          <w:p>
            <w:pPr>
              <w:spacing w:after="40" w:before="40"/>
            </w:pPr>
            <w:r/>
            <w:r>
              <w:rPr>
                <w:sz w:val="19"/>
              </w:rPr>
              <w:t>Payer enrollment and credentialing for the new clinician, Medicaid first</w:t>
            </w:r>
          </w:p>
        </w:tc>
        <w:tc>
          <w:tcPr>
            <w:tcW w:type="dxa" w:w="2160"/>
          </w:tcPr>
          <w:p>
            <w:pPr>
              <w:spacing w:after="40" w:before="40"/>
            </w:pPr>
            <w:r/>
            <w:r>
              <w:rPr>
                <w:sz w:val="19"/>
              </w:rPr>
              <w:t>Billing manager</w:t>
            </w:r>
          </w:p>
        </w:tc>
      </w:tr>
      <w:tr>
        <w:tc>
          <w:tcPr>
            <w:tcW w:type="dxa" w:w="1152"/>
          </w:tcPr>
          <w:p>
            <w:pPr>
              <w:spacing w:after="40" w:before="40"/>
            </w:pPr>
            <w:r/>
            <w:r>
              <w:rPr>
                <w:sz w:val="19"/>
              </w:rPr>
              <w:t>4</w:t>
            </w:r>
          </w:p>
        </w:tc>
        <w:tc>
          <w:tcPr>
            <w:tcW w:type="dxa" w:w="5760"/>
          </w:tcPr>
          <w:p>
            <w:pPr>
              <w:spacing w:after="40" w:before="40"/>
            </w:pPr>
            <w:r/>
            <w:r>
              <w:rPr>
                <w:sz w:val="19"/>
              </w:rPr>
              <w:t>Medical assistant and front desk training on the screening and handoff workflow</w:t>
            </w:r>
          </w:p>
        </w:tc>
        <w:tc>
          <w:tcPr>
            <w:tcW w:type="dxa" w:w="2160"/>
          </w:tcPr>
          <w:p>
            <w:pPr>
              <w:spacing w:after="40" w:before="40"/>
            </w:pPr>
            <w:r/>
            <w:r>
              <w:rPr>
                <w:sz w:val="19"/>
              </w:rPr>
              <w:t>Clinical director</w:t>
            </w:r>
          </w:p>
        </w:tc>
      </w:tr>
      <w:tr>
        <w:tc>
          <w:tcPr>
            <w:tcW w:type="dxa" w:w="1152"/>
          </w:tcPr>
          <w:p>
            <w:pPr>
              <w:spacing w:after="40" w:before="40"/>
            </w:pPr>
            <w:r/>
            <w:r>
              <w:rPr>
                <w:sz w:val="19"/>
              </w:rPr>
              <w:t>5</w:t>
            </w:r>
          </w:p>
        </w:tc>
        <w:tc>
          <w:tcPr>
            <w:tcW w:type="dxa" w:w="5760"/>
          </w:tcPr>
          <w:p>
            <w:pPr>
              <w:spacing w:after="40" w:before="40"/>
            </w:pPr>
            <w:r/>
            <w:r>
              <w:rPr>
                <w:sz w:val="19"/>
              </w:rPr>
              <w:t>Clinician start date; warm handoff protocol training with the full care team; first patients served</w:t>
            </w:r>
          </w:p>
        </w:tc>
        <w:tc>
          <w:tcPr>
            <w:tcW w:type="dxa" w:w="2160"/>
          </w:tcPr>
          <w:p>
            <w:pPr>
              <w:spacing w:after="40" w:before="40"/>
            </w:pPr>
            <w:r/>
            <w:r>
              <w:rPr>
                <w:sz w:val="19"/>
              </w:rPr>
              <w:t>Clinical director</w:t>
            </w:r>
          </w:p>
        </w:tc>
      </w:tr>
      <w:tr>
        <w:tc>
          <w:tcPr>
            <w:tcW w:type="dxa" w:w="1152"/>
          </w:tcPr>
          <w:p>
            <w:pPr>
              <w:spacing w:after="40" w:before="40"/>
            </w:pPr>
            <w:r/>
            <w:r>
              <w:rPr>
                <w:sz w:val="19"/>
              </w:rPr>
              <w:t>6</w:t>
            </w:r>
          </w:p>
        </w:tc>
        <w:tc>
          <w:tcPr>
            <w:tcW w:type="dxa" w:w="5760"/>
          </w:tcPr>
          <w:p>
            <w:pPr>
              <w:spacing w:after="40" w:before="40"/>
            </w:pPr>
            <w:r/>
            <w:r>
              <w:rPr>
                <w:sz w:val="19"/>
              </w:rPr>
              <w:t>First quarterly measure pull; first billable encounters submitted</w:t>
            </w:r>
          </w:p>
        </w:tc>
        <w:tc>
          <w:tcPr>
            <w:tcW w:type="dxa" w:w="2160"/>
          </w:tcPr>
          <w:p>
            <w:pPr>
              <w:spacing w:after="40" w:before="40"/>
            </w:pPr>
            <w:r/>
            <w:r>
              <w:rPr>
                <w:sz w:val="19"/>
              </w:rPr>
              <w:t>Quality improvement coordinator, billing manager</w:t>
            </w:r>
          </w:p>
        </w:tc>
      </w:tr>
      <w:tr>
        <w:tc>
          <w:tcPr>
            <w:tcW w:type="dxa" w:w="1152"/>
          </w:tcPr>
          <w:p>
            <w:pPr>
              <w:spacing w:after="40" w:before="40"/>
            </w:pPr>
            <w:r/>
            <w:r>
              <w:rPr>
                <w:sz w:val="19"/>
              </w:rPr>
              <w:t>7 to 12</w:t>
            </w:r>
          </w:p>
        </w:tc>
        <w:tc>
          <w:tcPr>
            <w:tcW w:type="dxa" w:w="5760"/>
          </w:tcPr>
          <w:p>
            <w:pPr>
              <w:spacing w:after="40" w:before="40"/>
            </w:pPr>
            <w:r/>
            <w:r>
              <w:rPr>
                <w:sz w:val="19"/>
              </w:rPr>
              <w:t>Full operation; measure pulls at months 9 and 12; mid-year funder report</w:t>
            </w:r>
          </w:p>
        </w:tc>
        <w:tc>
          <w:tcPr>
            <w:tcW w:type="dxa" w:w="2160"/>
          </w:tcPr>
          <w:p>
            <w:pPr>
              <w:spacing w:after="40" w:before="40"/>
            </w:pPr>
            <w:r/>
            <w:r>
              <w:rPr>
                <w:sz w:val="19"/>
              </w:rPr>
              <w:t>Quality improvement coordinator</w:t>
            </w:r>
          </w:p>
        </w:tc>
      </w:tr>
      <w:tr>
        <w:tc>
          <w:tcPr>
            <w:tcW w:type="dxa" w:w="1152"/>
          </w:tcPr>
          <w:p>
            <w:pPr>
              <w:spacing w:after="40" w:before="40"/>
            </w:pPr>
            <w:r/>
            <w:r>
              <w:rPr>
                <w:sz w:val="19"/>
              </w:rPr>
              <w:t>12</w:t>
            </w:r>
          </w:p>
        </w:tc>
        <w:tc>
          <w:tcPr>
            <w:tcW w:type="dxa" w:w="5760"/>
          </w:tcPr>
          <w:p>
            <w:pPr>
              <w:spacing w:after="40" w:before="40"/>
            </w:pPr>
            <w:r/>
            <w:r>
              <w:rPr>
                <w:sz w:val="19"/>
              </w:rPr>
              <w:t>Year-one report, sustainability review with county and hospital partners</w:t>
            </w:r>
          </w:p>
        </w:tc>
        <w:tc>
          <w:tcPr>
            <w:tcW w:type="dxa" w:w="2160"/>
          </w:tcPr>
          <w:p>
            <w:pPr>
              <w:spacing w:after="40" w:before="40"/>
            </w:pPr>
            <w:r/>
            <w:r>
              <w:rPr>
                <w:sz w:val="19"/>
              </w:rPr>
              <w:t>Chief executive officer</w:t>
            </w:r>
          </w:p>
        </w:tc>
      </w:tr>
    </w:tbl>
    <w:p>
      <w:pPr>
        <w:spacing w:after="0"/>
      </w:pPr>
    </w:p>
    <w:p>
      <w:r>
        <w:rPr>
          <w:b w:val="0"/>
          <w:i w:val="0"/>
        </w:rPr>
        <w:t>ECHC's last two credentialing cycles ran 112 and 138 days from a complete application, and a proposal that shows billing starting in month one reads as inexperienced. Screening goes live at month three rather than waiting for the hire, because screening does not depend on the clinician and starting it early produces two months of baseline data before the intervention begins.</w:t>
      </w:r>
    </w:p>
    <w:p>
      <w:pPr>
        <w:pStyle w:val="Heading2"/>
      </w:pPr>
      <w:r>
        <w:t>Sliding fee discount policy</w:t>
      </w:r>
    </w:p>
    <w:p>
      <w:r>
        <w:rPr>
          <w:b w:val="0"/>
          <w:i w:val="0"/>
        </w:rPr>
        <w:t>ECHC maintains a sliding fee discount schedule for all services, including behavioral health. Patients at or below 100 percent of the Federal Poverty Guidelines receive a full discount or pay a nominal charge set below the fee in the first discount pay class. Patients between 101 and 200 percent pay according to three discount pay classes. No discount applies above 200 percent.</w:t>
      </w:r>
    </w:p>
    <w:p>
      <w:r>
        <w:rPr>
          <w:b w:val="0"/>
          <w:i w:val="0"/>
        </w:rPr>
        <w:t>That structure follows the requirements in Section 330(k)(3)(G) of the Public Health Service Act as described in HRSA's Health Center Program Compliance Manual, Chapter 9. ECHC is not a Health Center Program awardee and is not bound by that chapter. The clinic adopts the structure voluntarily because it is a recognized standard, it is auditable, and funders can evaluate it without a separate explanation. The current schedule with its effective date is Attachment F.</w:t>
      </w:r>
    </w:p>
    <w:p>
      <w:pPr>
        <w:pStyle w:val="Heading2"/>
      </w:pPr>
      <w:r>
        <w:t>Getting patients to show up</w:t>
      </w:r>
    </w:p>
    <w:p>
      <w:r>
        <w:rPr>
          <w:b w:val="0"/>
          <w:i w:val="0"/>
        </w:rPr>
        <w:t>A projected caseload needs an attendance strategy attached to it. ECHC's clinic-wide no-show rate is 19 percent, and four tactics are built into this program to hold behavioral health sessions below it.</w:t>
      </w:r>
    </w:p>
    <w:p>
      <w:pPr>
        <w:pStyle w:val="ListBullet"/>
      </w:pPr>
      <w:r>
        <w:t>The same-day warm handoff removes the interval in which most referrals are lost. The first contact happens while the patient is still in the building.</w:t>
      </w:r>
    </w:p>
    <w:p>
      <w:pPr>
        <w:pStyle w:val="ListBullet"/>
      </w:pPr>
      <w:r>
        <w:t>The community health worker calls before every session, and the call is a conversation rather than an automated reminder, which matters for patients who have missed appointments before.</w:t>
      </w:r>
    </w:p>
    <w:p>
      <w:pPr>
        <w:pStyle w:val="ListBullet"/>
      </w:pPr>
      <w:r>
        <w:t>Transportation vouchers cover 400 round trips in year one for patients who identify travel as a barrier during intake.</w:t>
      </w:r>
    </w:p>
    <w:p>
      <w:pPr>
        <w:pStyle w:val="ListBullet"/>
      </w:pPr>
      <w:r>
        <w:t>Two evening sessions a week at the main site accommodate patients who cannot leave work, a barrier named in ECHC's most recent patient survey.</w:t>
      </w:r>
    </w:p>
    <w:p>
      <w:r>
        <w:br w:type="page"/>
      </w:r>
    </w:p>
    <w:p>
      <w:pPr>
        <w:pStyle w:val="Heading1"/>
      </w:pPr>
      <w:r>
        <w:t>Outcomes and Evaluation</w:t>
      </w:r>
    </w:p>
    <w:p>
      <w:r>
        <w:rPr>
          <w:b w:val="0"/>
          <w:i w:val="0"/>
        </w:rPr>
        <w:t>Every outcome in this section carries four fields: baseline, target, data source, and the person who pulls the report. An outcome missing any one of the four reads as aspiration rather than measurement. The primary measures use published national specifications, because a specified measure arrives with a defined denominator and comparison data, while an invented measure asks the reviewer to trust the applicant's definition.</w:t>
      </w:r>
    </w:p>
    <w:p>
      <w:pPr>
        <w:pStyle w:val="Heading2"/>
      </w:pPr>
      <w:r>
        <w:t>Primary clinical outcome measures</w:t>
      </w:r>
    </w:p>
    <w:tbl>
      <w:tblPr>
        <w:tblStyle w:val="LightGrid-Accent1"/>
        <w:tblW w:type="auto" w:w="0"/>
        <w:jc w:val="center"/>
        <w:tblLayout w:type="autofit"/>
        <w:tblLook w:firstColumn="1" w:firstRow="1" w:lastColumn="0" w:lastRow="0" w:noHBand="0" w:noVBand="1" w:val="04A0"/>
      </w:tblPr>
      <w:tblGrid>
        <w:gridCol w:w="1872"/>
        <w:gridCol w:w="1872"/>
        <w:gridCol w:w="1872"/>
        <w:gridCol w:w="1872"/>
        <w:gridCol w:w="1872"/>
      </w:tblGrid>
      <w:tr>
        <w:trPr>
          <w:tblHeader w:val="true"/>
        </w:trPr>
        <w:tc>
          <w:tcPr>
            <w:tcW w:type="dxa" w:w="2736"/>
          </w:tcPr>
          <w:p>
            <w:pPr>
              <w:spacing w:after="40" w:before="40"/>
            </w:pPr>
            <w:r/>
            <w:r>
              <w:rPr>
                <w:b/>
                <w:sz w:val="19"/>
              </w:rPr>
              <w:t>Measure</w:t>
            </w:r>
          </w:p>
        </w:tc>
        <w:tc>
          <w:tcPr>
            <w:tcW w:type="dxa" w:w="1080"/>
          </w:tcPr>
          <w:p>
            <w:pPr>
              <w:spacing w:after="40" w:before="40"/>
            </w:pPr>
            <w:r/>
            <w:r>
              <w:rPr>
                <w:b/>
                <w:sz w:val="19"/>
              </w:rPr>
              <w:t>Baseline</w:t>
            </w:r>
          </w:p>
        </w:tc>
        <w:tc>
          <w:tcPr>
            <w:tcW w:type="dxa" w:w="1152"/>
          </w:tcPr>
          <w:p>
            <w:pPr>
              <w:spacing w:after="40" w:before="40"/>
            </w:pPr>
            <w:r/>
            <w:r>
              <w:rPr>
                <w:b/>
                <w:sz w:val="19"/>
              </w:rPr>
              <w:t>Year 1 target</w:t>
            </w:r>
          </w:p>
        </w:tc>
        <w:tc>
          <w:tcPr>
            <w:tcW w:type="dxa" w:w="2016"/>
          </w:tcPr>
          <w:p>
            <w:pPr>
              <w:spacing w:after="40" w:before="40"/>
            </w:pPr>
            <w:r/>
            <w:r>
              <w:rPr>
                <w:b/>
                <w:sz w:val="19"/>
              </w:rPr>
              <w:t>Data source</w:t>
            </w:r>
          </w:p>
        </w:tc>
        <w:tc>
          <w:tcPr>
            <w:tcW w:type="dxa" w:w="2376"/>
          </w:tcPr>
          <w:p>
            <w:pPr>
              <w:spacing w:after="40" w:before="40"/>
            </w:pPr>
            <w:r/>
            <w:r>
              <w:rPr>
                <w:b/>
                <w:sz w:val="19"/>
              </w:rPr>
              <w:t>Who pulls it, and when</w:t>
            </w:r>
          </w:p>
        </w:tc>
      </w:tr>
      <w:tr>
        <w:tc>
          <w:tcPr>
            <w:tcW w:type="dxa" w:w="2736"/>
          </w:tcPr>
          <w:p>
            <w:pPr>
              <w:spacing w:after="40" w:before="40"/>
            </w:pPr>
            <w:r/>
            <w:r>
              <w:rPr>
                <w:sz w:val="19"/>
              </w:rPr>
              <w:t>Depression screening and follow-up plan</w:t>
              <w:br/>
              <w:t>(UDS Table 6B, CMS2v14)</w:t>
            </w:r>
          </w:p>
        </w:tc>
        <w:tc>
          <w:tcPr>
            <w:tcW w:type="dxa" w:w="1080"/>
          </w:tcPr>
          <w:p>
            <w:pPr>
              <w:spacing w:after="40" w:before="40"/>
            </w:pPr>
            <w:r/>
            <w:r>
              <w:rPr>
                <w:sz w:val="19"/>
              </w:rPr>
              <w:t>14%</w:t>
            </w:r>
          </w:p>
        </w:tc>
        <w:tc>
          <w:tcPr>
            <w:tcW w:type="dxa" w:w="1152"/>
          </w:tcPr>
          <w:p>
            <w:pPr>
              <w:spacing w:after="40" w:before="40"/>
            </w:pPr>
            <w:r/>
            <w:r>
              <w:rPr>
                <w:sz w:val="19"/>
              </w:rPr>
              <w:t>70%</w:t>
            </w:r>
          </w:p>
        </w:tc>
        <w:tc>
          <w:tcPr>
            <w:tcW w:type="dxa" w:w="2016"/>
          </w:tcPr>
          <w:p>
            <w:pPr>
              <w:spacing w:after="40" w:before="40"/>
            </w:pPr>
            <w:r/>
            <w:r>
              <w:rPr>
                <w:sz w:val="19"/>
              </w:rPr>
              <w:t>EHR clinical quality measure report</w:t>
            </w:r>
          </w:p>
        </w:tc>
        <w:tc>
          <w:tcPr>
            <w:tcW w:type="dxa" w:w="2376"/>
          </w:tcPr>
          <w:p>
            <w:pPr>
              <w:spacing w:after="40" w:before="40"/>
            </w:pPr>
            <w:r/>
            <w:r>
              <w:rPr>
                <w:sz w:val="19"/>
              </w:rPr>
              <w:t>Quality improvement coordinator, quarterly</w:t>
            </w:r>
          </w:p>
        </w:tc>
      </w:tr>
      <w:tr>
        <w:tc>
          <w:tcPr>
            <w:tcW w:type="dxa" w:w="2736"/>
          </w:tcPr>
          <w:p>
            <w:pPr>
              <w:spacing w:after="40" w:before="40"/>
            </w:pPr>
            <w:r/>
            <w:r>
              <w:rPr>
                <w:sz w:val="19"/>
              </w:rPr>
              <w:t>Tobacco use screening and cessation intervention</w:t>
              <w:br/>
              <w:t>(UDS Table 6B, CMS138v13)</w:t>
            </w:r>
          </w:p>
        </w:tc>
        <w:tc>
          <w:tcPr>
            <w:tcW w:type="dxa" w:w="1080"/>
          </w:tcPr>
          <w:p>
            <w:pPr>
              <w:spacing w:after="40" w:before="40"/>
            </w:pPr>
            <w:r/>
            <w:r>
              <w:rPr>
                <w:sz w:val="19"/>
              </w:rPr>
              <w:t>61%</w:t>
            </w:r>
          </w:p>
        </w:tc>
        <w:tc>
          <w:tcPr>
            <w:tcW w:type="dxa" w:w="1152"/>
          </w:tcPr>
          <w:p>
            <w:pPr>
              <w:spacing w:after="40" w:before="40"/>
            </w:pPr>
            <w:r/>
            <w:r>
              <w:rPr>
                <w:sz w:val="19"/>
              </w:rPr>
              <w:t>80%</w:t>
            </w:r>
          </w:p>
        </w:tc>
        <w:tc>
          <w:tcPr>
            <w:tcW w:type="dxa" w:w="2016"/>
          </w:tcPr>
          <w:p>
            <w:pPr>
              <w:spacing w:after="40" w:before="40"/>
            </w:pPr>
            <w:r/>
            <w:r>
              <w:rPr>
                <w:sz w:val="19"/>
              </w:rPr>
              <w:t>EHR clinical quality measure report</w:t>
            </w:r>
          </w:p>
        </w:tc>
        <w:tc>
          <w:tcPr>
            <w:tcW w:type="dxa" w:w="2376"/>
          </w:tcPr>
          <w:p>
            <w:pPr>
              <w:spacing w:after="40" w:before="40"/>
            </w:pPr>
            <w:r/>
            <w:r>
              <w:rPr>
                <w:sz w:val="19"/>
              </w:rPr>
              <w:t>Quality improvement coordinator, quarterly</w:t>
            </w:r>
          </w:p>
        </w:tc>
      </w:tr>
      <w:tr>
        <w:tc>
          <w:tcPr>
            <w:tcW w:type="dxa" w:w="2736"/>
          </w:tcPr>
          <w:p>
            <w:pPr>
              <w:spacing w:after="40" w:before="40"/>
            </w:pPr>
            <w:r/>
            <w:r>
              <w:rPr>
                <w:sz w:val="19"/>
              </w:rPr>
              <w:t>PHQ-9 reduction of 5 or more points at 6 months among patients completing 3 or more sessions</w:t>
              <w:br/>
              <w:t>(program-defined)</w:t>
            </w:r>
          </w:p>
        </w:tc>
        <w:tc>
          <w:tcPr>
            <w:tcW w:type="dxa" w:w="1080"/>
          </w:tcPr>
          <w:p>
            <w:pPr>
              <w:spacing w:after="40" w:before="40"/>
            </w:pPr>
            <w:r/>
            <w:r>
              <w:rPr>
                <w:sz w:val="19"/>
              </w:rPr>
              <w:t>Not measured</w:t>
            </w:r>
          </w:p>
        </w:tc>
        <w:tc>
          <w:tcPr>
            <w:tcW w:type="dxa" w:w="1152"/>
          </w:tcPr>
          <w:p>
            <w:pPr>
              <w:spacing w:after="40" w:before="40"/>
            </w:pPr>
            <w:r/>
            <w:r>
              <w:rPr>
                <w:sz w:val="19"/>
              </w:rPr>
              <w:t>55%</w:t>
            </w:r>
          </w:p>
        </w:tc>
        <w:tc>
          <w:tcPr>
            <w:tcW w:type="dxa" w:w="2016"/>
          </w:tcPr>
          <w:p>
            <w:pPr>
              <w:spacing w:after="40" w:before="40"/>
            </w:pPr>
            <w:r/>
            <w:r>
              <w:rPr>
                <w:sz w:val="19"/>
              </w:rPr>
              <w:t>EHR flowsheet, paired PHQ-9 values</w:t>
            </w:r>
          </w:p>
        </w:tc>
        <w:tc>
          <w:tcPr>
            <w:tcW w:type="dxa" w:w="2376"/>
          </w:tcPr>
          <w:p>
            <w:pPr>
              <w:spacing w:after="40" w:before="40"/>
            </w:pPr>
            <w:r/>
            <w:r>
              <w:rPr>
                <w:sz w:val="19"/>
              </w:rPr>
              <w:t>Quality improvement coordinator, semiannually</w:t>
            </w:r>
          </w:p>
        </w:tc>
      </w:tr>
      <w:tr>
        <w:tc>
          <w:tcPr>
            <w:tcW w:type="dxa" w:w="2736"/>
          </w:tcPr>
          <w:p>
            <w:pPr>
              <w:spacing w:after="40" w:before="40"/>
            </w:pPr>
            <w:r/>
            <w:r>
              <w:rPr>
                <w:sz w:val="19"/>
              </w:rPr>
              <w:t>Behavioral health referral completion for patients referred to a higher level of care</w:t>
            </w:r>
          </w:p>
        </w:tc>
        <w:tc>
          <w:tcPr>
            <w:tcW w:type="dxa" w:w="1080"/>
          </w:tcPr>
          <w:p>
            <w:pPr>
              <w:spacing w:after="40" w:before="40"/>
            </w:pPr>
            <w:r/>
            <w:r>
              <w:rPr>
                <w:sz w:val="19"/>
              </w:rPr>
              <w:t>22%</w:t>
            </w:r>
          </w:p>
        </w:tc>
        <w:tc>
          <w:tcPr>
            <w:tcW w:type="dxa" w:w="1152"/>
          </w:tcPr>
          <w:p>
            <w:pPr>
              <w:spacing w:after="40" w:before="40"/>
            </w:pPr>
            <w:r/>
            <w:r>
              <w:rPr>
                <w:sz w:val="19"/>
              </w:rPr>
              <w:t>50%</w:t>
            </w:r>
          </w:p>
        </w:tc>
        <w:tc>
          <w:tcPr>
            <w:tcW w:type="dxa" w:w="2016"/>
          </w:tcPr>
          <w:p>
            <w:pPr>
              <w:spacing w:after="40" w:before="40"/>
            </w:pPr>
            <w:r/>
            <w:r>
              <w:rPr>
                <w:sz w:val="19"/>
              </w:rPr>
              <w:t>Referral tracking log, closed-loop documentation</w:t>
            </w:r>
          </w:p>
        </w:tc>
        <w:tc>
          <w:tcPr>
            <w:tcW w:type="dxa" w:w="2376"/>
          </w:tcPr>
          <w:p>
            <w:pPr>
              <w:spacing w:after="40" w:before="40"/>
            </w:pPr>
            <w:r/>
            <w:r>
              <w:rPr>
                <w:sz w:val="19"/>
              </w:rPr>
              <w:t>Community health worker, monthly; QI coordinator reports quarterly</w:t>
            </w:r>
          </w:p>
        </w:tc>
      </w:tr>
    </w:tbl>
    <w:p>
      <w:pPr>
        <w:spacing w:before="60"/>
      </w:pPr>
      <w:r>
        <w:rPr>
          <w:i/>
          <w:color w:val="556066"/>
          <w:sz w:val="17"/>
        </w:rPr>
        <w:t>Electronic measure version numbers change with each reporting year. Confirm the current specification in the UDS manual for the year you will report before you cite a version.</w:t>
      </w:r>
    </w:p>
    <w:p>
      <w:pPr>
        <w:spacing w:after="0"/>
      </w:pPr>
    </w:p>
    <w:p>
      <w:pPr>
        <w:pStyle w:val="Heading3"/>
      </w:pPr>
      <w:r>
        <w:t>How the depression measure baseline was calculated</w:t>
      </w:r>
    </w:p>
    <w:p>
      <w:r>
        <w:rPr>
          <w:b w:val="0"/>
          <w:i w:val="0"/>
        </w:rPr>
        <w:t>The composite measure counts a patient in the numerator when the patient was screened and, if the screen was positive, a follow-up plan was documented. ECHC screened 412 of its 2,400 adult patients last year. Of those, 96 screened positive and 31 had a documented follow-up plan. The numerator is therefore 316 negative screens plus 31 documented follow-ups, or 347, against a denominator of 2,400. That is 14 percent.</w:t>
      </w:r>
    </w:p>
    <w:p>
      <w:r>
        <w:rPr>
          <w:b w:val="0"/>
          <w:i w:val="0"/>
        </w:rPr>
        <w:t>The year-one target of 70 percent sits below the arithmetic ceiling the program could reach, which is roughly 84 percent at an 85 percent screening rate and a 90 percent follow-up documentation rate. The target is set lower because universal screening does not go live until month three and the clinician does not start until month five. Year two targets the full 84 percent. Stating that reasoning in the proposal is what separates a target from a guess.</w:t>
      </w:r>
    </w:p>
    <w:p>
      <w:pPr>
        <w:pStyle w:val="Heading2"/>
      </w:pPr>
      <w:r>
        <w:t>Program process measures</w:t>
      </w:r>
    </w:p>
    <w:tbl>
      <w:tblPr>
        <w:tblStyle w:val="LightGrid-Accent1"/>
        <w:tblW w:type="auto" w:w="0"/>
        <w:jc w:val="center"/>
        <w:tblLayout w:type="autofit"/>
        <w:tblLook w:firstColumn="1" w:firstRow="1" w:lastColumn="0" w:lastRow="0" w:noHBand="0" w:noVBand="1" w:val="04A0"/>
      </w:tblPr>
      <w:tblGrid>
        <w:gridCol w:w="2340"/>
        <w:gridCol w:w="2340"/>
        <w:gridCol w:w="2340"/>
        <w:gridCol w:w="2340"/>
      </w:tblGrid>
      <w:tr>
        <w:trPr>
          <w:tblHeader w:val="true"/>
        </w:trPr>
        <w:tc>
          <w:tcPr>
            <w:tcW w:type="dxa" w:w="3456"/>
          </w:tcPr>
          <w:p>
            <w:pPr>
              <w:spacing w:after="40" w:before="40"/>
            </w:pPr>
            <w:r/>
            <w:r>
              <w:rPr>
                <w:b/>
                <w:sz w:val="19"/>
              </w:rPr>
              <w:t>Process measure</w:t>
            </w:r>
          </w:p>
        </w:tc>
        <w:tc>
          <w:tcPr>
            <w:tcW w:type="dxa" w:w="2160"/>
          </w:tcPr>
          <w:p>
            <w:pPr>
              <w:spacing w:after="40" w:before="40"/>
            </w:pPr>
            <w:r/>
            <w:r>
              <w:rPr>
                <w:b/>
                <w:sz w:val="19"/>
              </w:rPr>
              <w:t>Baseline</w:t>
            </w:r>
          </w:p>
        </w:tc>
        <w:tc>
          <w:tcPr>
            <w:tcW w:type="dxa" w:w="2016"/>
          </w:tcPr>
          <w:p>
            <w:pPr>
              <w:spacing w:after="40" w:before="40"/>
            </w:pPr>
            <w:r/>
            <w:r>
              <w:rPr>
                <w:b/>
                <w:sz w:val="19"/>
              </w:rPr>
              <w:t>Year 1 target</w:t>
            </w:r>
          </w:p>
        </w:tc>
        <w:tc>
          <w:tcPr>
            <w:tcW w:type="dxa" w:w="1728"/>
          </w:tcPr>
          <w:p>
            <w:pPr>
              <w:spacing w:after="40" w:before="40"/>
            </w:pPr>
            <w:r/>
            <w:r>
              <w:rPr>
                <w:b/>
                <w:sz w:val="19"/>
              </w:rPr>
              <w:t>Source</w:t>
            </w:r>
          </w:p>
        </w:tc>
      </w:tr>
      <w:tr>
        <w:tc>
          <w:tcPr>
            <w:tcW w:type="dxa" w:w="3456"/>
          </w:tcPr>
          <w:p>
            <w:pPr>
              <w:spacing w:after="40" w:before="40"/>
            </w:pPr>
            <w:r/>
            <w:r>
              <w:rPr>
                <w:sz w:val="19"/>
              </w:rPr>
              <w:t>Adult visits with a completed screen</w:t>
            </w:r>
          </w:p>
        </w:tc>
        <w:tc>
          <w:tcPr>
            <w:tcW w:type="dxa" w:w="2160"/>
          </w:tcPr>
          <w:p>
            <w:pPr>
              <w:spacing w:after="40" w:before="40"/>
            </w:pPr>
            <w:r/>
            <w:r>
              <w:rPr>
                <w:sz w:val="19"/>
              </w:rPr>
              <w:t>Not measured under universal screening</w:t>
            </w:r>
          </w:p>
        </w:tc>
        <w:tc>
          <w:tcPr>
            <w:tcW w:type="dxa" w:w="2016"/>
          </w:tcPr>
          <w:p>
            <w:pPr>
              <w:spacing w:after="40" w:before="40"/>
            </w:pPr>
            <w:r/>
            <w:r>
              <w:rPr>
                <w:sz w:val="19"/>
              </w:rPr>
              <w:t>85%</w:t>
            </w:r>
          </w:p>
        </w:tc>
        <w:tc>
          <w:tcPr>
            <w:tcW w:type="dxa" w:w="1728"/>
          </w:tcPr>
          <w:p>
            <w:pPr>
              <w:spacing w:after="40" w:before="40"/>
            </w:pPr>
            <w:r/>
            <w:r>
              <w:rPr>
                <w:sz w:val="19"/>
              </w:rPr>
              <w:t>EHR screening template report</w:t>
            </w:r>
          </w:p>
        </w:tc>
      </w:tr>
      <w:tr>
        <w:tc>
          <w:tcPr>
            <w:tcW w:type="dxa" w:w="3456"/>
          </w:tcPr>
          <w:p>
            <w:pPr>
              <w:spacing w:after="40" w:before="40"/>
            </w:pPr>
            <w:r/>
            <w:r>
              <w:rPr>
                <w:sz w:val="19"/>
              </w:rPr>
              <w:t>Positive screens offered a same-day warm handoff</w:t>
            </w:r>
          </w:p>
        </w:tc>
        <w:tc>
          <w:tcPr>
            <w:tcW w:type="dxa" w:w="2160"/>
          </w:tcPr>
          <w:p>
            <w:pPr>
              <w:spacing w:after="40" w:before="40"/>
            </w:pPr>
            <w:r/>
            <w:r>
              <w:rPr>
                <w:sz w:val="19"/>
              </w:rPr>
              <w:t>Not measured</w:t>
            </w:r>
          </w:p>
        </w:tc>
        <w:tc>
          <w:tcPr>
            <w:tcW w:type="dxa" w:w="2016"/>
          </w:tcPr>
          <w:p>
            <w:pPr>
              <w:spacing w:after="40" w:before="40"/>
            </w:pPr>
            <w:r/>
            <w:r>
              <w:rPr>
                <w:sz w:val="19"/>
              </w:rPr>
              <w:t>90%</w:t>
            </w:r>
          </w:p>
        </w:tc>
        <w:tc>
          <w:tcPr>
            <w:tcW w:type="dxa" w:w="1728"/>
          </w:tcPr>
          <w:p>
            <w:pPr>
              <w:spacing w:after="40" w:before="40"/>
            </w:pPr>
            <w:r/>
            <w:r>
              <w:rPr>
                <w:sz w:val="19"/>
              </w:rPr>
              <w:t>EHR handoff documentation field</w:t>
            </w:r>
          </w:p>
        </w:tc>
      </w:tr>
      <w:tr>
        <w:tc>
          <w:tcPr>
            <w:tcW w:type="dxa" w:w="3456"/>
          </w:tcPr>
          <w:p>
            <w:pPr>
              <w:spacing w:after="40" w:before="40"/>
            </w:pPr>
            <w:r/>
            <w:r>
              <w:rPr>
                <w:sz w:val="19"/>
              </w:rPr>
              <w:t>Offered handoffs accepted by the patient</w:t>
            </w:r>
          </w:p>
        </w:tc>
        <w:tc>
          <w:tcPr>
            <w:tcW w:type="dxa" w:w="2160"/>
          </w:tcPr>
          <w:p>
            <w:pPr>
              <w:spacing w:after="40" w:before="40"/>
            </w:pPr>
            <w:r/>
            <w:r>
              <w:rPr>
                <w:sz w:val="19"/>
              </w:rPr>
              <w:t>Not measured</w:t>
            </w:r>
          </w:p>
        </w:tc>
        <w:tc>
          <w:tcPr>
            <w:tcW w:type="dxa" w:w="2016"/>
          </w:tcPr>
          <w:p>
            <w:pPr>
              <w:spacing w:after="40" w:before="40"/>
            </w:pPr>
            <w:r/>
            <w:r>
              <w:rPr>
                <w:sz w:val="19"/>
              </w:rPr>
              <w:t>55%</w:t>
            </w:r>
          </w:p>
        </w:tc>
        <w:tc>
          <w:tcPr>
            <w:tcW w:type="dxa" w:w="1728"/>
          </w:tcPr>
          <w:p>
            <w:pPr>
              <w:spacing w:after="40" w:before="40"/>
            </w:pPr>
            <w:r/>
            <w:r>
              <w:rPr>
                <w:sz w:val="19"/>
              </w:rPr>
              <w:t>EHR handoff documentation field</w:t>
            </w:r>
          </w:p>
        </w:tc>
      </w:tr>
      <w:tr>
        <w:tc>
          <w:tcPr>
            <w:tcW w:type="dxa" w:w="3456"/>
          </w:tcPr>
          <w:p>
            <w:pPr>
              <w:spacing w:after="40" w:before="40"/>
            </w:pPr>
            <w:r/>
            <w:r>
              <w:rPr>
                <w:sz w:val="19"/>
              </w:rPr>
              <w:t>Average brief-intervention sessions per patient</w:t>
            </w:r>
          </w:p>
        </w:tc>
        <w:tc>
          <w:tcPr>
            <w:tcW w:type="dxa" w:w="2160"/>
          </w:tcPr>
          <w:p>
            <w:pPr>
              <w:spacing w:after="40" w:before="40"/>
            </w:pPr>
            <w:r/>
            <w:r>
              <w:rPr>
                <w:sz w:val="19"/>
              </w:rPr>
              <w:t>Not applicable</w:t>
            </w:r>
          </w:p>
        </w:tc>
        <w:tc>
          <w:tcPr>
            <w:tcW w:type="dxa" w:w="2016"/>
          </w:tcPr>
          <w:p>
            <w:pPr>
              <w:spacing w:after="40" w:before="40"/>
            </w:pPr>
            <w:r/>
            <w:r>
              <w:rPr>
                <w:sz w:val="19"/>
              </w:rPr>
              <w:t>3.5</w:t>
            </w:r>
          </w:p>
        </w:tc>
        <w:tc>
          <w:tcPr>
            <w:tcW w:type="dxa" w:w="1728"/>
          </w:tcPr>
          <w:p>
            <w:pPr>
              <w:spacing w:after="40" w:before="40"/>
            </w:pPr>
            <w:r/>
            <w:r>
              <w:rPr>
                <w:sz w:val="19"/>
              </w:rPr>
              <w:t>EHR encounter count</w:t>
            </w:r>
          </w:p>
        </w:tc>
      </w:tr>
      <w:tr>
        <w:tc>
          <w:tcPr>
            <w:tcW w:type="dxa" w:w="3456"/>
          </w:tcPr>
          <w:p>
            <w:pPr>
              <w:spacing w:after="40" w:before="40"/>
            </w:pPr>
            <w:r/>
            <w:r>
              <w:rPr>
                <w:sz w:val="19"/>
              </w:rPr>
              <w:t>Behavioral health session no-show rate</w:t>
            </w:r>
          </w:p>
        </w:tc>
        <w:tc>
          <w:tcPr>
            <w:tcW w:type="dxa" w:w="2160"/>
          </w:tcPr>
          <w:p>
            <w:pPr>
              <w:spacing w:after="40" w:before="40"/>
            </w:pPr>
            <w:r/>
            <w:r>
              <w:rPr>
                <w:sz w:val="19"/>
              </w:rPr>
              <w:t>19% clinic-wide</w:t>
            </w:r>
          </w:p>
        </w:tc>
        <w:tc>
          <w:tcPr>
            <w:tcW w:type="dxa" w:w="2016"/>
          </w:tcPr>
          <w:p>
            <w:pPr>
              <w:spacing w:after="40" w:before="40"/>
            </w:pPr>
            <w:r/>
            <w:r>
              <w:rPr>
                <w:sz w:val="19"/>
              </w:rPr>
              <w:t>15% or lower</w:t>
            </w:r>
          </w:p>
        </w:tc>
        <w:tc>
          <w:tcPr>
            <w:tcW w:type="dxa" w:w="1728"/>
          </w:tcPr>
          <w:p>
            <w:pPr>
              <w:spacing w:after="40" w:before="40"/>
            </w:pPr>
            <w:r/>
            <w:r>
              <w:rPr>
                <w:sz w:val="19"/>
              </w:rPr>
              <w:t>Scheduling system</w:t>
            </w:r>
          </w:p>
        </w:tc>
      </w:tr>
      <w:tr>
        <w:tc>
          <w:tcPr>
            <w:tcW w:type="dxa" w:w="3456"/>
          </w:tcPr>
          <w:p>
            <w:pPr>
              <w:spacing w:after="40" w:before="40"/>
            </w:pPr>
            <w:r/>
            <w:r>
              <w:rPr>
                <w:sz w:val="19"/>
              </w:rPr>
              <w:t>Time from positive screen to first behavioral health contact</w:t>
            </w:r>
          </w:p>
        </w:tc>
        <w:tc>
          <w:tcPr>
            <w:tcW w:type="dxa" w:w="2160"/>
          </w:tcPr>
          <w:p>
            <w:pPr>
              <w:spacing w:after="40" w:before="40"/>
            </w:pPr>
            <w:r/>
            <w:r>
              <w:rPr>
                <w:sz w:val="19"/>
              </w:rPr>
              <w:t>Not measured</w:t>
            </w:r>
          </w:p>
        </w:tc>
        <w:tc>
          <w:tcPr>
            <w:tcW w:type="dxa" w:w="2016"/>
          </w:tcPr>
          <w:p>
            <w:pPr>
              <w:spacing w:after="40" w:before="40"/>
            </w:pPr>
            <w:r/>
            <w:r>
              <w:rPr>
                <w:sz w:val="19"/>
              </w:rPr>
              <w:t>Same day for 60%, within 7 days for 90%</w:t>
            </w:r>
          </w:p>
        </w:tc>
        <w:tc>
          <w:tcPr>
            <w:tcW w:type="dxa" w:w="1728"/>
          </w:tcPr>
          <w:p>
            <w:pPr>
              <w:spacing w:after="40" w:before="40"/>
            </w:pPr>
            <w:r/>
            <w:r>
              <w:rPr>
                <w:sz w:val="19"/>
              </w:rPr>
              <w:t>EHR timestamps</w:t>
            </w:r>
          </w:p>
        </w:tc>
      </w:tr>
      <w:tr>
        <w:tc>
          <w:tcPr>
            <w:tcW w:type="dxa" w:w="3456"/>
          </w:tcPr>
          <w:p>
            <w:pPr>
              <w:spacing w:after="40" w:before="40"/>
            </w:pPr>
            <w:r/>
            <w:r>
              <w:rPr>
                <w:sz w:val="19"/>
              </w:rPr>
              <w:t>Payer enrollment complete for the new clinician</w:t>
            </w:r>
          </w:p>
        </w:tc>
        <w:tc>
          <w:tcPr>
            <w:tcW w:type="dxa" w:w="2160"/>
          </w:tcPr>
          <w:p>
            <w:pPr>
              <w:spacing w:after="40" w:before="40"/>
            </w:pPr>
            <w:r/>
            <w:r>
              <w:rPr>
                <w:sz w:val="19"/>
              </w:rPr>
              <w:t>Not applicable</w:t>
            </w:r>
          </w:p>
        </w:tc>
        <w:tc>
          <w:tcPr>
            <w:tcW w:type="dxa" w:w="2016"/>
          </w:tcPr>
          <w:p>
            <w:pPr>
              <w:spacing w:after="40" w:before="40"/>
            </w:pPr>
            <w:r/>
            <w:r>
              <w:rPr>
                <w:sz w:val="19"/>
              </w:rPr>
              <w:t>By month 6</w:t>
            </w:r>
          </w:p>
        </w:tc>
        <w:tc>
          <w:tcPr>
            <w:tcW w:type="dxa" w:w="1728"/>
          </w:tcPr>
          <w:p>
            <w:pPr>
              <w:spacing w:after="40" w:before="40"/>
            </w:pPr>
            <w:r/>
            <w:r>
              <w:rPr>
                <w:sz w:val="19"/>
              </w:rPr>
              <w:t>Billing manager credentialing tracker</w:t>
            </w:r>
          </w:p>
        </w:tc>
      </w:tr>
    </w:tbl>
    <w:p>
      <w:pPr>
        <w:spacing w:after="0"/>
      </w:pPr>
    </w:p>
    <w:p>
      <w:pPr>
        <w:pStyle w:val="Heading2"/>
      </w:pPr>
      <w:r>
        <w:t>Evaluation design and reporting cadence</w:t>
      </w:r>
    </w:p>
    <w:p>
      <w:r>
        <w:rPr>
          <w:b w:val="0"/>
          <w:i w:val="0"/>
        </w:rPr>
        <w:t>The evaluation is a pre-post comparison against the clinic's own prior-year performance, using the same electronic health record reports for both periods so the denominators are constructed identically. There is no control group, and the proposal does not claim one. What the design supports is a clear statement of whether the screening rate rose, whether positive screens reached a clinician, and whether symptom scores moved for patients who completed the intervention.</w:t>
      </w:r>
    </w:p>
    <w:p>
      <w:r>
        <w:rPr>
          <w:b w:val="0"/>
          <w:i w:val="0"/>
        </w:rPr>
        <w:t>Reporting runs on three cycles. The internal quality improvement committee reviews program measures monthly against the process targets. The quality improvement coordinator pulls the full measure set quarterly, at months 6, 9, and 12, and the program workgroup reviews each pull within two weeks. The funder receives a mid-year report at month six and a final report within 60 days of the project period end, in whatever format [Funder name] specifies.</w:t>
      </w:r>
    </w:p>
    <w:p>
      <w:r>
        <w:rPr>
          <w:b w:val="0"/>
          <w:i w:val="0"/>
        </w:rPr>
        <w:t>If a quarterly pull shows a measure off target by more than 10 percentage points, the workgroup documents a corrective action with an owner and a date, and the next report states what changed. Naming that trigger in advance is more convincing than promising to monitor closely.</w:t>
      </w:r>
    </w:p>
    <w:p>
      <w:pPr>
        <w:pStyle w:val="Heading2"/>
      </w:pPr>
      <w:r>
        <w:t>Protected health information</w:t>
      </w:r>
    </w:p>
    <w:p>
      <w:r>
        <w:rPr>
          <w:b w:val="0"/>
          <w:i w:val="0"/>
        </w:rPr>
        <w:t>All external reporting is aggregate. No report to [Funder name] will contain protected health information, patient identifiers, or cell sizes small enough to identify an individual, and cells under 11 will be suppressed. Data stays inside the electronic health record and the practice management system, both of which are covered by ECHC's existing HIPAA security policies and risk analysis. If any part of the evaluation is contracted out, a business associate agreement is executed before data changes hands. Staff access follows the minimum necessary standard already in force at the clinic.</w:t>
      </w:r>
    </w:p>
    <w:p>
      <w:pPr>
        <w:pStyle w:val="Heading2"/>
      </w:pPr>
      <w:r>
        <w:t>Other recognized measures, if your program is not behavioral health</w:t>
      </w:r>
    </w:p>
    <w:p>
      <w:r>
        <w:rPr>
          <w:b w:val="0"/>
          <w:i w:val="0"/>
        </w:rPr>
        <w:t>The Uniform Data System is the annual reporting set every HRSA-funded health center submits, filed by February 15 each year for the prior calendar year. Its clinical quality measures work as a ready-made menu for any clinic proposal, whether or not the applicant is HRSA-funded. Select the measure that matches the service you are funding, then fill in the same four fields used above.</w:t>
      </w:r>
    </w:p>
    <w:tbl>
      <w:tblPr>
        <w:tblStyle w:val="LightGrid-Accent1"/>
        <w:tblW w:type="auto" w:w="0"/>
        <w:jc w:val="center"/>
        <w:tblLayout w:type="autofit"/>
        <w:tblLook w:firstColumn="1" w:firstRow="1" w:lastColumn="0" w:lastRow="0" w:noHBand="0" w:noVBand="1" w:val="04A0"/>
      </w:tblPr>
      <w:tblGrid>
        <w:gridCol w:w="3120"/>
        <w:gridCol w:w="3120"/>
        <w:gridCol w:w="3120"/>
      </w:tblGrid>
      <w:tr>
        <w:trPr>
          <w:tblHeader w:val="true"/>
        </w:trPr>
        <w:tc>
          <w:tcPr>
            <w:tcW w:type="dxa" w:w="2880"/>
          </w:tcPr>
          <w:p>
            <w:pPr>
              <w:spacing w:after="40" w:before="40"/>
            </w:pPr>
            <w:r/>
            <w:r>
              <w:rPr>
                <w:b/>
                <w:sz w:val="19"/>
              </w:rPr>
              <w:t>Measure</w:t>
            </w:r>
          </w:p>
        </w:tc>
        <w:tc>
          <w:tcPr>
            <w:tcW w:type="dxa" w:w="2736"/>
          </w:tcPr>
          <w:p>
            <w:pPr>
              <w:spacing w:after="40" w:before="40"/>
            </w:pPr>
            <w:r/>
            <w:r>
              <w:rPr>
                <w:b/>
                <w:sz w:val="19"/>
              </w:rPr>
              <w:t>UDS reference, 2025 reporting cycle</w:t>
            </w:r>
          </w:p>
        </w:tc>
        <w:tc>
          <w:tcPr>
            <w:tcW w:type="dxa" w:w="3456"/>
          </w:tcPr>
          <w:p>
            <w:pPr>
              <w:spacing w:after="40" w:before="40"/>
            </w:pPr>
            <w:r/>
            <w:r>
              <w:rPr>
                <w:b/>
                <w:sz w:val="19"/>
              </w:rPr>
              <w:t>What your proposal states</w:t>
            </w:r>
          </w:p>
        </w:tc>
      </w:tr>
      <w:tr>
        <w:tc>
          <w:tcPr>
            <w:tcW w:type="dxa" w:w="2880"/>
          </w:tcPr>
          <w:p>
            <w:pPr>
              <w:spacing w:after="40" w:before="40"/>
            </w:pPr>
            <w:r/>
            <w:r>
              <w:rPr>
                <w:sz w:val="19"/>
              </w:rPr>
              <w:t>Depression screening and follow-up plan</w:t>
            </w:r>
          </w:p>
        </w:tc>
        <w:tc>
          <w:tcPr>
            <w:tcW w:type="dxa" w:w="2736"/>
          </w:tcPr>
          <w:p>
            <w:pPr>
              <w:spacing w:after="40" w:before="40"/>
            </w:pPr>
            <w:r/>
            <w:r>
              <w:rPr>
                <w:sz w:val="19"/>
              </w:rPr>
              <w:t>Table 6B, CMS2v14</w:t>
            </w:r>
          </w:p>
        </w:tc>
        <w:tc>
          <w:tcPr>
            <w:tcW w:type="dxa" w:w="3456"/>
          </w:tcPr>
          <w:p>
            <w:pPr>
              <w:spacing w:after="40" w:before="40"/>
            </w:pPr>
            <w:r/>
            <w:r>
              <w:rPr>
                <w:sz w:val="19"/>
              </w:rPr>
              <w:t>Baseline screening rate, target rate, EHR report as source</w:t>
            </w:r>
          </w:p>
        </w:tc>
      </w:tr>
      <w:tr>
        <w:tc>
          <w:tcPr>
            <w:tcW w:type="dxa" w:w="2880"/>
          </w:tcPr>
          <w:p>
            <w:pPr>
              <w:spacing w:after="40" w:before="40"/>
            </w:pPr>
            <w:r/>
            <w:r>
              <w:rPr>
                <w:sz w:val="19"/>
              </w:rPr>
              <w:t>Colorectal cancer screening</w:t>
            </w:r>
          </w:p>
        </w:tc>
        <w:tc>
          <w:tcPr>
            <w:tcW w:type="dxa" w:w="2736"/>
          </w:tcPr>
          <w:p>
            <w:pPr>
              <w:spacing w:after="40" w:before="40"/>
            </w:pPr>
            <w:r/>
            <w:r>
              <w:rPr>
                <w:sz w:val="19"/>
              </w:rPr>
              <w:t>Table 6B, CMS130v13</w:t>
            </w:r>
          </w:p>
        </w:tc>
        <w:tc>
          <w:tcPr>
            <w:tcW w:type="dxa" w:w="3456"/>
          </w:tcPr>
          <w:p>
            <w:pPr>
              <w:spacing w:after="40" w:before="40"/>
            </w:pPr>
            <w:r/>
            <w:r>
              <w:rPr>
                <w:sz w:val="19"/>
              </w:rPr>
              <w:t>Eligible panel size, current rate, quarterly target</w:t>
            </w:r>
          </w:p>
        </w:tc>
      </w:tr>
      <w:tr>
        <w:tc>
          <w:tcPr>
            <w:tcW w:type="dxa" w:w="2880"/>
          </w:tcPr>
          <w:p>
            <w:pPr>
              <w:spacing w:after="40" w:before="40"/>
            </w:pPr>
            <w:r/>
            <w:r>
              <w:rPr>
                <w:sz w:val="19"/>
              </w:rPr>
              <w:t>Childhood immunization status</w:t>
            </w:r>
          </w:p>
        </w:tc>
        <w:tc>
          <w:tcPr>
            <w:tcW w:type="dxa" w:w="2736"/>
          </w:tcPr>
          <w:p>
            <w:pPr>
              <w:spacing w:after="40" w:before="40"/>
            </w:pPr>
            <w:r/>
            <w:r>
              <w:rPr>
                <w:sz w:val="19"/>
              </w:rPr>
              <w:t>Table 6B, CMS117v13</w:t>
            </w:r>
          </w:p>
        </w:tc>
        <w:tc>
          <w:tcPr>
            <w:tcW w:type="dxa" w:w="3456"/>
          </w:tcPr>
          <w:p>
            <w:pPr>
              <w:spacing w:after="40" w:before="40"/>
            </w:pPr>
            <w:r/>
            <w:r>
              <w:rPr>
                <w:sz w:val="19"/>
              </w:rPr>
              <w:t>Cohort definition and registry data source</w:t>
            </w:r>
          </w:p>
        </w:tc>
      </w:tr>
      <w:tr>
        <w:tc>
          <w:tcPr>
            <w:tcW w:type="dxa" w:w="2880"/>
          </w:tcPr>
          <w:p>
            <w:pPr>
              <w:spacing w:after="40" w:before="40"/>
            </w:pPr>
            <w:r/>
            <w:r>
              <w:rPr>
                <w:sz w:val="19"/>
              </w:rPr>
              <w:t>Cervical cancer screening</w:t>
            </w:r>
          </w:p>
        </w:tc>
        <w:tc>
          <w:tcPr>
            <w:tcW w:type="dxa" w:w="2736"/>
          </w:tcPr>
          <w:p>
            <w:pPr>
              <w:spacing w:after="40" w:before="40"/>
            </w:pPr>
            <w:r/>
            <w:r>
              <w:rPr>
                <w:sz w:val="19"/>
              </w:rPr>
              <w:t>Table 6B, CMS124v13</w:t>
            </w:r>
          </w:p>
        </w:tc>
        <w:tc>
          <w:tcPr>
            <w:tcW w:type="dxa" w:w="3456"/>
          </w:tcPr>
          <w:p>
            <w:pPr>
              <w:spacing w:after="40" w:before="40"/>
            </w:pPr>
            <w:r/>
            <w:r>
              <w:rPr>
                <w:sz w:val="19"/>
              </w:rPr>
              <w:t>Panel denominator and outreach method</w:t>
            </w:r>
          </w:p>
        </w:tc>
      </w:tr>
      <w:tr>
        <w:tc>
          <w:tcPr>
            <w:tcW w:type="dxa" w:w="2880"/>
          </w:tcPr>
          <w:p>
            <w:pPr>
              <w:spacing w:after="40" w:before="40"/>
            </w:pPr>
            <w:r/>
            <w:r>
              <w:rPr>
                <w:sz w:val="19"/>
              </w:rPr>
              <w:t>Tobacco screening and cessation intervention</w:t>
            </w:r>
          </w:p>
        </w:tc>
        <w:tc>
          <w:tcPr>
            <w:tcW w:type="dxa" w:w="2736"/>
          </w:tcPr>
          <w:p>
            <w:pPr>
              <w:spacing w:after="40" w:before="40"/>
            </w:pPr>
            <w:r/>
            <w:r>
              <w:rPr>
                <w:sz w:val="19"/>
              </w:rPr>
              <w:t>Table 6B, CMS138v13</w:t>
            </w:r>
          </w:p>
        </w:tc>
        <w:tc>
          <w:tcPr>
            <w:tcW w:type="dxa" w:w="3456"/>
          </w:tcPr>
          <w:p>
            <w:pPr>
              <w:spacing w:after="40" w:before="40"/>
            </w:pPr>
            <w:r/>
            <w:r>
              <w:rPr>
                <w:sz w:val="19"/>
              </w:rPr>
              <w:t>Screening rate plus intervention rate</w:t>
            </w:r>
          </w:p>
        </w:tc>
      </w:tr>
      <w:tr>
        <w:tc>
          <w:tcPr>
            <w:tcW w:type="dxa" w:w="2880"/>
          </w:tcPr>
          <w:p>
            <w:pPr>
              <w:spacing w:after="40" w:before="40"/>
            </w:pPr>
            <w:r/>
            <w:r>
              <w:rPr>
                <w:sz w:val="19"/>
              </w:rPr>
              <w:t>Early entry into prenatal care</w:t>
            </w:r>
          </w:p>
        </w:tc>
        <w:tc>
          <w:tcPr>
            <w:tcW w:type="dxa" w:w="2736"/>
          </w:tcPr>
          <w:p>
            <w:pPr>
              <w:spacing w:after="40" w:before="40"/>
            </w:pPr>
            <w:r/>
            <w:r>
              <w:rPr>
                <w:sz w:val="19"/>
              </w:rPr>
              <w:t>Table 6B, Section B</w:t>
            </w:r>
          </w:p>
        </w:tc>
        <w:tc>
          <w:tcPr>
            <w:tcW w:type="dxa" w:w="3456"/>
          </w:tcPr>
          <w:p>
            <w:pPr>
              <w:spacing w:after="40" w:before="40"/>
            </w:pPr>
            <w:r/>
            <w:r>
              <w:rPr>
                <w:sz w:val="19"/>
              </w:rPr>
              <w:t>First-trimester entry count and referral pathway</w:t>
            </w:r>
          </w:p>
        </w:tc>
      </w:tr>
    </w:tbl>
    <w:p>
      <w:pPr>
        <w:spacing w:after="0"/>
      </w:pPr>
    </w:p>
    <w:p>
      <w:r>
        <w:br w:type="page"/>
      </w:r>
    </w:p>
    <w:p>
      <w:pPr>
        <w:pStyle w:val="Heading1"/>
      </w:pPr>
      <w:r>
        <w:t>Organizational Capacity</w:t>
      </w:r>
    </w:p>
    <w:p>
      <w:pPr>
        <w:pStyle w:val="Heading2"/>
      </w:pPr>
      <w:r>
        <w:t>Organization profile</w:t>
      </w:r>
    </w:p>
    <w:p>
      <w:r>
        <w:rPr>
          <w:b w:val="0"/>
          <w:i w:val="0"/>
        </w:rPr>
        <w:t>Example Community Health Center is a private nonprofit primary care clinic incorporated 14 years ago and recognized as tax exempt under Section 501(c)(3). It operates two sites in Meadow County: a main clinic open five days a week with two evening clinics, and a satellite open three days a week. In the most recent complete year the clinic served 3,300 unique patients across 8,900 visits, of which 6,000 were adult primary care visits. Staff number 31, including four full-time-equivalent primary care providers, and the annual operating budget is $4.1 million.</w:t>
      </w:r>
    </w:p>
    <w:p>
      <w:r>
        <w:rPr>
          <w:b w:val="0"/>
          <w:i w:val="0"/>
        </w:rPr>
        <w:t>ECHC is not a Health Center Program awardee. It operates under a state clinic license, maintains a voluntary sliding fee discount schedule, and derives revenue from Medicaid and commercial billing, a county health department contract, hospital community benefit support, and philanthropy.</w:t>
      </w:r>
    </w:p>
    <w:p>
      <w:pPr>
        <w:pStyle w:val="Heading2"/>
      </w:pPr>
      <w:r>
        <w:t>Licensure, credentialing, and clinical governance</w:t>
      </w:r>
    </w:p>
    <w:p>
      <w:r>
        <w:rPr>
          <w:b w:val="0"/>
          <w:i w:val="0"/>
        </w:rPr>
        <w:t>The clinic holds a current state license for both sites, enclosed as Attachment D. Every clinical position is credentialed and privileged through a documented process before the first patient contact: primary source license verification, National Practitioner Data Bank query, malpractice history review, and privileging approved by the clinical director. The provider roster with license numbers, expiration dates, and current credentialing status is Attachment E.</w:t>
      </w:r>
    </w:p>
    <w:p>
      <w:r>
        <w:rPr>
          <w:b w:val="0"/>
          <w:i w:val="0"/>
        </w:rPr>
        <w:t>The behavioral health clinician funded by this grant enters the same process. The proposal treats credentialing and payer enrollment as a scheduled milestone with an owner rather than an assumption, because it is the most common cause of delay in a grant-funded clinical hire.</w:t>
      </w:r>
    </w:p>
    <w:p>
      <w:r>
        <w:rPr>
          <w:b w:val="0"/>
          <w:i w:val="0"/>
        </w:rPr>
        <w:t>A quality improvement committee including the clinical director, the quality improvement coordinator, a provider representative, and a patient representative meets monthly and reports to the board quarterly. The current quality improvement plan is Attachment G.</w:t>
      </w:r>
    </w:p>
    <w:p>
      <w:pPr>
        <w:pStyle w:val="Heading2"/>
      </w:pPr>
      <w:r>
        <w:t>Prior grant performance</w:t>
      </w:r>
    </w:p>
    <w:p>
      <w:r>
        <w:rPr>
          <w:b w:val="0"/>
          <w:i w:val="0"/>
        </w:rPr>
        <w:t>ECHC has administered restricted grants and government contracts for eleven consecutive years without a finding, a disallowed cost, or a late report. Recent examples, described by type rather than by funder name in this template, include a state office of rural health equipment award that replaced point-of-care testing equipment at both sites and closed on schedule with a full final report, and a multi-year county health department outreach contract that has been renewed three times against annual performance measures.</w:t>
      </w:r>
    </w:p>
    <w:p>
      <w:r>
        <w:rPr>
          <w:b w:val="0"/>
          <w:i w:val="0"/>
        </w:rPr>
        <w:t>The most recent independent audit contains no material weaknesses, no significant deficiencies, and no management letter comments requiring corrective action. Audited financial statements for the two most recent fiscal years are Attachment B.</w:t>
      </w:r>
    </w:p>
    <w:p>
      <w:pPr>
        <w:pStyle w:val="IntenseQuote"/>
      </w:pPr>
      <w:r>
        <w:rPr>
          <w:b/>
        </w:rPr>
        <w:t xml:space="preserve">Adaptation note. </w:t>
      </w:r>
      <w:r>
        <w:t>Replace this section with your own history and name the actual funders and awards. Reviewers check prior performance, and a specific award with a specific outcome is worth more than a general claim of good stewardship.</w:t>
      </w:r>
    </w:p>
    <w:p>
      <w:pPr>
        <w:pStyle w:val="Heading2"/>
      </w:pPr>
      <w:r>
        <w:t>Financial and data systems</w:t>
      </w:r>
    </w:p>
    <w:p>
      <w:r>
        <w:rPr>
          <w:b w:val="0"/>
          <w:i w:val="0"/>
        </w:rPr>
        <w:t>The clinic runs an integrated electronic health record and practice management system with certified clinical quality measure reporting, which is what makes the measures in this proposal reportable without manual chart review. Accounting is on the accrual basis in a fund accounting system that tracks restricted revenue and expense by grant, allowing this program's costs to be reported separately from the first month.</w:t>
      </w:r>
    </w:p>
    <w:p>
      <w:r>
        <w:br w:type="page"/>
      </w:r>
    </w:p>
    <w:p>
      <w:pPr>
        <w:pStyle w:val="Heading1"/>
      </w:pPr>
      <w:r>
        <w:t>Budget and Budget Narrative</w:t>
      </w:r>
    </w:p>
    <w:p>
      <w:r>
        <w:rPr>
          <w:b w:val="0"/>
          <w:i w:val="0"/>
        </w:rPr>
        <w:t>A clinic budget is mostly people, so the first thing a reviewer tests is whether the salary lines can produce the visit volume the narrative projects. Each line below states its basis, because a figure without a stated basis reads as a plug.</w:t>
      </w:r>
    </w:p>
    <w:p>
      <w:pPr>
        <w:pStyle w:val="Heading2"/>
      </w:pPr>
      <w:r>
        <w:t>Year one line-item budget</w:t>
      </w:r>
    </w:p>
    <w:tbl>
      <w:tblPr>
        <w:tblStyle w:val="LightGrid-Accent1"/>
        <w:tblW w:type="auto" w:w="0"/>
        <w:jc w:val="center"/>
        <w:tblLayout w:type="autofit"/>
        <w:tblLook w:firstColumn="1" w:firstRow="1" w:lastColumn="0" w:lastRow="0" w:noHBand="0" w:noVBand="1" w:val="04A0"/>
      </w:tblPr>
      <w:tblGrid>
        <w:gridCol w:w="3120"/>
        <w:gridCol w:w="3120"/>
        <w:gridCol w:w="3120"/>
      </w:tblGrid>
      <w:tr>
        <w:trPr>
          <w:tblHeader w:val="true"/>
        </w:trPr>
        <w:tc>
          <w:tcPr>
            <w:tcW w:type="dxa" w:w="3744"/>
          </w:tcPr>
          <w:p>
            <w:pPr>
              <w:spacing w:after="40" w:before="40"/>
            </w:pPr>
            <w:r/>
            <w:r>
              <w:rPr>
                <w:b/>
                <w:sz w:val="19"/>
              </w:rPr>
              <w:t>Line item</w:t>
            </w:r>
          </w:p>
        </w:tc>
        <w:tc>
          <w:tcPr>
            <w:tcW w:type="dxa" w:w="1296"/>
          </w:tcPr>
          <w:p>
            <w:pPr>
              <w:spacing w:after="40" w:before="40"/>
            </w:pPr>
            <w:r/>
            <w:r>
              <w:rPr>
                <w:b/>
                <w:sz w:val="19"/>
              </w:rPr>
              <w:t>Year 1</w:t>
            </w:r>
          </w:p>
        </w:tc>
        <w:tc>
          <w:tcPr>
            <w:tcW w:type="dxa" w:w="4032"/>
          </w:tcPr>
          <w:p>
            <w:pPr>
              <w:spacing w:after="40" w:before="40"/>
            </w:pPr>
            <w:r/>
            <w:r>
              <w:rPr>
                <w:b/>
                <w:sz w:val="19"/>
              </w:rPr>
              <w:t>Basis stated in the narrative</w:t>
            </w:r>
          </w:p>
        </w:tc>
      </w:tr>
      <w:tr>
        <w:tc>
          <w:tcPr>
            <w:tcW w:type="dxa" w:w="3744"/>
          </w:tcPr>
          <w:p>
            <w:pPr>
              <w:spacing w:after="40" w:before="40"/>
            </w:pPr>
            <w:r/>
            <w:r>
              <w:rPr>
                <w:sz w:val="19"/>
              </w:rPr>
              <w:t>Licensed clinical social worker, 1.0 FTE</w:t>
            </w:r>
          </w:p>
        </w:tc>
        <w:tc>
          <w:tcPr>
            <w:tcW w:type="dxa" w:w="1296"/>
          </w:tcPr>
          <w:p>
            <w:pPr>
              <w:spacing w:after="40" w:before="40"/>
            </w:pPr>
            <w:r/>
            <w:r>
              <w:rPr>
                <w:sz w:val="19"/>
              </w:rPr>
              <w:t>$78,000</w:t>
            </w:r>
          </w:p>
        </w:tc>
        <w:tc>
          <w:tcPr>
            <w:tcW w:type="dxa" w:w="4032"/>
          </w:tcPr>
          <w:p>
            <w:pPr>
              <w:spacing w:after="40" w:before="40"/>
            </w:pPr>
            <w:r/>
            <w:r>
              <w:rPr>
                <w:sz w:val="19"/>
              </w:rPr>
              <w:t>Regional salary survey midpoint for the position</w:t>
            </w:r>
          </w:p>
        </w:tc>
      </w:tr>
      <w:tr>
        <w:tc>
          <w:tcPr>
            <w:tcW w:type="dxa" w:w="3744"/>
          </w:tcPr>
          <w:p>
            <w:pPr>
              <w:spacing w:after="40" w:before="40"/>
            </w:pPr>
            <w:r/>
            <w:r>
              <w:rPr>
                <w:sz w:val="19"/>
              </w:rPr>
              <w:t>Community health worker, 0.5 FTE</w:t>
            </w:r>
          </w:p>
        </w:tc>
        <w:tc>
          <w:tcPr>
            <w:tcW w:type="dxa" w:w="1296"/>
          </w:tcPr>
          <w:p>
            <w:pPr>
              <w:spacing w:after="40" w:before="40"/>
            </w:pPr>
            <w:r/>
            <w:r>
              <w:rPr>
                <w:sz w:val="19"/>
              </w:rPr>
              <w:t>$19,500</w:t>
            </w:r>
          </w:p>
        </w:tc>
        <w:tc>
          <w:tcPr>
            <w:tcW w:type="dxa" w:w="4032"/>
          </w:tcPr>
          <w:p>
            <w:pPr>
              <w:spacing w:after="40" w:before="40"/>
            </w:pPr>
            <w:r/>
            <w:r>
              <w:rPr>
                <w:sz w:val="19"/>
              </w:rPr>
              <w:t>Half of a $39,000 full-time salary</w:t>
            </w:r>
          </w:p>
        </w:tc>
      </w:tr>
      <w:tr>
        <w:tc>
          <w:tcPr>
            <w:tcW w:type="dxa" w:w="3744"/>
          </w:tcPr>
          <w:p>
            <w:pPr>
              <w:spacing w:after="40" w:before="40"/>
            </w:pPr>
            <w:r/>
            <w:r>
              <w:rPr>
                <w:sz w:val="19"/>
              </w:rPr>
              <w:t>Medical assistant, 0.25 FTE</w:t>
            </w:r>
          </w:p>
        </w:tc>
        <w:tc>
          <w:tcPr>
            <w:tcW w:type="dxa" w:w="1296"/>
          </w:tcPr>
          <w:p>
            <w:pPr>
              <w:spacing w:after="40" w:before="40"/>
            </w:pPr>
            <w:r/>
            <w:r>
              <w:rPr>
                <w:sz w:val="19"/>
              </w:rPr>
              <w:t>$9,400</w:t>
            </w:r>
          </w:p>
        </w:tc>
        <w:tc>
          <w:tcPr>
            <w:tcW w:type="dxa" w:w="4032"/>
          </w:tcPr>
          <w:p>
            <w:pPr>
              <w:spacing w:after="40" w:before="40"/>
            </w:pPr>
            <w:r/>
            <w:r>
              <w:rPr>
                <w:sz w:val="19"/>
              </w:rPr>
              <w:t>One quarter of an existing $37,600 position, screening time only</w:t>
            </w:r>
          </w:p>
        </w:tc>
      </w:tr>
      <w:tr>
        <w:tc>
          <w:tcPr>
            <w:tcW w:type="dxa" w:w="3744"/>
          </w:tcPr>
          <w:p>
            <w:pPr>
              <w:spacing w:after="40" w:before="40"/>
            </w:pPr>
            <w:r/>
            <w:r>
              <w:rPr>
                <w:b/>
                <w:sz w:val="19"/>
              </w:rPr>
              <w:t>Salary subtotal</w:t>
            </w:r>
          </w:p>
        </w:tc>
        <w:tc>
          <w:tcPr>
            <w:tcW w:type="dxa" w:w="1296"/>
          </w:tcPr>
          <w:p>
            <w:pPr>
              <w:spacing w:after="40" w:before="40"/>
            </w:pPr>
            <w:r/>
            <w:r>
              <w:rPr>
                <w:b/>
                <w:sz w:val="19"/>
              </w:rPr>
              <w:t>$106,900</w:t>
            </w:r>
          </w:p>
        </w:tc>
        <w:tc>
          <w:tcPr>
            <w:tcW w:type="dxa" w:w="4032"/>
          </w:tcPr>
          <w:p>
            <w:pPr>
              <w:spacing w:after="40" w:before="40"/>
            </w:pPr>
            <w:r/>
            <w:r>
              <w:rPr>
                <w:b/>
                <w:sz w:val="19"/>
              </w:rPr>
            </w:r>
          </w:p>
        </w:tc>
      </w:tr>
      <w:tr>
        <w:tc>
          <w:tcPr>
            <w:tcW w:type="dxa" w:w="3744"/>
          </w:tcPr>
          <w:p>
            <w:pPr>
              <w:spacing w:after="40" w:before="40"/>
            </w:pPr>
            <w:r/>
            <w:r>
              <w:rPr>
                <w:sz w:val="19"/>
              </w:rPr>
              <w:t>Fringe benefits, 26 percent</w:t>
            </w:r>
          </w:p>
        </w:tc>
        <w:tc>
          <w:tcPr>
            <w:tcW w:type="dxa" w:w="1296"/>
          </w:tcPr>
          <w:p>
            <w:pPr>
              <w:spacing w:after="40" w:before="40"/>
            </w:pPr>
            <w:r/>
            <w:r>
              <w:rPr>
                <w:sz w:val="19"/>
              </w:rPr>
              <w:t>$27,794</w:t>
            </w:r>
          </w:p>
        </w:tc>
        <w:tc>
          <w:tcPr>
            <w:tcW w:type="dxa" w:w="4032"/>
          </w:tcPr>
          <w:p>
            <w:pPr>
              <w:spacing w:after="40" w:before="40"/>
            </w:pPr>
            <w:r/>
            <w:r>
              <w:rPr>
                <w:sz w:val="19"/>
              </w:rPr>
              <w:t>26 percent of the salary subtotal, organization-wide rate from the most recent audit</w:t>
            </w:r>
          </w:p>
        </w:tc>
      </w:tr>
      <w:tr>
        <w:tc>
          <w:tcPr>
            <w:tcW w:type="dxa" w:w="3744"/>
          </w:tcPr>
          <w:p>
            <w:pPr>
              <w:spacing w:after="40" w:before="40"/>
            </w:pPr>
            <w:r/>
            <w:r>
              <w:rPr>
                <w:sz w:val="19"/>
              </w:rPr>
              <w:t>EHR screening template build and reporting setup</w:t>
            </w:r>
          </w:p>
        </w:tc>
        <w:tc>
          <w:tcPr>
            <w:tcW w:type="dxa" w:w="1296"/>
          </w:tcPr>
          <w:p>
            <w:pPr>
              <w:spacing w:after="40" w:before="40"/>
            </w:pPr>
            <w:r/>
            <w:r>
              <w:rPr>
                <w:sz w:val="19"/>
              </w:rPr>
              <w:t>$6,500</w:t>
            </w:r>
          </w:p>
        </w:tc>
        <w:tc>
          <w:tcPr>
            <w:tcW w:type="dxa" w:w="4032"/>
          </w:tcPr>
          <w:p>
            <w:pPr>
              <w:spacing w:after="40" w:before="40"/>
            </w:pPr>
            <w:r/>
            <w:r>
              <w:rPr>
                <w:sz w:val="19"/>
              </w:rPr>
              <w:t>Vendor quote, 50 hours at $130, one time</w:t>
            </w:r>
          </w:p>
        </w:tc>
      </w:tr>
      <w:tr>
        <w:tc>
          <w:tcPr>
            <w:tcW w:type="dxa" w:w="3744"/>
          </w:tcPr>
          <w:p>
            <w:pPr>
              <w:spacing w:after="40" w:before="40"/>
            </w:pPr>
            <w:r/>
            <w:r>
              <w:rPr>
                <w:sz w:val="19"/>
              </w:rPr>
              <w:t>Interpreter services</w:t>
            </w:r>
          </w:p>
        </w:tc>
        <w:tc>
          <w:tcPr>
            <w:tcW w:type="dxa" w:w="1296"/>
          </w:tcPr>
          <w:p>
            <w:pPr>
              <w:spacing w:after="40" w:before="40"/>
            </w:pPr>
            <w:r/>
            <w:r>
              <w:rPr>
                <w:sz w:val="19"/>
              </w:rPr>
              <w:t>$4,800</w:t>
            </w:r>
          </w:p>
        </w:tc>
        <w:tc>
          <w:tcPr>
            <w:tcW w:type="dxa" w:w="4032"/>
          </w:tcPr>
          <w:p>
            <w:pPr>
              <w:spacing w:after="40" w:before="40"/>
            </w:pPr>
            <w:r/>
            <w:r>
              <w:rPr>
                <w:sz w:val="19"/>
              </w:rPr>
              <w:t>160 contracted hours at $30</w:t>
            </w:r>
          </w:p>
        </w:tc>
      </w:tr>
      <w:tr>
        <w:tc>
          <w:tcPr>
            <w:tcW w:type="dxa" w:w="3744"/>
          </w:tcPr>
          <w:p>
            <w:pPr>
              <w:spacing w:after="40" w:before="40"/>
            </w:pPr>
            <w:r/>
            <w:r>
              <w:rPr>
                <w:sz w:val="19"/>
              </w:rPr>
              <w:t>Point-of-care and screening supplies</w:t>
            </w:r>
          </w:p>
        </w:tc>
        <w:tc>
          <w:tcPr>
            <w:tcW w:type="dxa" w:w="1296"/>
          </w:tcPr>
          <w:p>
            <w:pPr>
              <w:spacing w:after="40" w:before="40"/>
            </w:pPr>
            <w:r/>
            <w:r>
              <w:rPr>
                <w:sz w:val="19"/>
              </w:rPr>
              <w:t>$3,060</w:t>
            </w:r>
          </w:p>
        </w:tc>
        <w:tc>
          <w:tcPr>
            <w:tcW w:type="dxa" w:w="4032"/>
          </w:tcPr>
          <w:p>
            <w:pPr>
              <w:spacing w:after="40" w:before="40"/>
            </w:pPr>
            <w:r/>
            <w:r>
              <w:rPr>
                <w:sz w:val="19"/>
              </w:rPr>
              <w:t>5,100 projected screens at $0.60 each</w:t>
            </w:r>
          </w:p>
        </w:tc>
      </w:tr>
      <w:tr>
        <w:tc>
          <w:tcPr>
            <w:tcW w:type="dxa" w:w="3744"/>
          </w:tcPr>
          <w:p>
            <w:pPr>
              <w:spacing w:after="40" w:before="40"/>
            </w:pPr>
            <w:r/>
            <w:r>
              <w:rPr>
                <w:sz w:val="19"/>
              </w:rPr>
              <w:t>Patient transportation support</w:t>
            </w:r>
          </w:p>
        </w:tc>
        <w:tc>
          <w:tcPr>
            <w:tcW w:type="dxa" w:w="1296"/>
          </w:tcPr>
          <w:p>
            <w:pPr>
              <w:spacing w:after="40" w:before="40"/>
            </w:pPr>
            <w:r/>
            <w:r>
              <w:rPr>
                <w:sz w:val="19"/>
              </w:rPr>
              <w:t>$4,000</w:t>
            </w:r>
          </w:p>
        </w:tc>
        <w:tc>
          <w:tcPr>
            <w:tcW w:type="dxa" w:w="4032"/>
          </w:tcPr>
          <w:p>
            <w:pPr>
              <w:spacing w:after="40" w:before="40"/>
            </w:pPr>
            <w:r/>
            <w:r>
              <w:rPr>
                <w:sz w:val="19"/>
              </w:rPr>
              <w:t>400 round-trip vouchers at $10</w:t>
            </w:r>
          </w:p>
        </w:tc>
      </w:tr>
      <w:tr>
        <w:tc>
          <w:tcPr>
            <w:tcW w:type="dxa" w:w="3744"/>
          </w:tcPr>
          <w:p>
            <w:pPr>
              <w:spacing w:after="40" w:before="40"/>
            </w:pPr>
            <w:r/>
            <w:r>
              <w:rPr>
                <w:sz w:val="19"/>
              </w:rPr>
              <w:t>Clinician professional liability coverage</w:t>
            </w:r>
          </w:p>
        </w:tc>
        <w:tc>
          <w:tcPr>
            <w:tcW w:type="dxa" w:w="1296"/>
          </w:tcPr>
          <w:p>
            <w:pPr>
              <w:spacing w:after="40" w:before="40"/>
            </w:pPr>
            <w:r/>
            <w:r>
              <w:rPr>
                <w:sz w:val="19"/>
              </w:rPr>
              <w:t>$3,600</w:t>
            </w:r>
          </w:p>
        </w:tc>
        <w:tc>
          <w:tcPr>
            <w:tcW w:type="dxa" w:w="4032"/>
          </w:tcPr>
          <w:p>
            <w:pPr>
              <w:spacing w:after="40" w:before="40"/>
            </w:pPr>
            <w:r/>
            <w:r>
              <w:rPr>
                <w:sz w:val="19"/>
              </w:rPr>
              <w:t>Quoted annual premium for the added position</w:t>
            </w:r>
          </w:p>
        </w:tc>
      </w:tr>
      <w:tr>
        <w:tc>
          <w:tcPr>
            <w:tcW w:type="dxa" w:w="3744"/>
          </w:tcPr>
          <w:p>
            <w:pPr>
              <w:spacing w:after="40" w:before="40"/>
            </w:pPr>
            <w:r/>
            <w:r>
              <w:rPr>
                <w:sz w:val="19"/>
              </w:rPr>
              <w:t>Staff training and licensure fees</w:t>
            </w:r>
          </w:p>
        </w:tc>
        <w:tc>
          <w:tcPr>
            <w:tcW w:type="dxa" w:w="1296"/>
          </w:tcPr>
          <w:p>
            <w:pPr>
              <w:spacing w:after="40" w:before="40"/>
            </w:pPr>
            <w:r/>
            <w:r>
              <w:rPr>
                <w:sz w:val="19"/>
              </w:rPr>
              <w:t>$2,700</w:t>
            </w:r>
          </w:p>
        </w:tc>
        <w:tc>
          <w:tcPr>
            <w:tcW w:type="dxa" w:w="4032"/>
          </w:tcPr>
          <w:p>
            <w:pPr>
              <w:spacing w:after="40" w:before="40"/>
            </w:pPr>
            <w:r/>
            <w:r>
              <w:rPr>
                <w:sz w:val="19"/>
              </w:rPr>
              <w:t>Three staff at $900 for evidence-based intervention training</w:t>
            </w:r>
          </w:p>
        </w:tc>
      </w:tr>
      <w:tr>
        <w:tc>
          <w:tcPr>
            <w:tcW w:type="dxa" w:w="3744"/>
          </w:tcPr>
          <w:p>
            <w:pPr>
              <w:spacing w:after="40" w:before="40"/>
            </w:pPr>
            <w:r/>
            <w:r>
              <w:rPr>
                <w:sz w:val="19"/>
              </w:rPr>
              <w:t>Uninsured visit subsidy</w:t>
            </w:r>
          </w:p>
        </w:tc>
        <w:tc>
          <w:tcPr>
            <w:tcW w:type="dxa" w:w="1296"/>
          </w:tcPr>
          <w:p>
            <w:pPr>
              <w:spacing w:after="40" w:before="40"/>
            </w:pPr>
            <w:r/>
            <w:r>
              <w:rPr>
                <w:sz w:val="19"/>
              </w:rPr>
              <w:t>$14,160</w:t>
            </w:r>
          </w:p>
        </w:tc>
        <w:tc>
          <w:tcPr>
            <w:tcW w:type="dxa" w:w="4032"/>
          </w:tcPr>
          <w:p>
            <w:pPr>
              <w:spacing w:after="40" w:before="40"/>
            </w:pPr>
            <w:r/>
            <w:r>
              <w:rPr>
                <w:sz w:val="19"/>
              </w:rPr>
              <w:t>354 encounters, 30 percent of the projected caseload, at $40 unreimbursed after the sliding fee discount</w:t>
            </w:r>
          </w:p>
        </w:tc>
      </w:tr>
      <w:tr>
        <w:tc>
          <w:tcPr>
            <w:tcW w:type="dxa" w:w="3744"/>
          </w:tcPr>
          <w:p>
            <w:pPr>
              <w:spacing w:after="40" w:before="40"/>
            </w:pPr>
            <w:r/>
            <w:r>
              <w:rPr>
                <w:b/>
                <w:sz w:val="19"/>
              </w:rPr>
              <w:t>Total direct costs</w:t>
            </w:r>
          </w:p>
        </w:tc>
        <w:tc>
          <w:tcPr>
            <w:tcW w:type="dxa" w:w="1296"/>
          </w:tcPr>
          <w:p>
            <w:pPr>
              <w:spacing w:after="40" w:before="40"/>
            </w:pPr>
            <w:r/>
            <w:r>
              <w:rPr>
                <w:b/>
                <w:sz w:val="19"/>
              </w:rPr>
              <w:t>$173,514</w:t>
            </w:r>
          </w:p>
        </w:tc>
        <w:tc>
          <w:tcPr>
            <w:tcW w:type="dxa" w:w="4032"/>
          </w:tcPr>
          <w:p>
            <w:pPr>
              <w:spacing w:after="40" w:before="40"/>
            </w:pPr>
            <w:r/>
            <w:r>
              <w:rPr>
                <w:b/>
                <w:sz w:val="19"/>
              </w:rPr>
            </w:r>
          </w:p>
        </w:tc>
      </w:tr>
      <w:tr>
        <w:tc>
          <w:tcPr>
            <w:tcW w:type="dxa" w:w="3744"/>
          </w:tcPr>
          <w:p>
            <w:pPr>
              <w:spacing w:after="40" w:before="40"/>
            </w:pPr>
            <w:r/>
            <w:r>
              <w:rPr>
                <w:sz w:val="19"/>
              </w:rPr>
              <w:t>Indirect costs</w:t>
            </w:r>
          </w:p>
        </w:tc>
        <w:tc>
          <w:tcPr>
            <w:tcW w:type="dxa" w:w="1296"/>
          </w:tcPr>
          <w:p>
            <w:pPr>
              <w:spacing w:after="40" w:before="40"/>
            </w:pPr>
            <w:r/>
            <w:r>
              <w:rPr>
                <w:sz w:val="19"/>
              </w:rPr>
              <w:t>$17,351</w:t>
            </w:r>
          </w:p>
        </w:tc>
        <w:tc>
          <w:tcPr>
            <w:tcW w:type="dxa" w:w="4032"/>
          </w:tcPr>
          <w:p>
            <w:pPr>
              <w:spacing w:after="40" w:before="40"/>
            </w:pPr>
            <w:r/>
            <w:r>
              <w:rPr>
                <w:sz w:val="19"/>
              </w:rPr>
              <w:t>10 percent of total direct costs, per the organization's negotiated indirect cost rate agreement</w:t>
            </w:r>
          </w:p>
        </w:tc>
      </w:tr>
      <w:tr>
        <w:tc>
          <w:tcPr>
            <w:tcW w:type="dxa" w:w="3744"/>
          </w:tcPr>
          <w:p>
            <w:pPr>
              <w:spacing w:after="40" w:before="40"/>
            </w:pPr>
            <w:r/>
            <w:r>
              <w:rPr>
                <w:b/>
                <w:sz w:val="19"/>
              </w:rPr>
              <w:t>Total request</w:t>
            </w:r>
          </w:p>
        </w:tc>
        <w:tc>
          <w:tcPr>
            <w:tcW w:type="dxa" w:w="1296"/>
          </w:tcPr>
          <w:p>
            <w:pPr>
              <w:spacing w:after="40" w:before="40"/>
            </w:pPr>
            <w:r/>
            <w:r>
              <w:rPr>
                <w:b/>
                <w:sz w:val="19"/>
              </w:rPr>
              <w:t>$190,865</w:t>
            </w:r>
          </w:p>
        </w:tc>
        <w:tc>
          <w:tcPr>
            <w:tcW w:type="dxa" w:w="4032"/>
          </w:tcPr>
          <w:p>
            <w:pPr>
              <w:spacing w:after="40" w:before="40"/>
            </w:pPr>
            <w:r/>
            <w:r>
              <w:rPr>
                <w:b/>
                <w:sz w:val="19"/>
              </w:rPr>
            </w:r>
          </w:p>
        </w:tc>
      </w:tr>
    </w:tbl>
    <w:p>
      <w:pPr>
        <w:spacing w:before="60"/>
      </w:pPr>
      <w:r>
        <w:rPr>
          <w:i/>
          <w:color w:val="556066"/>
          <w:sz w:val="17"/>
        </w:rPr>
        <w:t>Illustrative figures for a composite clinic. Replace every line with your own quotes, salary benchmarks, and rate agreement.</w:t>
      </w:r>
    </w:p>
    <w:p>
      <w:pPr>
        <w:spacing w:after="0"/>
      </w:pPr>
    </w:p>
    <w:p>
      <w:pPr>
        <w:pStyle w:val="Heading2"/>
      </w:pPr>
      <w:r>
        <w:t>Budget narrative</w:t>
      </w:r>
    </w:p>
    <w:p>
      <w:pPr>
        <w:pStyle w:val="Heading3"/>
      </w:pPr>
      <w:r>
        <w:t>Personnel</w:t>
      </w:r>
    </w:p>
    <w:p>
      <w:r>
        <w:rPr>
          <w:b w:val="0"/>
          <w:i w:val="0"/>
        </w:rPr>
        <w:t>The licensed clinical social worker at 1.0 FTE is the program. The $78,000 salary is the midpoint of the regional range for an independently licensed clinical social worker in an outpatient setting, taken from the salary survey cited in Attachment L. ECHC budgeted the midpoint rather than the entry rate because the position is the only behavioral health clinician in the county and the recruitment plan depends on being competitive with hospital employment.</w:t>
      </w:r>
    </w:p>
    <w:p>
      <w:r>
        <w:rPr>
          <w:b w:val="0"/>
          <w:i w:val="0"/>
        </w:rPr>
        <w:t>The community health worker at 0.5 FTE handles reminder calls, transportation coordination, no-show recovery, and closed-loop referral tracking. This is the non-billable work that determines whether patients arrive, and it is budgeted at half of a $39,000 full-time salary.</w:t>
      </w:r>
    </w:p>
    <w:p>
      <w:r>
        <w:rPr>
          <w:b w:val="0"/>
          <w:i w:val="0"/>
        </w:rPr>
        <w:t>The medical assistant line charges 0.25 FTE of an existing $37,600 position to the program, representing screening administration and documentation time inside the rooming workflow. The clinic tracks this time and will support the allocation with time and effort documentation. Fringe benefits are charged at ECHC's organization-wide rate of 26 percent, the rate used in the most recent audited financial statements, applied to the $106,900 salary subtotal.</w:t>
      </w:r>
    </w:p>
    <w:p>
      <w:pPr>
        <w:pStyle w:val="Heading3"/>
      </w:pPr>
      <w:r>
        <w:t>The productivity test</w:t>
      </w:r>
    </w:p>
    <w:p>
      <w:r>
        <w:rPr>
          <w:b w:val="0"/>
          <w:i w:val="0"/>
        </w:rPr>
        <w:t>Clinician salary of $78,000 plus its $20,280 share of fringe is $98,280, divided by 1,180 projected encounters, or $83 per encounter. A reviewer will run that division, so the proposal runs it first. That figure sits below what the clinic pays for an outbound referral that never completes, which is the whole cost of the referral with none of the outcome.</w:t>
      </w:r>
    </w:p>
    <w:p>
      <w:pPr>
        <w:pStyle w:val="Heading3"/>
      </w:pPr>
      <w:r>
        <w:t>Non-personnel costs</w:t>
      </w:r>
    </w:p>
    <w:p>
      <w:r>
        <w:rPr>
          <w:b w:val="0"/>
          <w:i w:val="0"/>
        </w:rPr>
        <w:t>The electronic health record build is a one-time vendor charge of 50 hours at $130 to create the screening template, the discrete data fields, the handoff documentation field, and the reporting view the evaluation depends on. Without it, every measure in this proposal would require manual chart review. The quote is Attachment M.</w:t>
      </w:r>
    </w:p>
    <w:p>
      <w:r>
        <w:rPr>
          <w:b w:val="0"/>
          <w:i w:val="0"/>
        </w:rPr>
        <w:t>Interpreter services at 160 contracted hours and $30 an hour cover behavioral health sessions for patients whose primary language is not English. Brief intervention is a conversation, and an under-resourced interpretation line would exclude 14 percent of the service area from the program.</w:t>
      </w:r>
    </w:p>
    <w:p>
      <w:r>
        <w:rPr>
          <w:b w:val="0"/>
          <w:i w:val="0"/>
        </w:rPr>
        <w:t>Screening supplies at $0.60 per screen cover the licensed instrument materials and printed patient handouts for 5,100 projected screens. Transportation support funds 400 round trips at $10, allocated to patients who identify travel as a barrier at intake. Professional liability coverage is the quoted annual premium for adding the clinician to the clinic's policy. Training funds three staff at $900 for evidence-based brief intervention training plus the licensure fees associated with the position.</w:t>
      </w:r>
    </w:p>
    <w:p>
      <w:pPr>
        <w:pStyle w:val="Heading3"/>
      </w:pPr>
      <w:r>
        <w:t>Uninsured visit subsidy</w:t>
      </w:r>
    </w:p>
    <w:p>
      <w:r>
        <w:rPr>
          <w:b w:val="0"/>
          <w:i w:val="0"/>
        </w:rPr>
        <w:t>This line is the one that shows the grant paying for care no payer will reimburse. Thirty percent of the projected caseload, or 354 encounters, is expected to be uninsured or to fall below the sliding fee threshold, at approximately $40 per encounter unreimbursed after the discount. Twenty-six percent of ECHC's patients are uninsured or self-pay, and the program conservatively assumes a slightly higher share among patients screening positive for depression.</w:t>
      </w:r>
    </w:p>
    <w:p>
      <w:r>
        <w:rPr>
          <w:b w:val="0"/>
          <w:i w:val="0"/>
        </w:rPr>
        <w:t>Reviewers are comfortable subsidizing uninsured care and non-clinical roles. They resist covering encounters a payer would have paid for. This line, and the payer mix beside it, answers that question before it gets asked.</w:t>
      </w:r>
    </w:p>
    <w:p>
      <w:pPr>
        <w:pStyle w:val="Heading3"/>
      </w:pPr>
      <w:r>
        <w:t>Indirect costs</w:t>
      </w:r>
    </w:p>
    <w:p>
      <w:r>
        <w:rPr>
          <w:b w:val="0"/>
          <w:i w:val="0"/>
        </w:rPr>
        <w:t>Indirect is charged at 10 percent of total direct costs under ECHC's negotiated indirect cost rate agreement, a copy of which is Attachment C. An organization with no negotiated rate agreement may elect the de minimis rate of up to 15 percent of modified total direct costs under 2 CFR 200.414(f). Either way, name the rate and the base. Indirect is the easiest line in a budget to check, and a figure with no stated basis is the fastest way to lose a reviewer's confidence in the rest of the numbers.</w:t>
      </w:r>
    </w:p>
    <w:p>
      <w:pPr>
        <w:pStyle w:val="Heading2"/>
      </w:pPr>
      <w:r>
        <w:t>What this grant does not cover</w:t>
      </w:r>
    </w:p>
    <w:p>
      <w:r>
        <w:rPr>
          <w:b w:val="0"/>
          <w:i w:val="0"/>
        </w:rPr>
        <w:t>Naming the boundary is a credibility move, not a concession. This request does not fund facility construction or renovation, electronic health record licensing beyond the one-time build described above, psychiatric medication management, inpatient or crisis services, or any encounter reimbursable by a payer once the clinician's enrollment is complete. Primary care provider time, quality improvement coordinator time, executive oversight, billing operations, facility costs beyond the indirect rate, and malpractice coverage for existing staff are contributed by ECHC as ongoing operations.</w:t>
      </w:r>
    </w:p>
    <w:p>
      <w:r>
        <w:br w:type="page"/>
      </w:r>
    </w:p>
    <w:p>
      <w:pPr>
        <w:pStyle w:val="Heading1"/>
      </w:pPr>
      <w:r>
        <w:t>Sustainability Plan</w:t>
      </w:r>
    </w:p>
    <w:p>
      <w:r>
        <w:rPr>
          <w:b w:val="0"/>
          <w:i w:val="0"/>
        </w:rPr>
        <w:t>A clinic sustainability plan shows the revenue that replaces the grant, service line by service line. Reviewers look for a revenue path here, not a commitment to apply for more grants. The plan below splits the program into three funding categories, then states the year the grant share drops and what takes its place.</w:t>
      </w:r>
    </w:p>
    <w:p>
      <w:pPr>
        <w:pStyle w:val="Heading2"/>
      </w:pPr>
      <w:r>
        <w:t>Three funding categories</w:t>
      </w:r>
    </w:p>
    <w:p>
      <w:pPr>
        <w:pStyle w:val="ListBullet"/>
      </w:pPr>
      <w:r>
        <w:rPr>
          <w:b/>
        </w:rPr>
        <w:t xml:space="preserve">Billable. </w:t>
      </w:r>
      <w:r>
        <w:t>Behavioral health encounters delivered by a credentialed, enrolled clinician are billable to Medicaid and to commercial payers. ECHC projects first billable encounters in month six, once payer enrollment completes. In year two the clinic projects 55 percent of encounters to be billable, limited by the uninsured share of the caseload and by patients whose plans exclude the service.</w:t>
      </w:r>
    </w:p>
    <w:p>
      <w:pPr>
        <w:pStyle w:val="ListBullet"/>
      </w:pPr>
      <w:r>
        <w:rPr>
          <w:b/>
        </w:rPr>
        <w:t xml:space="preserve">Partly billable. </w:t>
      </w:r>
      <w:r>
        <w:t>Care coordination, follow-up contacts, and collaborative care management are reimbursable under specific arrangements with some payers and not others. ECHC has confirmed coverage with the state Medicaid program and has not yet confirmed it with two of the three commercial payers in the service area. The proposal states that distinction rather than assuming the favorable case.</w:t>
      </w:r>
    </w:p>
    <w:p>
      <w:pPr>
        <w:pStyle w:val="ListBullet"/>
      </w:pPr>
      <w:r>
        <w:rPr>
          <w:b/>
        </w:rPr>
        <w:t xml:space="preserve">Non-billable. </w:t>
      </w:r>
      <w:r>
        <w:t>Community health worker outreach, interpretation, transportation vouchers, no-show recovery, and the uninsured visit subsidy are not reimbursable by any payer in this market. These costs need a named local source, and the plan below names three: hospital community benefit programs, a county health department allocation, and renewing philanthropic support.</w:t>
      </w:r>
    </w:p>
    <w:p>
      <w:pPr>
        <w:pStyle w:val="Heading2"/>
      </w:pPr>
      <w:r>
        <w:t>Grant share step-down</w:t>
      </w:r>
    </w:p>
    <w:tbl>
      <w:tblPr>
        <w:tblStyle w:val="LightGrid-Accent1"/>
        <w:tblW w:type="auto" w:w="0"/>
        <w:jc w:val="center"/>
        <w:tblLayout w:type="autofit"/>
        <w:tblLook w:firstColumn="1" w:firstRow="1" w:lastColumn="0" w:lastRow="0" w:noHBand="0" w:noVBand="1" w:val="04A0"/>
      </w:tblPr>
      <w:tblGrid>
        <w:gridCol w:w="2340"/>
        <w:gridCol w:w="2340"/>
        <w:gridCol w:w="2340"/>
        <w:gridCol w:w="2340"/>
      </w:tblGrid>
      <w:tr>
        <w:trPr>
          <w:tblHeader w:val="true"/>
        </w:trPr>
        <w:tc>
          <w:tcPr>
            <w:tcW w:type="dxa" w:w="3168"/>
          </w:tcPr>
          <w:p>
            <w:pPr>
              <w:spacing w:after="40" w:before="40"/>
            </w:pPr>
            <w:r/>
            <w:r>
              <w:rPr>
                <w:b/>
                <w:sz w:val="19"/>
              </w:rPr>
            </w:r>
          </w:p>
        </w:tc>
        <w:tc>
          <w:tcPr>
            <w:tcW w:type="dxa" w:w="1944"/>
          </w:tcPr>
          <w:p>
            <w:pPr>
              <w:spacing w:after="40" w:before="40"/>
            </w:pPr>
            <w:r/>
            <w:r>
              <w:rPr>
                <w:b/>
                <w:sz w:val="19"/>
              </w:rPr>
              <w:t>Year 1</w:t>
            </w:r>
          </w:p>
        </w:tc>
        <w:tc>
          <w:tcPr>
            <w:tcW w:type="dxa" w:w="1944"/>
          </w:tcPr>
          <w:p>
            <w:pPr>
              <w:spacing w:after="40" w:before="40"/>
            </w:pPr>
            <w:r/>
            <w:r>
              <w:rPr>
                <w:b/>
                <w:sz w:val="19"/>
              </w:rPr>
              <w:t>Year 2</w:t>
            </w:r>
          </w:p>
        </w:tc>
        <w:tc>
          <w:tcPr>
            <w:tcW w:type="dxa" w:w="1944"/>
          </w:tcPr>
          <w:p>
            <w:pPr>
              <w:spacing w:after="40" w:before="40"/>
            </w:pPr>
            <w:r/>
            <w:r>
              <w:rPr>
                <w:b/>
                <w:sz w:val="19"/>
              </w:rPr>
              <w:t>Year 3</w:t>
            </w:r>
          </w:p>
        </w:tc>
      </w:tr>
      <w:tr>
        <w:tc>
          <w:tcPr>
            <w:tcW w:type="dxa" w:w="3168"/>
          </w:tcPr>
          <w:p>
            <w:pPr>
              <w:spacing w:after="40" w:before="40"/>
            </w:pPr>
            <w:r/>
            <w:r>
              <w:rPr>
                <w:sz w:val="19"/>
              </w:rPr>
              <w:t>Total program cost</w:t>
            </w:r>
          </w:p>
        </w:tc>
        <w:tc>
          <w:tcPr>
            <w:tcW w:type="dxa" w:w="1944"/>
          </w:tcPr>
          <w:p>
            <w:pPr>
              <w:spacing w:after="40" w:before="40"/>
            </w:pPr>
            <w:r/>
            <w:r>
              <w:rPr>
                <w:sz w:val="19"/>
              </w:rPr>
              <w:t>$190,865</w:t>
            </w:r>
          </w:p>
        </w:tc>
        <w:tc>
          <w:tcPr>
            <w:tcW w:type="dxa" w:w="1944"/>
          </w:tcPr>
          <w:p>
            <w:pPr>
              <w:spacing w:after="40" w:before="40"/>
            </w:pPr>
            <w:r/>
            <w:r>
              <w:rPr>
                <w:sz w:val="19"/>
              </w:rPr>
              <w:t>$186,291</w:t>
            </w:r>
          </w:p>
        </w:tc>
        <w:tc>
          <w:tcPr>
            <w:tcW w:type="dxa" w:w="1944"/>
          </w:tcPr>
          <w:p>
            <w:pPr>
              <w:spacing w:after="40" w:before="40"/>
            </w:pPr>
            <w:r/>
            <w:r>
              <w:rPr>
                <w:sz w:val="19"/>
              </w:rPr>
              <w:t>$190,991</w:t>
            </w:r>
          </w:p>
        </w:tc>
      </w:tr>
      <w:tr>
        <w:tc>
          <w:tcPr>
            <w:tcW w:type="dxa" w:w="3168"/>
          </w:tcPr>
          <w:p>
            <w:pPr>
              <w:spacing w:after="40" w:before="40"/>
            </w:pPr>
            <w:r/>
            <w:r>
              <w:rPr>
                <w:b/>
                <w:sz w:val="19"/>
              </w:rPr>
              <w:t>Grant share</w:t>
            </w:r>
          </w:p>
        </w:tc>
        <w:tc>
          <w:tcPr>
            <w:tcW w:type="dxa" w:w="1944"/>
          </w:tcPr>
          <w:p>
            <w:pPr>
              <w:spacing w:after="40" w:before="40"/>
            </w:pPr>
            <w:r/>
            <w:r>
              <w:rPr>
                <w:b/>
                <w:sz w:val="19"/>
              </w:rPr>
              <w:t>100%</w:t>
            </w:r>
          </w:p>
        </w:tc>
        <w:tc>
          <w:tcPr>
            <w:tcW w:type="dxa" w:w="1944"/>
          </w:tcPr>
          <w:p>
            <w:pPr>
              <w:spacing w:after="40" w:before="40"/>
            </w:pPr>
            <w:r/>
            <w:r>
              <w:rPr>
                <w:b/>
                <w:sz w:val="19"/>
              </w:rPr>
              <w:t>60%</w:t>
            </w:r>
          </w:p>
        </w:tc>
        <w:tc>
          <w:tcPr>
            <w:tcW w:type="dxa" w:w="1944"/>
          </w:tcPr>
          <w:p>
            <w:pPr>
              <w:spacing w:after="40" w:before="40"/>
            </w:pPr>
            <w:r/>
            <w:r>
              <w:rPr>
                <w:b/>
                <w:sz w:val="19"/>
              </w:rPr>
              <w:t>25%</w:t>
            </w:r>
          </w:p>
        </w:tc>
      </w:tr>
      <w:tr>
        <w:tc>
          <w:tcPr>
            <w:tcW w:type="dxa" w:w="3168"/>
          </w:tcPr>
          <w:p>
            <w:pPr>
              <w:spacing w:after="40" w:before="40"/>
            </w:pPr>
            <w:r/>
            <w:r>
              <w:rPr>
                <w:sz w:val="19"/>
              </w:rPr>
              <w:t>Grant dollars</w:t>
            </w:r>
          </w:p>
        </w:tc>
        <w:tc>
          <w:tcPr>
            <w:tcW w:type="dxa" w:w="1944"/>
          </w:tcPr>
          <w:p>
            <w:pPr>
              <w:spacing w:after="40" w:before="40"/>
            </w:pPr>
            <w:r/>
            <w:r>
              <w:rPr>
                <w:sz w:val="19"/>
              </w:rPr>
              <w:t>$190,865</w:t>
            </w:r>
          </w:p>
        </w:tc>
        <w:tc>
          <w:tcPr>
            <w:tcW w:type="dxa" w:w="1944"/>
          </w:tcPr>
          <w:p>
            <w:pPr>
              <w:spacing w:after="40" w:before="40"/>
            </w:pPr>
            <w:r/>
            <w:r>
              <w:rPr>
                <w:sz w:val="19"/>
              </w:rPr>
              <w:t>$111,775</w:t>
            </w:r>
          </w:p>
        </w:tc>
        <w:tc>
          <w:tcPr>
            <w:tcW w:type="dxa" w:w="1944"/>
          </w:tcPr>
          <w:p>
            <w:pPr>
              <w:spacing w:after="40" w:before="40"/>
            </w:pPr>
            <w:r/>
            <w:r>
              <w:rPr>
                <w:sz w:val="19"/>
              </w:rPr>
              <w:t>$47,748</w:t>
            </w:r>
          </w:p>
        </w:tc>
      </w:tr>
      <w:tr>
        <w:tc>
          <w:tcPr>
            <w:tcW w:type="dxa" w:w="3168"/>
          </w:tcPr>
          <w:p>
            <w:pPr>
              <w:spacing w:after="40" w:before="40"/>
            </w:pPr>
            <w:r/>
            <w:r>
              <w:rPr>
                <w:sz w:val="19"/>
              </w:rPr>
              <w:t>Replaced by other revenue</w:t>
            </w:r>
          </w:p>
        </w:tc>
        <w:tc>
          <w:tcPr>
            <w:tcW w:type="dxa" w:w="1944"/>
          </w:tcPr>
          <w:p>
            <w:pPr>
              <w:spacing w:after="40" w:before="40"/>
            </w:pPr>
            <w:r/>
            <w:r>
              <w:rPr>
                <w:sz w:val="19"/>
              </w:rPr>
              <w:t>$0</w:t>
            </w:r>
          </w:p>
        </w:tc>
        <w:tc>
          <w:tcPr>
            <w:tcW w:type="dxa" w:w="1944"/>
          </w:tcPr>
          <w:p>
            <w:pPr>
              <w:spacing w:after="40" w:before="40"/>
            </w:pPr>
            <w:r/>
            <w:r>
              <w:rPr>
                <w:sz w:val="19"/>
              </w:rPr>
              <w:t>$74,516</w:t>
            </w:r>
          </w:p>
        </w:tc>
        <w:tc>
          <w:tcPr>
            <w:tcW w:type="dxa" w:w="1944"/>
          </w:tcPr>
          <w:p>
            <w:pPr>
              <w:spacing w:after="40" w:before="40"/>
            </w:pPr>
            <w:r/>
            <w:r>
              <w:rPr>
                <w:sz w:val="19"/>
              </w:rPr>
              <w:t>$143,243</w:t>
            </w:r>
          </w:p>
        </w:tc>
      </w:tr>
    </w:tbl>
    <w:p>
      <w:pPr>
        <w:spacing w:before="60"/>
      </w:pPr>
      <w:r>
        <w:rPr>
          <w:i/>
          <w:color w:val="556066"/>
          <w:sz w:val="17"/>
        </w:rPr>
        <w:t>Year 2 removes the one-time EHR build and reduces training, and applies a 3 percent salary adjustment. Year 3 applies a further 3 percent. Illustrative figures for a composite clinic.</w:t>
      </w:r>
    </w:p>
    <w:p>
      <w:pPr>
        <w:spacing w:after="0"/>
      </w:pPr>
    </w:p>
    <w:p>
      <w:pPr>
        <w:pStyle w:val="Heading2"/>
      </w:pPr>
      <w:r>
        <w:t>Where the replacement revenue comes from</w:t>
      </w:r>
    </w:p>
    <w:tbl>
      <w:tblPr>
        <w:tblStyle w:val="LightGrid-Accent1"/>
        <w:tblW w:type="auto" w:w="0"/>
        <w:jc w:val="center"/>
        <w:tblLayout w:type="autofit"/>
        <w:tblLook w:firstColumn="1" w:firstRow="1" w:lastColumn="0" w:lastRow="0" w:noHBand="0" w:noVBand="1" w:val="04A0"/>
      </w:tblPr>
      <w:tblGrid>
        <w:gridCol w:w="2340"/>
        <w:gridCol w:w="2340"/>
        <w:gridCol w:w="2340"/>
        <w:gridCol w:w="2340"/>
      </w:tblGrid>
      <w:tr>
        <w:trPr>
          <w:tblHeader w:val="true"/>
        </w:trPr>
        <w:tc>
          <w:tcPr>
            <w:tcW w:type="dxa" w:w="2880"/>
          </w:tcPr>
          <w:p>
            <w:pPr>
              <w:spacing w:after="40" w:before="40"/>
            </w:pPr>
            <w:r/>
            <w:r>
              <w:rPr>
                <w:b/>
                <w:sz w:val="19"/>
              </w:rPr>
              <w:t>Source</w:t>
            </w:r>
          </w:p>
        </w:tc>
        <w:tc>
          <w:tcPr>
            <w:tcW w:type="dxa" w:w="1440"/>
          </w:tcPr>
          <w:p>
            <w:pPr>
              <w:spacing w:after="40" w:before="40"/>
            </w:pPr>
            <w:r/>
            <w:r>
              <w:rPr>
                <w:b/>
                <w:sz w:val="19"/>
              </w:rPr>
              <w:t>Year 2</w:t>
            </w:r>
          </w:p>
        </w:tc>
        <w:tc>
          <w:tcPr>
            <w:tcW w:type="dxa" w:w="1440"/>
          </w:tcPr>
          <w:p>
            <w:pPr>
              <w:spacing w:after="40" w:before="40"/>
            </w:pPr>
            <w:r/>
            <w:r>
              <w:rPr>
                <w:b/>
                <w:sz w:val="19"/>
              </w:rPr>
              <w:t>Year 3</w:t>
            </w:r>
          </w:p>
        </w:tc>
        <w:tc>
          <w:tcPr>
            <w:tcW w:type="dxa" w:w="3312"/>
          </w:tcPr>
          <w:p>
            <w:pPr>
              <w:spacing w:after="40" w:before="40"/>
            </w:pPr>
            <w:r/>
            <w:r>
              <w:rPr>
                <w:b/>
                <w:sz w:val="19"/>
              </w:rPr>
              <w:t>Status</w:t>
            </w:r>
          </w:p>
        </w:tc>
      </w:tr>
      <w:tr>
        <w:tc>
          <w:tcPr>
            <w:tcW w:type="dxa" w:w="2880"/>
          </w:tcPr>
          <w:p>
            <w:pPr>
              <w:spacing w:after="40" w:before="40"/>
            </w:pPr>
            <w:r/>
            <w:r>
              <w:rPr>
                <w:sz w:val="19"/>
              </w:rPr>
              <w:t>Billable behavioral health encounters</w:t>
            </w:r>
          </w:p>
        </w:tc>
        <w:tc>
          <w:tcPr>
            <w:tcW w:type="dxa" w:w="1440"/>
          </w:tcPr>
          <w:p>
            <w:pPr>
              <w:spacing w:after="40" w:before="40"/>
            </w:pPr>
            <w:r/>
            <w:r>
              <w:rPr>
                <w:sz w:val="19"/>
              </w:rPr>
              <w:t>$59,708</w:t>
            </w:r>
          </w:p>
        </w:tc>
        <w:tc>
          <w:tcPr>
            <w:tcW w:type="dxa" w:w="1440"/>
          </w:tcPr>
          <w:p>
            <w:pPr>
              <w:spacing w:after="40" w:before="40"/>
            </w:pPr>
            <w:r/>
            <w:r>
              <w:rPr>
                <w:sz w:val="19"/>
              </w:rPr>
              <w:t>$79,856</w:t>
            </w:r>
          </w:p>
        </w:tc>
        <w:tc>
          <w:tcPr>
            <w:tcW w:type="dxa" w:w="3312"/>
          </w:tcPr>
          <w:p>
            <w:pPr>
              <w:spacing w:after="40" w:before="40"/>
            </w:pPr>
            <w:r/>
            <w:r>
              <w:rPr>
                <w:sz w:val="19"/>
              </w:rPr>
              <w:t>Medicaid enrollment in progress; commercial applications filed at hire</w:t>
            </w:r>
          </w:p>
        </w:tc>
      </w:tr>
      <w:tr>
        <w:tc>
          <w:tcPr>
            <w:tcW w:type="dxa" w:w="2880"/>
          </w:tcPr>
          <w:p>
            <w:pPr>
              <w:spacing w:after="40" w:before="40"/>
            </w:pPr>
            <w:r/>
            <w:r>
              <w:rPr>
                <w:sz w:val="19"/>
              </w:rPr>
              <w:t>Hospital community benefit contribution</w:t>
            </w:r>
          </w:p>
        </w:tc>
        <w:tc>
          <w:tcPr>
            <w:tcW w:type="dxa" w:w="1440"/>
          </w:tcPr>
          <w:p>
            <w:pPr>
              <w:spacing w:after="40" w:before="40"/>
            </w:pPr>
            <w:r>
              <w:t>$9,000</w:t>
            </w:r>
            <w:r>
              <w:rPr>
                <w:sz w:val="19"/>
              </w:rPr>
            </w:r>
          </w:p>
        </w:tc>
        <w:tc>
          <w:tcPr>
            <w:tcW w:type="dxa" w:w="1440"/>
          </w:tcPr>
          <w:p>
            <w:pPr>
              <w:spacing w:after="40" w:before="40"/>
            </w:pPr>
            <w:r/>
            <w:r>
              <w:rPr>
                <w:sz w:val="19"/>
              </w:rPr>
              <w:t>$25,000</w:t>
            </w:r>
          </w:p>
        </w:tc>
        <w:tc>
          <w:tcPr>
            <w:tcW w:type="dxa" w:w="3312"/>
          </w:tcPr>
          <w:p>
            <w:pPr>
              <w:spacing w:after="40" w:before="40"/>
            </w:pPr>
            <w:r/>
            <w:r>
              <w:rPr>
                <w:sz w:val="19"/>
              </w:rPr>
              <w:t>Letter of interest enclosed; formal request follows the community health needs assessment cycle</w:t>
            </w:r>
          </w:p>
        </w:tc>
      </w:tr>
      <w:tr>
        <w:tc>
          <w:tcPr>
            <w:tcW w:type="dxa" w:w="2880"/>
          </w:tcPr>
          <w:p>
            <w:pPr>
              <w:spacing w:after="40" w:before="40"/>
            </w:pPr>
            <w:r/>
            <w:r>
              <w:rPr>
                <w:sz w:val="19"/>
              </w:rPr>
              <w:t>County health department allocation</w:t>
            </w:r>
          </w:p>
        </w:tc>
        <w:tc>
          <w:tcPr>
            <w:tcW w:type="dxa" w:w="1440"/>
          </w:tcPr>
          <w:p>
            <w:pPr>
              <w:spacing w:after="40" w:before="40"/>
            </w:pPr>
            <w:r/>
            <w:r>
              <w:rPr>
                <w:sz w:val="19"/>
              </w:rPr>
              <w:t>$5,000</w:t>
            </w:r>
          </w:p>
        </w:tc>
        <w:tc>
          <w:tcPr>
            <w:tcW w:type="dxa" w:w="1440"/>
          </w:tcPr>
          <w:p>
            <w:pPr>
              <w:spacing w:after="40" w:before="40"/>
            </w:pPr>
            <w:r/>
            <w:r>
              <w:rPr>
                <w:sz w:val="19"/>
              </w:rPr>
              <w:t>$20,000</w:t>
            </w:r>
          </w:p>
        </w:tc>
        <w:tc>
          <w:tcPr>
            <w:tcW w:type="dxa" w:w="3312"/>
          </w:tcPr>
          <w:p>
            <w:pPr>
              <w:spacing w:after="40" w:before="40"/>
            </w:pPr>
            <w:r/>
            <w:r>
              <w:rPr>
                <w:sz w:val="19"/>
              </w:rPr>
              <w:t>Existing outreach contract; expansion discussed with the health officer</w:t>
            </w:r>
          </w:p>
        </w:tc>
      </w:tr>
      <w:tr>
        <w:tc>
          <w:tcPr>
            <w:tcW w:type="dxa" w:w="2880"/>
          </w:tcPr>
          <w:p>
            <w:pPr>
              <w:spacing w:after="40" w:before="40"/>
            </w:pPr>
            <w:r/>
            <w:r>
              <w:rPr>
                <w:sz w:val="19"/>
              </w:rPr>
              <w:t>Renewing philanthropic support</w:t>
            </w:r>
          </w:p>
        </w:tc>
        <w:tc>
          <w:tcPr>
            <w:tcW w:type="dxa" w:w="1440"/>
          </w:tcPr>
          <w:p>
            <w:pPr>
              <w:spacing w:after="40" w:before="40"/>
            </w:pPr>
            <w:r/>
            <w:r>
              <w:rPr>
                <w:sz w:val="19"/>
              </w:rPr>
              <w:t>$0</w:t>
            </w:r>
          </w:p>
        </w:tc>
        <w:tc>
          <w:tcPr>
            <w:tcW w:type="dxa" w:w="1440"/>
          </w:tcPr>
          <w:p>
            <w:pPr>
              <w:spacing w:after="40" w:before="40"/>
            </w:pPr>
            <w:r>
              <w:t>$18,000</w:t>
            </w:r>
            <w:r>
              <w:rPr>
                <w:sz w:val="19"/>
              </w:rPr>
            </w:r>
          </w:p>
        </w:tc>
        <w:tc>
          <w:tcPr>
            <w:tcW w:type="dxa" w:w="3312"/>
          </w:tcPr>
          <w:p>
            <w:pPr>
              <w:spacing w:after="40" w:before="40"/>
            </w:pPr>
            <w:r/>
            <w:r>
              <w:rPr>
                <w:sz w:val="19"/>
              </w:rPr>
              <w:t>To be sought in year two on the strength of year-one results</w:t>
            </w:r>
          </w:p>
        </w:tc>
      </w:tr>
      <w:tr>
        <w:tc>
          <w:tcPr>
            <w:tcW w:type="dxa" w:w="2880"/>
          </w:tcPr>
          <w:p>
            <w:pPr>
              <w:spacing w:after="40" w:before="40"/>
            </w:pPr>
            <w:r/>
            <w:r>
              <w:rPr>
                <w:b/>
                <w:sz w:val="19"/>
              </w:rPr>
              <w:t>Total replacement revenue</w:t>
            </w:r>
          </w:p>
        </w:tc>
        <w:tc>
          <w:tcPr>
            <w:tcW w:type="dxa" w:w="1440"/>
          </w:tcPr>
          <w:p>
            <w:pPr>
              <w:spacing w:after="40" w:before="40"/>
            </w:pPr>
            <w:r>
              <w:t>$73,708</w:t>
            </w:r>
            <w:r>
              <w:rPr>
                <w:b/>
                <w:sz w:val="19"/>
              </w:rPr>
            </w:r>
          </w:p>
        </w:tc>
        <w:tc>
          <w:tcPr>
            <w:tcW w:type="dxa" w:w="1440"/>
          </w:tcPr>
          <w:p>
            <w:pPr>
              <w:spacing w:after="40" w:before="40"/>
            </w:pPr>
            <w:r>
              <w:t>$142,856</w:t>
            </w:r>
            <w:r>
              <w:rPr>
                <w:b/>
                <w:sz w:val="19"/>
              </w:rPr>
            </w:r>
          </w:p>
        </w:tc>
        <w:tc>
          <w:tcPr>
            <w:tcW w:type="dxa" w:w="3312"/>
          </w:tcPr>
          <w:p>
            <w:pPr>
              <w:spacing w:after="40" w:before="40"/>
            </w:pPr>
            <w:r/>
            <w:r>
              <w:rPr>
                <w:b/>
                <w:sz w:val="19"/>
              </w:rPr>
            </w:r>
          </w:p>
        </w:tc>
      </w:tr>
      <w:tr>
        <w:tc>
          <w:tcPr>
            <w:tcW w:type="dxa" w:w="2880"/>
          </w:tcPr>
          <w:p>
            <w:pPr>
              <w:spacing w:after="40" w:before="40"/>
            </w:pPr>
            <w:r/>
            <w:r>
              <w:rPr>
                <w:b/>
                <w:sz w:val="19"/>
              </w:rPr>
              <w:t>Replacement needed</w:t>
            </w:r>
          </w:p>
        </w:tc>
        <w:tc>
          <w:tcPr>
            <w:tcW w:type="dxa" w:w="1440"/>
          </w:tcPr>
          <w:p>
            <w:pPr>
              <w:spacing w:after="40" w:before="40"/>
            </w:pPr>
            <w:r/>
            <w:r>
              <w:rPr>
                <w:b/>
                <w:sz w:val="19"/>
              </w:rPr>
              <w:t>$74,516</w:t>
            </w:r>
          </w:p>
        </w:tc>
        <w:tc>
          <w:tcPr>
            <w:tcW w:type="dxa" w:w="1440"/>
          </w:tcPr>
          <w:p>
            <w:pPr>
              <w:spacing w:after="40" w:before="40"/>
            </w:pPr>
            <w:r/>
            <w:r>
              <w:rPr>
                <w:b/>
                <w:sz w:val="19"/>
              </w:rPr>
              <w:t>$143,243</w:t>
            </w:r>
          </w:p>
        </w:tc>
        <w:tc>
          <w:tcPr>
            <w:tcW w:type="dxa" w:w="3312"/>
          </w:tcPr>
          <w:p>
            <w:pPr>
              <w:spacing w:after="40" w:before="40"/>
            </w:pPr>
            <w:r/>
            <w:r>
              <w:rPr>
                <w:b/>
                <w:sz w:val="19"/>
              </w:rPr>
            </w:r>
          </w:p>
        </w:tc>
      </w:tr>
    </w:tbl>
    <w:p>
      <w:pPr>
        <w:spacing w:before="60"/>
      </w:pPr>
      <w:r>
        <w:rPr>
          <w:i/>
          <w:color w:val="556066"/>
          <w:sz w:val="17"/>
        </w:rPr>
        <w:t>Billable revenue assumes 55 percent of 1,180 encounters (649) in year 2 and 62 percent of 1,400 encounters (868) in year 3, at an illustrative average payment of $92 per encounter. Substitute your own payer fee schedule and your own confirmed commitments.</w:t>
      </w:r>
    </w:p>
    <w:p>
      <w:pPr>
        <w:spacing w:after="0"/>
      </w:pPr>
    </w:p>
    <w:p>
      <w:r>
        <w:rPr>
          <w:b w:val="0"/>
          <w:i w:val="0"/>
        </w:rPr>
        <w:t>Two things in this table make it credible. The status column separates confirmed commitments from intentions, and the last two rows show the replacement revenue against the replacement need instead of leaving the reviewer to do the subtraction. A plan whose totals do not quite reach the need is more believable than one that lands exactly, provided the gap is named. This one does not close. Replacement revenue falls $808 short of the need in year two and $387 short in year three. Those gaps are stated here rather than papered over, and ECHC will close them from operating revenue or by trimming the non-billable lines in proportion.</w:t>
      </w:r>
    </w:p>
    <w:p>
      <w:pPr>
        <w:pStyle w:val="Heading2"/>
      </w:pPr>
      <w:r>
        <w:t>Contingencies</w:t>
      </w:r>
    </w:p>
    <w:p>
      <w:r>
        <w:rPr>
          <w:b w:val="0"/>
          <w:i w:val="0"/>
        </w:rPr>
        <w:t>If the positive screen rate under universal screening runs near the 23 percent observed at wellness visits rather than the projected 12 percent, the clinician reaches caseload capacity around month nine. In that case ECHC triages by acuity, holds session counts to four rather than six for lower-acuity patients, and uses the year-one demand data to support a second position in the following funding cycle. Demand exceeding projection is reported as a finding rather than concealed as a shortfall.</w:t>
      </w:r>
    </w:p>
    <w:p>
      <w:r>
        <w:rPr>
          <w:b w:val="0"/>
          <w:i w:val="0"/>
        </w:rPr>
        <w:t>If recruitment extends past month three, ECHC will contract a licensed telehealth clinician for two days a week under an existing group agreement to begin receiving handoffs, and will notify [Funder name] of the change in staffing model within 30 days. Screening continues on schedule either way, because it does not depend on the hire.</w:t>
      </w:r>
    </w:p>
    <w:p>
      <w:r>
        <w:br w:type="page"/>
      </w:r>
    </w:p>
    <w:p>
      <w:pPr>
        <w:pStyle w:val="Heading1"/>
      </w:pPr>
      <w:r>
        <w:t>Questions a Health Reviewer Will Ask</w:t>
      </w:r>
    </w:p>
    <w:p>
      <w:r>
        <w:rPr>
          <w:b w:val="0"/>
          <w:i w:val="0"/>
        </w:rPr>
        <w:t>Four questions recur in health funder review criteria and site visits. Each is answered inside the narrative above, and they are gathered here so the answers can be checked before submission.</w:t>
      </w:r>
    </w:p>
    <w:p>
      <w:pPr>
        <w:pStyle w:val="Heading2"/>
      </w:pPr>
      <w:r>
        <w:t>Are you duplicating a service already available nearby?</w:t>
      </w:r>
    </w:p>
    <w:p>
      <w:r>
        <w:rPr>
          <w:b w:val="0"/>
          <w:i w:val="0"/>
        </w:rPr>
        <w:t>No provider of this service operates inside the service area. The nearest licensed mental health clinician accepting new patients is 38 miles away with a 47-day wait, and the service area map with travel times is Attachment H. A hospital outpatient behavioral health department operates 41 miles away and does not accept uninsured patients without a prior deposit, a difference in eligibility rather than a difference in service. Letters from two referring primary care practices confirming the gap are Attachment J.</w:t>
      </w:r>
    </w:p>
    <w:p>
      <w:pPr>
        <w:pStyle w:val="Heading2"/>
      </w:pPr>
      <w:r>
        <w:t>Is grant money paying for work you could bill?</w:t>
      </w:r>
    </w:p>
    <w:p>
      <w:r>
        <w:rPr>
          <w:b w:val="0"/>
          <w:i w:val="0"/>
        </w:rPr>
        <w:t>For the first six months, no encounter is billable because the clinician is not yet enrolled with any payer, and the timeline states that plainly. From month six forward, the budget lines that remain grant-funded are non-billable by nature: community health worker outreach, interpretation, transportation, the one-time record build, and the uninsured visit subsidy. The payer mix appears in the need section so a reviewer can see what share of the caseload will never be reimbursed.</w:t>
      </w:r>
    </w:p>
    <w:p>
      <w:pPr>
        <w:pStyle w:val="Heading2"/>
      </w:pPr>
      <w:r>
        <w:t>Can you actually hire this person?</w:t>
      </w:r>
    </w:p>
    <w:p>
      <w:r>
        <w:rPr>
          <w:b w:val="0"/>
          <w:i w:val="0"/>
        </w:rPr>
        <w:t>Staffing credibility is the common weak point for rural clinics, where one vacancy stalls a whole program. ECHC's recruitment plan uses the regional salary survey midpoint rather than the entry rate, posts through the state behavioral health association and two graduate programs within 90 miles, and offers loan repayment eligibility through the shortage area designation. The contingency, a contracted telehealth clinician two days a week, is described in the sustainability section, and it is a real arrangement under an existing group agreement rather than a placeholder.</w:t>
      </w:r>
    </w:p>
    <w:p>
      <w:pPr>
        <w:pStyle w:val="Heading2"/>
      </w:pPr>
      <w:r>
        <w:t>Will patients show up?</w:t>
      </w:r>
    </w:p>
    <w:p>
      <w:r>
        <w:rPr>
          <w:b w:val="0"/>
          <w:i w:val="0"/>
        </w:rPr>
        <w:t>The current clinic-wide no-show rate is 19 percent. The program targets 15 percent or better for behavioral health sessions using four specific tactics: the same-day warm handoff, personal reminder calls from the community health worker, 400 transportation vouchers, and two evening clinics a week. The no-show rate is tracked as a process measure with a quarterly report, so the claim is verifiable rather than assumed.</w:t>
      </w:r>
    </w:p>
    <w:p>
      <w:r>
        <w:br w:type="page"/>
      </w:r>
    </w:p>
    <w:p>
      <w:pPr>
        <w:pStyle w:val="Heading1"/>
      </w:pPr>
      <w:r>
        <w:t>Attachments</w:t>
      </w:r>
    </w:p>
    <w:p>
      <w:r>
        <w:rPr>
          <w:b w:val="0"/>
          <w:i w:val="0"/>
        </w:rPr>
        <w:t>Health funders ask for a longer attachment list than general nonprofit funders, because licensure and credentialing are part of the score. Confirm the required list against the funder's instructions, since an attachment that is not requested can count against a page limit.</w:t>
      </w:r>
    </w:p>
    <w:tbl>
      <w:tblPr>
        <w:tblStyle w:val="LightGrid-Accent1"/>
        <w:tblW w:type="auto" w:w="0"/>
        <w:jc w:val="center"/>
        <w:tblLayout w:type="autofit"/>
        <w:tblLook w:firstColumn="1" w:firstRow="1" w:lastColumn="0" w:lastRow="0" w:noHBand="0" w:noVBand="1" w:val="04A0"/>
      </w:tblPr>
      <w:tblGrid>
        <w:gridCol w:w="3120"/>
        <w:gridCol w:w="3120"/>
        <w:gridCol w:w="3120"/>
      </w:tblGrid>
      <w:tr>
        <w:trPr>
          <w:tblHeader w:val="true"/>
        </w:trPr>
        <w:tc>
          <w:tcPr>
            <w:tcW w:type="dxa" w:w="576"/>
          </w:tcPr>
          <w:p>
            <w:pPr>
              <w:spacing w:after="40" w:before="40"/>
            </w:pPr>
            <w:r/>
            <w:r>
              <w:rPr>
                <w:b/>
                <w:sz w:val="19"/>
              </w:rPr>
            </w:r>
          </w:p>
        </w:tc>
        <w:tc>
          <w:tcPr>
            <w:tcW w:type="dxa" w:w="4176"/>
          </w:tcPr>
          <w:p>
            <w:pPr>
              <w:spacing w:after="40" w:before="40"/>
            </w:pPr>
            <w:r/>
            <w:r>
              <w:rPr>
                <w:b/>
                <w:sz w:val="19"/>
              </w:rPr>
              <w:t>Attachment</w:t>
            </w:r>
          </w:p>
        </w:tc>
        <w:tc>
          <w:tcPr>
            <w:tcW w:type="dxa" w:w="3888"/>
          </w:tcPr>
          <w:p>
            <w:pPr>
              <w:spacing w:after="40" w:before="40"/>
            </w:pPr>
            <w:r/>
            <w:r>
              <w:rPr>
                <w:b/>
                <w:sz w:val="19"/>
              </w:rPr>
              <w:t>Why a health funder asks for it</w:t>
            </w:r>
          </w:p>
        </w:tc>
      </w:tr>
      <w:tr>
        <w:tc>
          <w:tcPr>
            <w:tcW w:type="dxa" w:w="576"/>
          </w:tcPr>
          <w:p>
            <w:pPr>
              <w:spacing w:after="40" w:before="40"/>
            </w:pPr>
            <w:r/>
            <w:r>
              <w:rPr>
                <w:sz w:val="19"/>
              </w:rPr>
              <w:t>A</w:t>
            </w:r>
          </w:p>
        </w:tc>
        <w:tc>
          <w:tcPr>
            <w:tcW w:type="dxa" w:w="4176"/>
          </w:tcPr>
          <w:p>
            <w:pPr>
              <w:spacing w:after="40" w:before="40"/>
            </w:pPr>
            <w:r/>
            <w:r>
              <w:rPr>
                <w:sz w:val="19"/>
              </w:rPr>
              <w:t>IRS determination letter</w:t>
            </w:r>
          </w:p>
        </w:tc>
        <w:tc>
          <w:tcPr>
            <w:tcW w:type="dxa" w:w="3888"/>
          </w:tcPr>
          <w:p>
            <w:pPr>
              <w:spacing w:after="40" w:before="40"/>
            </w:pPr>
            <w:r/>
            <w:r>
              <w:rPr>
                <w:sz w:val="19"/>
              </w:rPr>
              <w:t>Confirms tax-exempt status and eligibility</w:t>
            </w:r>
          </w:p>
        </w:tc>
      </w:tr>
      <w:tr>
        <w:tc>
          <w:tcPr>
            <w:tcW w:type="dxa" w:w="576"/>
          </w:tcPr>
          <w:p>
            <w:pPr>
              <w:spacing w:after="40" w:before="40"/>
            </w:pPr>
            <w:r/>
            <w:r>
              <w:rPr>
                <w:sz w:val="19"/>
              </w:rPr>
              <w:t>B</w:t>
            </w:r>
          </w:p>
        </w:tc>
        <w:tc>
          <w:tcPr>
            <w:tcW w:type="dxa" w:w="4176"/>
          </w:tcPr>
          <w:p>
            <w:pPr>
              <w:spacing w:after="40" w:before="40"/>
            </w:pPr>
            <w:r/>
            <w:r>
              <w:rPr>
                <w:sz w:val="19"/>
              </w:rPr>
              <w:t>Audited financial statements, two most recent fiscal years, with management letter</w:t>
            </w:r>
          </w:p>
        </w:tc>
        <w:tc>
          <w:tcPr>
            <w:tcW w:type="dxa" w:w="3888"/>
          </w:tcPr>
          <w:p>
            <w:pPr>
              <w:spacing w:after="40" w:before="40"/>
            </w:pPr>
            <w:r/>
            <w:r>
              <w:rPr>
                <w:sz w:val="19"/>
              </w:rPr>
              <w:t>Financial stability and audit findings</w:t>
            </w:r>
          </w:p>
        </w:tc>
      </w:tr>
      <w:tr>
        <w:tc>
          <w:tcPr>
            <w:tcW w:type="dxa" w:w="576"/>
          </w:tcPr>
          <w:p>
            <w:pPr>
              <w:spacing w:after="40" w:before="40"/>
            </w:pPr>
            <w:r/>
            <w:r>
              <w:rPr>
                <w:sz w:val="19"/>
              </w:rPr>
              <w:t>C</w:t>
            </w:r>
          </w:p>
        </w:tc>
        <w:tc>
          <w:tcPr>
            <w:tcW w:type="dxa" w:w="4176"/>
          </w:tcPr>
          <w:p>
            <w:pPr>
              <w:spacing w:after="40" w:before="40"/>
            </w:pPr>
            <w:r/>
            <w:r>
              <w:rPr>
                <w:sz w:val="19"/>
              </w:rPr>
              <w:t>Negotiated indirect cost rate agreement, or a signed de minimis election statement</w:t>
            </w:r>
          </w:p>
        </w:tc>
        <w:tc>
          <w:tcPr>
            <w:tcW w:type="dxa" w:w="3888"/>
          </w:tcPr>
          <w:p>
            <w:pPr>
              <w:spacing w:after="40" w:before="40"/>
            </w:pPr>
            <w:r/>
            <w:r>
              <w:rPr>
                <w:sz w:val="19"/>
              </w:rPr>
              <w:t>Supports the indirect line in the budget</w:t>
            </w:r>
          </w:p>
        </w:tc>
      </w:tr>
      <w:tr>
        <w:tc>
          <w:tcPr>
            <w:tcW w:type="dxa" w:w="576"/>
          </w:tcPr>
          <w:p>
            <w:pPr>
              <w:spacing w:after="40" w:before="40"/>
            </w:pPr>
            <w:r/>
            <w:r>
              <w:rPr>
                <w:sz w:val="19"/>
              </w:rPr>
              <w:t>D</w:t>
            </w:r>
          </w:p>
        </w:tc>
        <w:tc>
          <w:tcPr>
            <w:tcW w:type="dxa" w:w="4176"/>
          </w:tcPr>
          <w:p>
            <w:pPr>
              <w:spacing w:after="40" w:before="40"/>
            </w:pPr>
            <w:r/>
            <w:r>
              <w:rPr>
                <w:sz w:val="19"/>
              </w:rPr>
              <w:t>State clinic license for each site</w:t>
            </w:r>
          </w:p>
        </w:tc>
        <w:tc>
          <w:tcPr>
            <w:tcW w:type="dxa" w:w="3888"/>
          </w:tcPr>
          <w:p>
            <w:pPr>
              <w:spacing w:after="40" w:before="40"/>
            </w:pPr>
            <w:r/>
            <w:r>
              <w:rPr>
                <w:sz w:val="19"/>
              </w:rPr>
              <w:t>Confirms the applicant may legally provide the service</w:t>
            </w:r>
          </w:p>
        </w:tc>
      </w:tr>
      <w:tr>
        <w:tc>
          <w:tcPr>
            <w:tcW w:type="dxa" w:w="576"/>
          </w:tcPr>
          <w:p>
            <w:pPr>
              <w:spacing w:after="40" w:before="40"/>
            </w:pPr>
            <w:r/>
            <w:r>
              <w:rPr>
                <w:sz w:val="19"/>
              </w:rPr>
              <w:t>E</w:t>
            </w:r>
          </w:p>
        </w:tc>
        <w:tc>
          <w:tcPr>
            <w:tcW w:type="dxa" w:w="4176"/>
          </w:tcPr>
          <w:p>
            <w:pPr>
              <w:spacing w:after="40" w:before="40"/>
            </w:pPr>
            <w:r/>
            <w:r>
              <w:rPr>
                <w:sz w:val="19"/>
              </w:rPr>
              <w:t>Provider roster with license numbers, expiration dates, and credentialing status</w:t>
            </w:r>
          </w:p>
        </w:tc>
        <w:tc>
          <w:tcPr>
            <w:tcW w:type="dxa" w:w="3888"/>
          </w:tcPr>
          <w:p>
            <w:pPr>
              <w:spacing w:after="40" w:before="40"/>
            </w:pPr>
            <w:r/>
            <w:r>
              <w:rPr>
                <w:sz w:val="19"/>
              </w:rPr>
              <w:t>Confirms the clinical team exists and is current</w:t>
            </w:r>
          </w:p>
        </w:tc>
      </w:tr>
      <w:tr>
        <w:tc>
          <w:tcPr>
            <w:tcW w:type="dxa" w:w="576"/>
          </w:tcPr>
          <w:p>
            <w:pPr>
              <w:spacing w:after="40" w:before="40"/>
            </w:pPr>
            <w:r/>
            <w:r>
              <w:rPr>
                <w:sz w:val="19"/>
              </w:rPr>
              <w:t>F</w:t>
            </w:r>
          </w:p>
        </w:tc>
        <w:tc>
          <w:tcPr>
            <w:tcW w:type="dxa" w:w="4176"/>
          </w:tcPr>
          <w:p>
            <w:pPr>
              <w:spacing w:after="40" w:before="40"/>
            </w:pPr>
            <w:r/>
            <w:r>
              <w:rPr>
                <w:sz w:val="19"/>
              </w:rPr>
              <w:t>Sliding fee discount schedule and policy, with effective date</w:t>
            </w:r>
          </w:p>
        </w:tc>
        <w:tc>
          <w:tcPr>
            <w:tcW w:type="dxa" w:w="3888"/>
          </w:tcPr>
          <w:p>
            <w:pPr>
              <w:spacing w:after="40" w:before="40"/>
            </w:pPr>
            <w:r/>
            <w:r>
              <w:rPr>
                <w:sz w:val="19"/>
              </w:rPr>
              <w:t>Shows how patients who cannot pay are handled</w:t>
            </w:r>
          </w:p>
        </w:tc>
      </w:tr>
      <w:tr>
        <w:tc>
          <w:tcPr>
            <w:tcW w:type="dxa" w:w="576"/>
          </w:tcPr>
          <w:p>
            <w:pPr>
              <w:spacing w:after="40" w:before="40"/>
            </w:pPr>
            <w:r/>
            <w:r>
              <w:rPr>
                <w:sz w:val="19"/>
              </w:rPr>
              <w:t>G</w:t>
            </w:r>
          </w:p>
        </w:tc>
        <w:tc>
          <w:tcPr>
            <w:tcW w:type="dxa" w:w="4176"/>
          </w:tcPr>
          <w:p>
            <w:pPr>
              <w:spacing w:after="40" w:before="40"/>
            </w:pPr>
            <w:r/>
            <w:r>
              <w:rPr>
                <w:sz w:val="19"/>
              </w:rPr>
              <w:t>Quality improvement plan</w:t>
            </w:r>
          </w:p>
        </w:tc>
        <w:tc>
          <w:tcPr>
            <w:tcW w:type="dxa" w:w="3888"/>
          </w:tcPr>
          <w:p>
            <w:pPr>
              <w:spacing w:after="40" w:before="40"/>
            </w:pPr>
            <w:r/>
            <w:r>
              <w:rPr>
                <w:sz w:val="19"/>
              </w:rPr>
              <w:t>Shows measurement is an existing function, not a grant artifact</w:t>
            </w:r>
          </w:p>
        </w:tc>
      </w:tr>
      <w:tr>
        <w:tc>
          <w:tcPr>
            <w:tcW w:type="dxa" w:w="576"/>
          </w:tcPr>
          <w:p>
            <w:pPr>
              <w:spacing w:after="40" w:before="40"/>
            </w:pPr>
            <w:r/>
            <w:r>
              <w:rPr>
                <w:sz w:val="19"/>
              </w:rPr>
              <w:t>H</w:t>
            </w:r>
          </w:p>
        </w:tc>
        <w:tc>
          <w:tcPr>
            <w:tcW w:type="dxa" w:w="4176"/>
          </w:tcPr>
          <w:p>
            <w:pPr>
              <w:spacing w:after="40" w:before="40"/>
            </w:pPr>
            <w:r/>
            <w:r>
              <w:rPr>
                <w:sz w:val="19"/>
              </w:rPr>
              <w:t>Service area map with ZIP codes, patient counts, and travel times to alternatives</w:t>
            </w:r>
          </w:p>
        </w:tc>
        <w:tc>
          <w:tcPr>
            <w:tcW w:type="dxa" w:w="3888"/>
          </w:tcPr>
          <w:p>
            <w:pPr>
              <w:spacing w:after="40" w:before="40"/>
            </w:pPr>
            <w:r/>
            <w:r>
              <w:rPr>
                <w:sz w:val="19"/>
              </w:rPr>
              <w:t>Supports the need section and the duplication question</w:t>
            </w:r>
          </w:p>
        </w:tc>
      </w:tr>
      <w:tr>
        <w:tc>
          <w:tcPr>
            <w:tcW w:type="dxa" w:w="576"/>
          </w:tcPr>
          <w:p>
            <w:pPr>
              <w:spacing w:after="40" w:before="40"/>
            </w:pPr>
            <w:r/>
            <w:r>
              <w:rPr>
                <w:sz w:val="19"/>
              </w:rPr>
              <w:t>I</w:t>
            </w:r>
          </w:p>
        </w:tc>
        <w:tc>
          <w:tcPr>
            <w:tcW w:type="dxa" w:w="4176"/>
          </w:tcPr>
          <w:p>
            <w:pPr>
              <w:spacing w:after="40" w:before="40"/>
            </w:pPr>
            <w:r/>
            <w:r>
              <w:rPr>
                <w:sz w:val="19"/>
              </w:rPr>
              <w:t>Shortage area or medically underserved designation printout</w:t>
            </w:r>
          </w:p>
        </w:tc>
        <w:tc>
          <w:tcPr>
            <w:tcW w:type="dxa" w:w="3888"/>
          </w:tcPr>
          <w:p>
            <w:pPr>
              <w:spacing w:after="40" w:before="40"/>
            </w:pPr>
            <w:r/>
            <w:r>
              <w:rPr>
                <w:sz w:val="19"/>
              </w:rPr>
              <w:t>Third-party confirmation of the access gap</w:t>
            </w:r>
          </w:p>
        </w:tc>
      </w:tr>
      <w:tr>
        <w:tc>
          <w:tcPr>
            <w:tcW w:type="dxa" w:w="576"/>
          </w:tcPr>
          <w:p>
            <w:pPr>
              <w:spacing w:after="40" w:before="40"/>
            </w:pPr>
            <w:r/>
            <w:r>
              <w:rPr>
                <w:sz w:val="19"/>
              </w:rPr>
              <w:t>J</w:t>
            </w:r>
          </w:p>
        </w:tc>
        <w:tc>
          <w:tcPr>
            <w:tcW w:type="dxa" w:w="4176"/>
          </w:tcPr>
          <w:p>
            <w:pPr>
              <w:spacing w:after="40" w:before="40"/>
            </w:pPr>
            <w:r/>
            <w:r>
              <w:rPr>
                <w:sz w:val="19"/>
              </w:rPr>
              <w:t>Letters of support and commitment from referring providers, the hospital, and the county health department</w:t>
            </w:r>
          </w:p>
        </w:tc>
        <w:tc>
          <w:tcPr>
            <w:tcW w:type="dxa" w:w="3888"/>
          </w:tcPr>
          <w:p>
            <w:pPr>
              <w:spacing w:after="40" w:before="40"/>
            </w:pPr>
            <w:r/>
            <w:r>
              <w:rPr>
                <w:sz w:val="19"/>
              </w:rPr>
              <w:t>Confirms partners named in sustainability are real</w:t>
            </w:r>
          </w:p>
        </w:tc>
      </w:tr>
      <w:tr>
        <w:tc>
          <w:tcPr>
            <w:tcW w:type="dxa" w:w="576"/>
          </w:tcPr>
          <w:p>
            <w:pPr>
              <w:spacing w:after="40" w:before="40"/>
            </w:pPr>
            <w:r/>
            <w:r>
              <w:rPr>
                <w:sz w:val="19"/>
              </w:rPr>
              <w:t>K</w:t>
            </w:r>
          </w:p>
        </w:tc>
        <w:tc>
          <w:tcPr>
            <w:tcW w:type="dxa" w:w="4176"/>
          </w:tcPr>
          <w:p>
            <w:pPr>
              <w:spacing w:after="40" w:before="40"/>
            </w:pPr>
            <w:r/>
            <w:r>
              <w:rPr>
                <w:sz w:val="19"/>
              </w:rPr>
              <w:t>Job description for the funded position</w:t>
            </w:r>
          </w:p>
        </w:tc>
        <w:tc>
          <w:tcPr>
            <w:tcW w:type="dxa" w:w="3888"/>
          </w:tcPr>
          <w:p>
            <w:pPr>
              <w:spacing w:after="40" w:before="40"/>
            </w:pPr>
            <w:r/>
            <w:r>
              <w:rPr>
                <w:sz w:val="19"/>
              </w:rPr>
              <w:t>Confirms license level and scope</w:t>
            </w:r>
          </w:p>
        </w:tc>
      </w:tr>
      <w:tr>
        <w:tc>
          <w:tcPr>
            <w:tcW w:type="dxa" w:w="576"/>
          </w:tcPr>
          <w:p>
            <w:pPr>
              <w:spacing w:after="40" w:before="40"/>
            </w:pPr>
            <w:r/>
            <w:r>
              <w:rPr>
                <w:sz w:val="19"/>
              </w:rPr>
              <w:t>L</w:t>
            </w:r>
          </w:p>
        </w:tc>
        <w:tc>
          <w:tcPr>
            <w:tcW w:type="dxa" w:w="4176"/>
          </w:tcPr>
          <w:p>
            <w:pPr>
              <w:spacing w:after="40" w:before="40"/>
            </w:pPr>
            <w:r/>
            <w:r>
              <w:rPr>
                <w:sz w:val="19"/>
              </w:rPr>
              <w:t>Salary benchmark source</w:t>
            </w:r>
          </w:p>
        </w:tc>
        <w:tc>
          <w:tcPr>
            <w:tcW w:type="dxa" w:w="3888"/>
          </w:tcPr>
          <w:p>
            <w:pPr>
              <w:spacing w:after="40" w:before="40"/>
            </w:pPr>
            <w:r/>
            <w:r>
              <w:rPr>
                <w:sz w:val="19"/>
              </w:rPr>
              <w:t>Supports the largest budget line</w:t>
            </w:r>
          </w:p>
        </w:tc>
      </w:tr>
      <w:tr>
        <w:tc>
          <w:tcPr>
            <w:tcW w:type="dxa" w:w="576"/>
          </w:tcPr>
          <w:p>
            <w:pPr>
              <w:spacing w:after="40" w:before="40"/>
            </w:pPr>
            <w:r/>
            <w:r>
              <w:rPr>
                <w:sz w:val="19"/>
              </w:rPr>
              <w:t>M</w:t>
            </w:r>
          </w:p>
        </w:tc>
        <w:tc>
          <w:tcPr>
            <w:tcW w:type="dxa" w:w="4176"/>
          </w:tcPr>
          <w:p>
            <w:pPr>
              <w:spacing w:after="40" w:before="40"/>
            </w:pPr>
            <w:r/>
            <w:r>
              <w:rPr>
                <w:sz w:val="19"/>
              </w:rPr>
              <w:t>Electronic health record vendor quote</w:t>
            </w:r>
          </w:p>
        </w:tc>
        <w:tc>
          <w:tcPr>
            <w:tcW w:type="dxa" w:w="3888"/>
          </w:tcPr>
          <w:p>
            <w:pPr>
              <w:spacing w:after="40" w:before="40"/>
            </w:pPr>
            <w:r/>
            <w:r>
              <w:rPr>
                <w:sz w:val="19"/>
              </w:rPr>
              <w:t>Supports the one-time build line</w:t>
            </w:r>
          </w:p>
        </w:tc>
      </w:tr>
      <w:tr>
        <w:tc>
          <w:tcPr>
            <w:tcW w:type="dxa" w:w="576"/>
          </w:tcPr>
          <w:p>
            <w:pPr>
              <w:spacing w:after="40" w:before="40"/>
            </w:pPr>
            <w:r/>
            <w:r>
              <w:rPr>
                <w:sz w:val="19"/>
              </w:rPr>
              <w:t>N</w:t>
            </w:r>
          </w:p>
        </w:tc>
        <w:tc>
          <w:tcPr>
            <w:tcW w:type="dxa" w:w="4176"/>
          </w:tcPr>
          <w:p>
            <w:pPr>
              <w:spacing w:after="40" w:before="40"/>
            </w:pPr>
            <w:r/>
            <w:r>
              <w:rPr>
                <w:sz w:val="19"/>
              </w:rPr>
              <w:t>Board roster with affiliations and terms</w:t>
            </w:r>
          </w:p>
        </w:tc>
        <w:tc>
          <w:tcPr>
            <w:tcW w:type="dxa" w:w="3888"/>
          </w:tcPr>
          <w:p>
            <w:pPr>
              <w:spacing w:after="40" w:before="40"/>
            </w:pPr>
            <w:r/>
            <w:r>
              <w:rPr>
                <w:sz w:val="19"/>
              </w:rPr>
              <w:t>Governance</w:t>
            </w:r>
          </w:p>
        </w:tc>
      </w:tr>
      <w:tr>
        <w:tc>
          <w:tcPr>
            <w:tcW w:type="dxa" w:w="576"/>
          </w:tcPr>
          <w:p>
            <w:pPr>
              <w:spacing w:after="40" w:before="40"/>
            </w:pPr>
            <w:r/>
            <w:r>
              <w:rPr>
                <w:sz w:val="19"/>
              </w:rPr>
              <w:t>O</w:t>
            </w:r>
          </w:p>
        </w:tc>
        <w:tc>
          <w:tcPr>
            <w:tcW w:type="dxa" w:w="4176"/>
          </w:tcPr>
          <w:p>
            <w:pPr>
              <w:spacing w:after="40" w:before="40"/>
            </w:pPr>
            <w:r/>
            <w:r>
              <w:rPr>
                <w:sz w:val="19"/>
              </w:rPr>
              <w:t>Organizational chart showing where the funded position sits</w:t>
            </w:r>
          </w:p>
        </w:tc>
        <w:tc>
          <w:tcPr>
            <w:tcW w:type="dxa" w:w="3888"/>
          </w:tcPr>
          <w:p>
            <w:pPr>
              <w:spacing w:after="40" w:before="40"/>
            </w:pPr>
            <w:r/>
            <w:r>
              <w:rPr>
                <w:sz w:val="19"/>
              </w:rPr>
              <w:t>Supervision and accountability</w:t>
            </w:r>
          </w:p>
        </w:tc>
      </w:tr>
    </w:tbl>
    <w:p>
      <w:pPr>
        <w:spacing w:after="0"/>
      </w:pPr>
    </w:p>
    <w:p>
      <w:r>
        <w:br w:type="page"/>
      </w:r>
    </w:p>
    <w:p>
      <w:pPr>
        <w:pStyle w:val="Heading1"/>
      </w:pPr>
      <w:r>
        <w:t>Adaptation Checklist</w:t>
      </w:r>
    </w:p>
    <w:p>
      <w:r>
        <w:rPr>
          <w:b w:val="0"/>
          <w:i w:val="0"/>
        </w:rPr>
        <w:t>Work through this list in order. Steps one through five are data pulls, and doing them before you write prevents the most common rewrite, which is discovering at the budget stage that the volume math does not support the salary.</w:t>
      </w:r>
    </w:p>
    <w:p>
      <w:pPr>
        <w:pStyle w:val="ListNumber"/>
      </w:pPr>
      <w:r>
        <w:t>Run a patient count by ZIP code in your electronic health record for the most recent complete year. This defines the service area section.</w:t>
      </w:r>
    </w:p>
    <w:p>
      <w:pPr>
        <w:pStyle w:val="ListNumber"/>
      </w:pPr>
      <w:r>
        <w:t>Pull payer mix from your practice management system for the same period. This appears in the need section and answers the billable-work question.</w:t>
      </w:r>
    </w:p>
    <w:p>
      <w:pPr>
        <w:pStyle w:val="ListNumber"/>
      </w:pPr>
      <w:r>
        <w:t>Pull your current performance on the clinical measure you intend to report, along with its denominator. This becomes the baseline, and it must be the same report you will use to measure progress.</w:t>
      </w:r>
    </w:p>
    <w:p>
      <w:pPr>
        <w:pStyle w:val="ListNumber"/>
      </w:pPr>
      <w:r>
        <w:t>Get a salary benchmark for the position you are funding, from a named source you can attach.</w:t>
      </w:r>
    </w:p>
    <w:p>
      <w:pPr>
        <w:pStyle w:val="ListNumber"/>
      </w:pPr>
      <w:r>
        <w:t>Confirm your indirect rate and its base, or decide to elect the de minimis rate under 2 CFR 200.414(f), and be ready to state which.</w:t>
      </w:r>
    </w:p>
    <w:p>
      <w:pPr>
        <w:pStyle w:val="ListNumber"/>
      </w:pPr>
      <w:r>
        <w:t>Rebuild the volume math with your own visit count, screening rate, positive rate, acceptance rate, and sessions per patient. Divide encounters by clinical days and confirm the caseload is one a real clinician could carry.</w:t>
      </w:r>
    </w:p>
    <w:p>
      <w:pPr>
        <w:pStyle w:val="ListNumber"/>
      </w:pPr>
      <w:r>
        <w:t>Rebuild the budget line by line, keeping the basis column. Every line needs a quote, a rate, or a unit calculation behind it.</w:t>
      </w:r>
    </w:p>
    <w:p>
      <w:pPr>
        <w:pStyle w:val="ListNumber"/>
      </w:pPr>
      <w:r>
        <w:t>Divide the funded clinician's salary plus fringe by projected encounters and put the resulting cost per encounter in the narrative before the reviewer calculates it.</w:t>
      </w:r>
    </w:p>
    <w:p>
      <w:pPr>
        <w:pStyle w:val="ListNumber"/>
      </w:pPr>
      <w:r>
        <w:t>Replace every outcome row with your own baseline, target, data source, and named report owner. Delete any row you cannot pull a report for.</w:t>
      </w:r>
    </w:p>
    <w:p>
      <w:pPr>
        <w:pStyle w:val="ListNumber"/>
      </w:pPr>
      <w:r>
        <w:t>Verify your shortage area or underserved designation status on the day you submit, and attach the printout.</w:t>
      </w:r>
    </w:p>
    <w:p>
      <w:pPr>
        <w:pStyle w:val="ListNumber"/>
      </w:pPr>
      <w:r>
        <w:t>Confirm the current measure specification and version number in the Uniform Data System manual for the year you will report.</w:t>
      </w:r>
    </w:p>
    <w:p>
      <w:pPr>
        <w:pStyle w:val="ListNumber"/>
      </w:pPr>
      <w:r>
        <w:t>Build the sustainability table last, and mark each revenue source as confirmed or intended. Do not round the totals to close the gap.</w:t>
      </w:r>
    </w:p>
    <w:p>
      <w:pPr>
        <w:pStyle w:val="ListNumber"/>
      </w:pPr>
      <w:r>
        <w:t>Check the funder's instructions for page limits, required attachments, and formatting, and cut to fit. A section that exceeds a stated limit is scored against the applicant.</w:t>
      </w:r>
    </w:p>
    <w:p>
      <w:pPr>
        <w:pStyle w:val="ListNumber"/>
      </w:pPr>
      <w:r>
        <w:t>Write the executive summary last, after the numbers settle, and check that every figure in it matches the figure in the section it summarizes.</w:t>
      </w:r>
    </w:p>
    <w:p>
      <w:pPr>
        <w:pStyle w:val="Heading2"/>
      </w:pPr>
      <w:r>
        <w:t>Common reasons a clinic proposal loses points</w:t>
      </w:r>
    </w:p>
    <w:p>
      <w:pPr>
        <w:pStyle w:val="ListBullet"/>
      </w:pPr>
      <w:r>
        <w:t>National statistics in the need section instead of service-area data the applicant can produce.</w:t>
      </w:r>
    </w:p>
    <w:p>
      <w:pPr>
        <w:pStyle w:val="ListBullet"/>
      </w:pPr>
      <w:r>
        <w:t>Outcome measures the applicant invented, with no published denominator.</w:t>
      </w:r>
    </w:p>
    <w:p>
      <w:pPr>
        <w:pStyle w:val="ListBullet"/>
      </w:pPr>
      <w:r>
        <w:t>An outcome row missing its data source or the person who pulls the report.</w:t>
      </w:r>
    </w:p>
    <w:p>
      <w:pPr>
        <w:pStyle w:val="ListBullet"/>
      </w:pPr>
      <w:r>
        <w:t>Volume projections that do not divide into a workable daily caseload.</w:t>
      </w:r>
    </w:p>
    <w:p>
      <w:pPr>
        <w:pStyle w:val="ListBullet"/>
      </w:pPr>
      <w:r>
        <w:t>A budget line with no stated basis, most often indirect costs or a supplies figure.</w:t>
      </w:r>
    </w:p>
    <w:p>
      <w:pPr>
        <w:pStyle w:val="ListBullet"/>
      </w:pPr>
      <w:r>
        <w:t>Billing revenue starting in month one, which shows the applicant has not enrolled a clinician with a payer before.</w:t>
      </w:r>
    </w:p>
    <w:p>
      <w:pPr>
        <w:pStyle w:val="ListBullet"/>
      </w:pPr>
      <w:r>
        <w:t>A sustainability plan that promises to seek additional grants instead of naming a revenue path.</w:t>
      </w:r>
    </w:p>
    <w:p>
      <w:pPr>
        <w:pStyle w:val="ListBullet"/>
      </w:pPr>
      <w:r>
        <w:t>A caseload projection with no attendance strategy attached to it.</w:t>
      </w:r>
    </w:p>
    <w:p>
      <w:r>
        <w:br w:type="page"/>
      </w:r>
    </w:p>
    <w:p>
      <w:pPr>
        <w:pStyle w:val="Heading1"/>
      </w:pPr>
      <w:r>
        <w:t>Sources Cited in This Document</w:t>
      </w:r>
    </w:p>
    <w:p>
      <w:r>
        <w:rPr>
          <w:b w:val="0"/>
          <w:i w:val="0"/>
        </w:rPr>
        <w:t>The composite clinic and its figures are illustrative. The references below are real and were current as of September 2026. Verify each one for your own reporting year before you cite it.</w:t>
      </w:r>
    </w:p>
    <w:p>
      <w:pPr>
        <w:pStyle w:val="ListBullet"/>
      </w:pPr>
      <w:r>
        <w:t>Sliding fee discount schedule requirements, including the full discount or nominal charge at or below 100 percent of the Federal Poverty Guidelines and at least three discount pay classes between 101 and 200 percent: HRSA, Health Center Program Compliance Manual, Chapter 9 (implementing Section 330(k)(3)(G) of the Public Health Service Act), last reviewed November 2025. https://bphc.hrsa.gov/compliance/compliance-manual/chapter9</w:t>
      </w:r>
    </w:p>
    <w:p>
      <w:pPr>
        <w:pStyle w:val="ListBullet"/>
      </w:pPr>
      <w:r>
        <w:t>Uniform Data System reporting, including the February 15 annual filing date and the clinical quality measure specifications referenced in this document: HRSA, UDS Training and Technical Assistance. https://bphc.hrsa.gov/data-reporting/uds-training-and-technical-assistance</w:t>
      </w:r>
    </w:p>
    <w:p>
      <w:pPr>
        <w:pStyle w:val="ListBullet"/>
      </w:pPr>
      <w:r>
        <w:t>De minimis indirect cost rate of up to 15 percent of modified total direct costs: 2 CFR 200.414(f). https://www.ecfr.gov/current/title-2/section-200.414</w:t>
      </w:r>
    </w:p>
    <w:p>
      <w:pPr>
        <w:pStyle w:val="ListBullet"/>
      </w:pPr>
      <w:r>
        <w:t>Medically Underserved Area and Health Professional Shortage Area designation lookup: HRSA data portal. https://data.hrsa.gov/topics/health-workforce/shortage-areas</w:t>
      </w:r>
    </w:p>
    <w:p>
      <w:pPr>
        <w:pStyle w:val="ListBullet"/>
      </w:pPr>
      <w:r>
        <w:t>Population characteristics, including uninsured share, language spoken at home, and age distribution: U.S. Census Bureau, American Community Survey. https://www.census.gov/programs-surveys/acs</w:t>
      </w:r>
    </w:p>
    <w:p>
      <w:pPr>
        <w:pStyle w:val="ListBullet"/>
      </w:pPr>
      <w:r>
        <w:t>Entry point for organizations that are not current Health Center Program recipients: HRSA, New Access Points funding opportunity. https://bphc.hrsa.gov/funding/funding-opportunities/new-access-points</w:t>
      </w:r>
    </w:p>
    <w:p>
      <w:pPr>
        <w:pStyle w:val="Heading2"/>
      </w:pPr>
      <w:r>
        <w:t>About this template</w:t>
      </w:r>
    </w:p>
    <w:p>
      <w:r>
        <w:rPr>
          <w:b w:val="0"/>
          <w:i w:val="0"/>
        </w:rPr>
        <w:t>This sample proposal accompanies the article "Sample Grant Proposal for Health Clinic Programs: A Complete Example" on the GrantCue blog. It is free to adapt, copy, and submit under your own organization's name. There is no attribution requirement and no restriction on commercial use by a grant-seeking organization.</w:t>
      </w:r>
    </w:p>
    <w:p>
      <w:r>
        <w:rPr>
          <w:b w:val="0"/>
          <w:i w:val="0"/>
        </w:rPr>
        <w:t>GrantCue searches federal and state grant portals in one place and carries IRS Form 990-PF foundation data, so a clinic can see which funders have supported clinics before. Deadlines, tasks, and the application pipeline stay with the team.</w:t>
      </w:r>
    </w:p>
    <w:p>
      <w:pPr>
        <w:jc w:val="center"/>
      </w:pPr>
      <w:r>
        <w:rPr>
          <w:b/>
          <w:i w:val="0"/>
        </w:rPr>
        <w:t>GrantCue - grantcue.com/blog/sample-grant-proposal-health-clinic</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56066"/>
        <w:sz w:val="17"/>
      </w:rPr>
      <w:t>GrantCue - grantcue.com/blog/sample-grant-proposal-health-clinic</w:t>
    </w:r>
  </w:p>
  <w:p>
    <w:pPr>
      <w:jc w:val="center"/>
    </w:pPr>
    <w:r>
      <w:rPr>
        <w:color w:val="556066"/>
        <w:sz w:val="17"/>
      </w:rPr>
      <w:t xml:space="preserve">Page </w:t>
    </w:r>
    <w:r>
      <w:rPr>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D4A"/>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F3D4A"/>
      <w:sz w:val="27"/>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2E5A6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D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val="0"/>
      <w:iCs/>
      <w:color w:val="4A5A6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Grant Proposal: Community Health Clinic</dc:title>
  <dc:subject>A complete, adaptable health clinic grant proposal with budget and outcome measures</dc:subject>
  <dc:creator>GrantCue</dc:creator>
  <cp:keywords>sample grant proposal health clinic, clinic grant budget, community health center funding</cp:keywords>
  <dc:description>GrantCue - grantcue.com/blog/sample-grant-proposal-health-clinic</dc:description>
  <cp:lastModifiedBy/>
  <cp:revision>1</cp:revision>
  <dcterms:created xsi:type="dcterms:W3CDTF">2013-12-23T23:15:00Z</dcterms:created>
  <dcterms:modified xsi:type="dcterms:W3CDTF">2013-12-23T23:15:00Z</dcterms:modified>
  <cp:category/>
</cp:coreProperties>
</file>