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Conservation Grant Proposal</w:t>
      </w:r>
    </w:p>
    <w:p>
      <w:pPr>
        <w:pStyle w:val="Subtitle"/>
      </w:pPr>
      <w:r>
        <w:t>Mill Fork Riparian Restoration Project: a complete, adaptable $75,000 request to restore 9,240 linear feet of streambank across five private parcels over 18 months.</w:t>
      </w:r>
    </w:p>
    <w:tbl>
      <w:tblPr>
        <w:tblStyle w:val="TableGrid"/>
        <w:tblW w:type="auto" w:w="0"/>
        <w:jc w:val="center"/>
        <w:tblLayout w:type="fixed"/>
        <w:tblLook w:firstColumn="1" w:firstRow="1" w:lastColumn="0" w:lastRow="0" w:noHBand="0" w:noVBand="1" w:val="04A0"/>
      </w:tblPr>
      <w:tblGrid>
        <w:gridCol w:w="4680"/>
        <w:gridCol w:w="4680"/>
      </w:tblGrid>
      <w:tr>
        <w:trPr>
          <w:tblHeader w:val="true"/>
        </w:trPr>
        <w:tc>
          <w:tcPr>
            <w:tcW w:type="dxa" w:w="2246"/>
            <w:shd w:val="clear" w:color="auto" w:fill="DDE8E2"/>
          </w:tcPr>
          <w:p>
            <w:pPr>
              <w:spacing w:before="40" w:after="40" w:line="240" w:lineRule="auto"/>
            </w:pPr>
            <w:r/>
            <w:r>
              <w:rPr>
                <w:rFonts w:ascii="Calibri" w:hAnsi="Calibri"/>
                <w:b/>
                <w:i w:val="0"/>
                <w:sz w:val="19"/>
              </w:rPr>
              <w:t>Field</w:t>
            </w:r>
          </w:p>
        </w:tc>
        <w:tc>
          <w:tcPr>
            <w:tcW w:type="dxa" w:w="7114"/>
            <w:shd w:val="clear" w:color="auto" w:fill="DDE8E2"/>
          </w:tcPr>
          <w:p>
            <w:pPr>
              <w:spacing w:before="40" w:after="40" w:line="240" w:lineRule="auto"/>
            </w:pPr>
            <w:r/>
            <w:r>
              <w:rPr>
                <w:rFonts w:ascii="Calibri" w:hAnsi="Calibri"/>
                <w:b/>
                <w:i w:val="0"/>
                <w:sz w:val="19"/>
              </w:rPr>
              <w:t>Detail</w:t>
            </w:r>
          </w:p>
        </w:tc>
      </w:tr>
      <w:tr>
        <w:tc>
          <w:tcPr>
            <w:tcW w:type="dxa" w:w="2246"/>
          </w:tcPr>
          <w:p>
            <w:pPr>
              <w:spacing w:before="40" w:after="40" w:line="240" w:lineRule="auto"/>
            </w:pPr>
            <w:r/>
            <w:r>
              <w:rPr>
                <w:rFonts w:ascii="Calibri" w:hAnsi="Calibri"/>
                <w:b w:val="0"/>
                <w:i w:val="0"/>
                <w:sz w:val="19"/>
              </w:rPr>
              <w:t>Project title</w:t>
            </w:r>
          </w:p>
        </w:tc>
        <w:tc>
          <w:tcPr>
            <w:tcW w:type="dxa" w:w="7114"/>
          </w:tcPr>
          <w:p>
            <w:pPr>
              <w:spacing w:before="40" w:after="40" w:line="240" w:lineRule="auto"/>
            </w:pPr>
            <w:r/>
            <w:r>
              <w:rPr>
                <w:rFonts w:ascii="Calibri" w:hAnsi="Calibri"/>
                <w:b w:val="0"/>
                <w:i w:val="0"/>
                <w:sz w:val="19"/>
              </w:rPr>
              <w:t>Mill Fork Riparian Restoration Project</w:t>
            </w:r>
          </w:p>
        </w:tc>
      </w:tr>
      <w:tr>
        <w:tc>
          <w:tcPr>
            <w:tcW w:type="dxa" w:w="2246"/>
          </w:tcPr>
          <w:p>
            <w:pPr>
              <w:spacing w:before="40" w:after="40" w:line="240" w:lineRule="auto"/>
            </w:pPr>
            <w:r/>
            <w:r>
              <w:rPr>
                <w:rFonts w:ascii="Calibri" w:hAnsi="Calibri"/>
                <w:b w:val="0"/>
                <w:i w:val="0"/>
                <w:sz w:val="19"/>
              </w:rPr>
              <w:t>Applicant</w:t>
            </w:r>
          </w:p>
        </w:tc>
        <w:tc>
          <w:tcPr>
            <w:tcW w:type="dxa" w:w="7114"/>
          </w:tcPr>
          <w:p>
            <w:pPr>
              <w:spacing w:before="40" w:after="40" w:line="240" w:lineRule="auto"/>
            </w:pPr>
            <w:r/>
            <w:r>
              <w:rPr>
                <w:rFonts w:ascii="Calibri" w:hAnsi="Calibri"/>
                <w:b w:val="0"/>
                <w:i w:val="0"/>
                <w:sz w:val="19"/>
              </w:rPr>
              <w:t>Headwaters Stewardship Alliance (a composite example organization, not a real nonprofit)</w:t>
            </w:r>
          </w:p>
        </w:tc>
      </w:tr>
      <w:tr>
        <w:tc>
          <w:tcPr>
            <w:tcW w:type="dxa" w:w="2246"/>
          </w:tcPr>
          <w:p>
            <w:pPr>
              <w:spacing w:before="40" w:after="40" w:line="240" w:lineRule="auto"/>
            </w:pPr>
            <w:r/>
            <w:r>
              <w:rPr>
                <w:rFonts w:ascii="Calibri" w:hAnsi="Calibri"/>
                <w:b w:val="0"/>
                <w:i w:val="0"/>
                <w:sz w:val="19"/>
              </w:rPr>
              <w:t>Funder</w:t>
            </w:r>
          </w:p>
        </w:tc>
        <w:tc>
          <w:tcPr>
            <w:tcW w:type="dxa" w:w="7114"/>
          </w:tcPr>
          <w:p>
            <w:pPr>
              <w:spacing w:before="40" w:after="40" w:line="240" w:lineRule="auto"/>
            </w:pPr>
            <w:r/>
            <w:r>
              <w:rPr>
                <w:rFonts w:ascii="Calibri" w:hAnsi="Calibri"/>
                <w:b w:val="0"/>
                <w:i w:val="0"/>
                <w:sz w:val="19"/>
              </w:rPr>
              <w:t>[Foundation Name], [Program Name] (a regional family foundation that funds land and water conservation)</w:t>
            </w:r>
          </w:p>
        </w:tc>
      </w:tr>
      <w:tr>
        <w:tc>
          <w:tcPr>
            <w:tcW w:type="dxa" w:w="2246"/>
          </w:tcPr>
          <w:p>
            <w:pPr>
              <w:spacing w:before="40" w:after="40" w:line="240" w:lineRule="auto"/>
            </w:pPr>
            <w:r/>
            <w:r>
              <w:rPr>
                <w:rFonts w:ascii="Calibri" w:hAnsi="Calibri"/>
                <w:b w:val="0"/>
                <w:i w:val="0"/>
                <w:sz w:val="19"/>
              </w:rPr>
              <w:t>Amount requested</w:t>
            </w:r>
          </w:p>
        </w:tc>
        <w:tc>
          <w:tcPr>
            <w:tcW w:type="dxa" w:w="7114"/>
          </w:tcPr>
          <w:p>
            <w:pPr>
              <w:spacing w:before="40" w:after="40" w:line="240" w:lineRule="auto"/>
            </w:pPr>
            <w:r/>
            <w:r>
              <w:rPr>
                <w:rFonts w:ascii="Calibri" w:hAnsi="Calibri"/>
                <w:b w:val="0"/>
                <w:i w:val="0"/>
                <w:sz w:val="19"/>
              </w:rPr>
              <w:t>$75,000</w:t>
            </w:r>
          </w:p>
        </w:tc>
      </w:tr>
      <w:tr>
        <w:tc>
          <w:tcPr>
            <w:tcW w:type="dxa" w:w="2246"/>
          </w:tcPr>
          <w:p>
            <w:pPr>
              <w:spacing w:before="40" w:after="40" w:line="240" w:lineRule="auto"/>
            </w:pPr>
            <w:r/>
            <w:r>
              <w:rPr>
                <w:rFonts w:ascii="Calibri" w:hAnsi="Calibri"/>
                <w:b w:val="0"/>
                <w:i w:val="0"/>
                <w:sz w:val="19"/>
              </w:rPr>
              <w:t>Project period</w:t>
            </w:r>
          </w:p>
        </w:tc>
        <w:tc>
          <w:tcPr>
            <w:tcW w:type="dxa" w:w="7114"/>
          </w:tcPr>
          <w:p>
            <w:pPr>
              <w:spacing w:before="40" w:after="40" w:line="240" w:lineRule="auto"/>
            </w:pPr>
            <w:r/>
            <w:r>
              <w:rPr>
                <w:rFonts w:ascii="Calibri" w:hAnsi="Calibri"/>
                <w:b w:val="0"/>
                <w:i w:val="0"/>
                <w:sz w:val="19"/>
              </w:rPr>
              <w:t>18 months (project months 1 through 18)</w:t>
            </w:r>
          </w:p>
        </w:tc>
      </w:tr>
      <w:tr>
        <w:tc>
          <w:tcPr>
            <w:tcW w:type="dxa" w:w="2246"/>
          </w:tcPr>
          <w:p>
            <w:pPr>
              <w:spacing w:before="40" w:after="40" w:line="240" w:lineRule="auto"/>
            </w:pPr>
            <w:r/>
            <w:r>
              <w:rPr>
                <w:rFonts w:ascii="Calibri" w:hAnsi="Calibri"/>
                <w:b w:val="0"/>
                <w:i w:val="0"/>
                <w:sz w:val="19"/>
              </w:rPr>
              <w:t>Total project value</w:t>
            </w:r>
          </w:p>
        </w:tc>
        <w:tc>
          <w:tcPr>
            <w:tcW w:type="dxa" w:w="7114"/>
          </w:tcPr>
          <w:p>
            <w:pPr>
              <w:spacing w:before="40" w:after="40" w:line="240" w:lineRule="auto"/>
            </w:pPr>
            <w:r/>
            <w:r>
              <w:rPr>
                <w:rFonts w:ascii="Calibri" w:hAnsi="Calibri"/>
                <w:b w:val="0"/>
                <w:i w:val="0"/>
                <w:sz w:val="19"/>
              </w:rPr>
              <w:t>$140,100, including $65,100 in documented match and leverage</w:t>
            </w:r>
          </w:p>
        </w:tc>
      </w:tr>
      <w:tr>
        <w:tc>
          <w:tcPr>
            <w:tcW w:type="dxa" w:w="2246"/>
          </w:tcPr>
          <w:p>
            <w:pPr>
              <w:spacing w:before="40" w:after="40" w:line="240" w:lineRule="auto"/>
            </w:pPr>
            <w:r/>
            <w:r>
              <w:rPr>
                <w:rFonts w:ascii="Calibri" w:hAnsi="Calibri"/>
                <w:b w:val="0"/>
                <w:i w:val="0"/>
                <w:sz w:val="19"/>
              </w:rPr>
              <w:t>Project scope</w:t>
            </w:r>
          </w:p>
        </w:tc>
        <w:tc>
          <w:tcPr>
            <w:tcW w:type="dxa" w:w="7114"/>
          </w:tcPr>
          <w:p>
            <w:pPr>
              <w:spacing w:before="40" w:after="40" w:line="240" w:lineRule="auto"/>
            </w:pPr>
            <w:r/>
            <w:r>
              <w:rPr>
                <w:rFonts w:ascii="Calibri" w:hAnsi="Calibri"/>
                <w:b w:val="0"/>
                <w:i w:val="0"/>
                <w:sz w:val="19"/>
              </w:rPr>
              <w:t>9,240 linear feet of streambank; 22 acres of riparian buffer; 4,400 native stems across 18 species; 9 acres of invasive treatment; 3,800 linear feet of livestock exclusion fencing; 2 hardened crossings; 2 off-stream watering systems</w:t>
            </w:r>
          </w:p>
        </w:tc>
      </w:tr>
      <w:tr>
        <w:tc>
          <w:tcPr>
            <w:tcW w:type="dxa" w:w="2246"/>
          </w:tcPr>
          <w:p>
            <w:pPr>
              <w:spacing w:before="40" w:after="40" w:line="240" w:lineRule="auto"/>
            </w:pPr>
            <w:r/>
            <w:r>
              <w:rPr>
                <w:rFonts w:ascii="Calibri" w:hAnsi="Calibri"/>
                <w:b w:val="0"/>
                <w:i w:val="0"/>
                <w:sz w:val="19"/>
              </w:rPr>
              <w:t>Cost per unit</w:t>
            </w:r>
          </w:p>
        </w:tc>
        <w:tc>
          <w:tcPr>
            <w:tcW w:type="dxa" w:w="7114"/>
          </w:tcPr>
          <w:p>
            <w:pPr>
              <w:spacing w:before="40" w:after="40" w:line="240" w:lineRule="auto"/>
            </w:pPr>
            <w:r/>
            <w:r>
              <w:rPr>
                <w:rFonts w:ascii="Calibri" w:hAnsi="Calibri"/>
                <w:b w:val="0"/>
                <w:i w:val="0"/>
                <w:sz w:val="19"/>
              </w:rPr>
              <w:t>$8.12 per linear foot of restored streambank; $3,409 per acre of buffer established</w:t>
            </w:r>
          </w:p>
        </w:tc>
      </w:tr>
      <w:tr>
        <w:tc>
          <w:tcPr>
            <w:tcW w:type="dxa" w:w="2246"/>
          </w:tcPr>
          <w:p>
            <w:pPr>
              <w:spacing w:before="40" w:after="40" w:line="240" w:lineRule="auto"/>
            </w:pPr>
            <w:r/>
            <w:r>
              <w:rPr>
                <w:rFonts w:ascii="Calibri" w:hAnsi="Calibri"/>
                <w:b w:val="0"/>
                <w:i w:val="0"/>
                <w:sz w:val="19"/>
              </w:rPr>
              <w:t>Site control</w:t>
            </w:r>
          </w:p>
        </w:tc>
        <w:tc>
          <w:tcPr>
            <w:tcW w:type="dxa" w:w="7114"/>
          </w:tcPr>
          <w:p>
            <w:pPr>
              <w:spacing w:before="40" w:after="40" w:line="240" w:lineRule="auto"/>
            </w:pPr>
            <w:r/>
            <w:r>
              <w:rPr>
                <w:rFonts w:ascii="Calibri" w:hAnsi="Calibri"/>
                <w:b w:val="0"/>
                <w:i w:val="0"/>
                <w:sz w:val="19"/>
              </w:rPr>
              <w:t>Executed 15-year landowner restoration agreements on four of five parcels; the fifth is in final review with signature expected in project month 2</w:t>
            </w:r>
          </w:p>
        </w:tc>
      </w:tr>
      <w:tr>
        <w:tc>
          <w:tcPr>
            <w:tcW w:type="dxa" w:w="2246"/>
          </w:tcPr>
          <w:p>
            <w:pPr>
              <w:spacing w:before="40" w:after="40" w:line="240" w:lineRule="auto"/>
            </w:pPr>
            <w:r/>
            <w:r>
              <w:rPr>
                <w:rFonts w:ascii="Calibri" w:hAnsi="Calibri"/>
                <w:b w:val="0"/>
                <w:i w:val="0"/>
                <w:sz w:val="19"/>
              </w:rPr>
              <w:t>Contact</w:t>
            </w:r>
          </w:p>
        </w:tc>
        <w:tc>
          <w:tcPr>
            <w:tcW w:type="dxa" w:w="7114"/>
          </w:tcPr>
          <w:p>
            <w:pPr>
              <w:spacing w:before="40" w:after="40" w:line="240" w:lineRule="auto"/>
            </w:pPr>
            <w:r/>
            <w:r>
              <w:rPr>
                <w:rFonts w:ascii="Calibri" w:hAnsi="Calibri"/>
                <w:b w:val="0"/>
                <w:i w:val="0"/>
                <w:sz w:val="19"/>
              </w:rPr>
              <w:t>Executive Director, Headwaters Stewardship Alliance</w:t>
            </w:r>
          </w:p>
        </w:tc>
      </w:tr>
    </w:tbl>
    <w:p>
      <w:pPr>
        <w:pStyle w:val="Caption"/>
      </w:pPr>
      <w:r>
        <w:t>Proposal summary sheet. Reviewers screen against this table before they read a word of narrative, so every number here reappears, unchanged, somewhere below.</w:t>
      </w:r>
    </w:p>
    <w:p>
      <w:pPr>
        <w:pStyle w:val="IntenseQuote"/>
      </w:pPr>
      <w:r>
        <w:t>How to use this document: this is a complete worked proposal, not an outline. Every section is written out in full so you can read it as a model, then replace the example's site, species, prices, and organizational facts with your own. Square-bracket fields such as [Foundation Name] are the only blanks; everything else is finished prose. Section 18 lists exactly what to swap and where each number reappears, and Section 19 is the arithmetic check a reviewer will run on your version.</w:t>
      </w:r>
    </w:p>
    <w:p>
      <w:pPr>
        <w:pStyle w:val="Caption"/>
      </w:pPr>
      <w:r>
        <w:t>Accuracy note: Headwaters Stewardship Alliance, Mill Fork, and the five parcels are a composite example built to be realistic and internally consistent. They are not a real organization, a real stream, or real properties, and no real person appears in this document. The unit prices, baseline measurements, and match figures are illustrative. Price stems, shelters, fencing, contracted treatment, and laboratory work against local quotes before using any figure here in a live request.</w:t>
      </w:r>
    </w:p>
    <w:p>
      <w:r>
        <w:br w:type="page"/>
      </w:r>
    </w:p>
    <w:p>
      <w:pPr>
        <w:pStyle w:val="Heading1"/>
      </w:pPr>
      <w:r>
        <w:t>1. Cover Letter</w:t>
      </w:r>
    </w:p>
    <w:p>
      <w:pPr>
        <w:spacing w:after="0"/>
      </w:pPr>
      <w:r>
        <w:t>[Date]</w:t>
      </w:r>
    </w:p>
    <w:p>
      <w:pPr>
        <w:spacing w:after="0"/>
      </w:pPr>
      <w:r>
        <w:t>[Program Officer Name and Title]</w:t>
      </w:r>
    </w:p>
    <w:p>
      <w:pPr>
        <w:spacing w:after="0"/>
      </w:pPr>
      <w:r>
        <w:t>[Foundation Name]</w:t>
      </w:r>
    </w:p>
    <w:p>
      <w:pPr>
        <w:spacing w:after="0"/>
      </w:pPr>
      <w:r>
        <w:t>[Street Address]</w:t>
      </w:r>
    </w:p>
    <w:p>
      <w:pPr>
        <w:spacing w:after="0"/>
      </w:pPr>
      <w:r>
        <w:t>[City, State ZIP]</w:t>
      </w:r>
    </w:p>
    <w:p/>
    <w:p>
      <w:r>
        <w:t>Dear [Program Officer],</w:t>
      </w:r>
    </w:p>
    <w:p>
      <w:r>
        <w:t>Headwaters Stewardship Alliance requests $75,000 over 18 months to restore 9,240 linear feet of streambank on Mill Fork, a headwater tributary running through five privately owned parcels in the upper third of our service area. The project establishes 22 acres of forested riparian buffer with 4,400 native trees and shrubs representing 18 species, treats 9 acres of invasive cover, and closes the last five points of direct livestock access to the channel with 3,800 linear feet of exclusion fencing, two hardened stream crossings, and two off-stream watering systems.</w:t>
      </w:r>
    </w:p>
    <w:p>
      <w:r>
        <w:t>Site control is in hand. Four of the five landowners have executed 15-year restoration agreements, attached in full. The fifth agreement, covering Parcel E, is in final review with the landowner's attorney; we expect signature by project month 2 and we are prepared to hold that parcel's 1,050 linear feet and $6,800 of planting cost in reserve until it is executed. We would rather tell you that now than have you find it in a progress report.</w:t>
      </w:r>
    </w:p>
    <w:p>
      <w:r>
        <w:t>The request works out to $8.12 per linear foot of restored streambank. Every line in the budget is priced per unit, so you can recompute that figure, compare it against the other restoration proposals on your desk, and see exactly what a dollar buys here. Two-thirds of the request buys materials and contracted labor that go into the ground. The remaining third pays for the person who makes sure the stems are alive 12 months later, which is the part most restoration budgets leave out.</w:t>
      </w:r>
    </w:p>
    <w:p>
      <w:r>
        <w:t>We are asking [Foundation Name] for this specific piece of the work because public agricultural cost-share, which we are pursuing in parallel, will pay for fencing and watering infrastructure on the two operating farms but will not pay for the invasive pretreatment, the buffer planting on the three non-agricultural parcels, or the technical assistance that got five neighbors to sign in the first place. That is the gap this request closes.</w:t>
      </w:r>
    </w:p>
    <w:p>
      <w:r>
        <w:t>The Mill Fork corridor is identified as a priority reach in the county open space and greenways plan (page 47), and the receiving stream segment appears on the state's Clean Water Act Section 303(d) list for sediment and nutrients. Our county conservation district partner has committed to design review, crossing engineering, and annual inspection through year five, and a regional land trust is in conversation with two of the landowners about converting their agreements to recorded easements.</w:t>
      </w:r>
    </w:p>
    <w:p>
      <w:r>
        <w:t>We would welcome a site visit at any point in your review. The lower three parcels are walkable in about 90 minutes, and the contrast between the 1,100 feet of existing buffer and the 6,900 feet of bare, hoof-cut bank explains this project faster than any narrative can.</w:t>
      </w:r>
    </w:p>
    <w:p>
      <w:r>
        <w:t>Thank you for your consideration.</w:t>
      </w:r>
    </w:p>
    <w:p/>
    <w:p>
      <w:pPr>
        <w:spacing w:after="0"/>
      </w:pPr>
      <w:r>
        <w:t>Sincerely,</w:t>
      </w:r>
    </w:p>
    <w:p>
      <w:pPr>
        <w:spacing w:after="0"/>
      </w:pPr>
    </w:p>
    <w:p>
      <w:pPr>
        <w:spacing w:after="0"/>
      </w:pPr>
      <w:r>
        <w:t>[Signature]</w:t>
      </w:r>
    </w:p>
    <w:p>
      <w:pPr>
        <w:spacing w:after="0"/>
      </w:pPr>
      <w:r>
        <w:t>Executive Director</w:t>
      </w:r>
    </w:p>
    <w:p>
      <w:pPr>
        <w:spacing w:after="0"/>
      </w:pPr>
      <w:r>
        <w:t>Headwaters Stewardship Alliance</w:t>
      </w:r>
    </w:p>
    <w:p>
      <w:pPr>
        <w:pStyle w:val="Heading1"/>
      </w:pPr>
      <w:r>
        <w:t>2. Executive Summary</w:t>
      </w:r>
    </w:p>
    <w:p>
      <w:r>
        <w:t>Headwaters Stewardship Alliance requests $75,000 over 18 months to restore 9,240 linear feet of streambank and establish 22 acres of forested riparian buffer along Mill Fork, across five contiguous private parcels. Today, 1,100 of those 9,240 feet carry woody buffer at least 35 feet wide. At the end of the grant, all 9,240 feet will.</w:t>
      </w:r>
    </w:p>
    <w:p>
      <w:r>
        <w:t>Mill Fork is a headwater tributary. Two working livestock operations and three residential and hayfield parcels sit on it, and the channel has five points of direct livestock access. An April 2026 GPS survey recorded 2,480 linear feet of actively eroding or undercut bank and a mean buffer width of 18 feet where any woody buffer exists at all. Line-intercept transects run in May 2026 put mean invasive cover across the 9 acres slated for treatment at 45 percent, dominated by multiflora rose, bush honeysuckle, autumn olive, and two established Japanese knotweed stands.</w:t>
      </w:r>
    </w:p>
    <w:p>
      <w:r>
        <w:t>The project delivers four things, in this order:</w:t>
      </w:r>
    </w:p>
    <w:p>
      <w:pPr>
        <w:pStyle w:val="ListBullet"/>
      </w:pPr>
      <w:r>
        <w:t>Livestock exclusion. 3,800 linear feet of fencing, two hardened crossings, and two off-stream watering systems remove all five direct access points and give both operations a reliable water source that is not the stream itself.</w:t>
      </w:r>
    </w:p>
    <w:p>
      <w:pPr>
        <w:pStyle w:val="ListBullet"/>
      </w:pPr>
      <w:r>
        <w:t>Invasive treatment. Two contracted passes across 9 acres take mean invasive cover from 45 percent to 10 percent or less before a single tree goes in the ground, because planting into an untreated rose thicket is how restoration budgets get spent twice.</w:t>
      </w:r>
    </w:p>
    <w:p>
      <w:pPr>
        <w:pStyle w:val="ListBullet"/>
      </w:pPr>
      <w:r>
        <w:t>Buffer establishment. 4,400 bare-root native stems across 18 species, planted at 200 stems per acre in three zones from the water's edge to the upland edge, with 5-foot shelters on all 2,600 tree stems.</w:t>
      </w:r>
    </w:p>
    <w:p>
      <w:pPr>
        <w:pStyle w:val="ListBullet"/>
      </w:pPr>
      <w:r>
        <w:t>Establishment care. Watering through the first dry summer, two contracted mowing passes, shelter repair after ice, a 12-month survival count in 10 percent sample plots, and 400 budgeted replacement stems standing behind an 80 percent survival commitment.</w:t>
      </w:r>
    </w:p>
    <w:p>
      <w:r>
        <w:t>Outcomes are reported in physical units with a stated counting method and a stated date: linear feet buffered, acres treated, stems installed, percent survival, percent invasive cover, and livestock access points eliminated. Water chemistry and macroinvertebrate condition are monitored at four stations across six sampling events and reported honestly as response measures. We do not promise a nitrate number inside an 18-month award, because in-stream chemistry in a headwater system does not move on a grant calendar and we would rather not write a final report that pretends otherwise.</w:t>
      </w:r>
    </w:p>
    <w:p>
      <w:r>
        <w:t>After closeout, the site does not go unattended. A five-year stewardship schedule assigns every maintenance task to a named party, with $9,000 committed from the Alliance's stewardship reserve for years two through five, landowner-held fence maintenance written into each agreement, and annual inspection by the county conservation district under a signed memorandum of understanding.</w:t>
      </w:r>
    </w:p>
    <w:p>
      <w:r>
        <w:t>The $75,000 request carries direct costs only and leverages $65,100 in documented match: landowner in-kind contributions, volunteer planting labor, anticipated federal agricultural cost-share on the two farm parcels, conservation district technical assistance, and the Alliance's own stewardship reserve. Total project value is $140,100.</w:t>
      </w:r>
    </w:p>
    <w:p>
      <w:pPr>
        <w:pStyle w:val="Heading1"/>
      </w:pPr>
      <w:r>
        <w:t>3. Organization Background and Capacity</w:t>
      </w:r>
    </w:p>
    <w:p>
      <w:r>
        <w:t>Headwaters Stewardship Alliance is a composite example organization: a 12-year-old watershed nonprofit with four staff, an annual operating budget of $480,000, a nine-member board, and roughly 140 active volunteers. It works across a 118-square-mile watershed on stream restoration, landowner outreach, volunteer water quality monitoring, and a small conservation easement program run jointly with a regional land trust.</w:t>
      </w:r>
    </w:p>
    <w:p>
      <w:pPr>
        <w:pStyle w:val="Heading2"/>
      </w:pPr>
      <w:r>
        <w:t>Restoration track record</w:t>
      </w:r>
    </w:p>
    <w:p>
      <w:r>
        <w:t>The Alliance has completed three prior streambank restoration projects totaling 6,300 linear feet and 9,800 installed stems. Its most recent 12-month survival audit, on a 2,100-foot project completed two years ago, returned 84 percent survival across 3,400 stems counted in 10 percent sample plots. That number is the basis for the 80 percent threshold committed to in Section 8, and the shortfall between 84 percent and 100 percent is the reason there is a 400-stem replacement line in the budget rather than an assumption of success.</w:t>
      </w:r>
    </w:p>
    <w:p>
      <w:r>
        <w:t>The organization has managed a $92,000 state restoration award through closeout, including quarterly financial reporting, contractor procurement with three-quote documentation, and a final ecological report. It holds no findings from any funder audit or review.</w:t>
      </w:r>
    </w:p>
    <w:p>
      <w:pPr>
        <w:pStyle w:val="Heading2"/>
      </w:pPr>
      <w:r>
        <w:t>Project staffing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059"/>
            <w:shd w:val="clear" w:color="auto" w:fill="DDE8E2"/>
          </w:tcPr>
          <w:p>
            <w:pPr>
              <w:spacing w:before="40" w:after="40" w:line="240" w:lineRule="auto"/>
            </w:pPr>
            <w:r/>
            <w:r>
              <w:rPr>
                <w:rFonts w:ascii="Calibri" w:hAnsi="Calibri"/>
                <w:b/>
                <w:i w:val="0"/>
                <w:sz w:val="19"/>
              </w:rPr>
              <w:t>Role</w:t>
            </w:r>
          </w:p>
        </w:tc>
        <w:tc>
          <w:tcPr>
            <w:tcW w:type="dxa" w:w="1591"/>
            <w:shd w:val="clear" w:color="auto" w:fill="DDE8E2"/>
          </w:tcPr>
          <w:p>
            <w:pPr>
              <w:spacing w:before="40" w:after="40" w:line="240" w:lineRule="auto"/>
            </w:pPr>
            <w:r/>
            <w:r>
              <w:rPr>
                <w:rFonts w:ascii="Calibri" w:hAnsi="Calibri"/>
                <w:b/>
                <w:i w:val="0"/>
                <w:sz w:val="19"/>
              </w:rPr>
              <w:t>Level of effort</w:t>
            </w:r>
          </w:p>
        </w:tc>
        <w:tc>
          <w:tcPr>
            <w:tcW w:type="dxa" w:w="1778"/>
            <w:shd w:val="clear" w:color="auto" w:fill="DDE8E2"/>
          </w:tcPr>
          <w:p>
            <w:pPr>
              <w:spacing w:before="40" w:after="40" w:line="240" w:lineRule="auto"/>
            </w:pPr>
            <w:r/>
            <w:r>
              <w:rPr>
                <w:rFonts w:ascii="Calibri" w:hAnsi="Calibri"/>
                <w:b/>
                <w:i w:val="0"/>
                <w:sz w:val="19"/>
              </w:rPr>
              <w:t>Funding source</w:t>
            </w:r>
          </w:p>
        </w:tc>
        <w:tc>
          <w:tcPr>
            <w:tcW w:type="dxa" w:w="3931"/>
            <w:shd w:val="clear" w:color="auto" w:fill="DDE8E2"/>
          </w:tcPr>
          <w:p>
            <w:pPr>
              <w:spacing w:before="40" w:after="40" w:line="240" w:lineRule="auto"/>
            </w:pPr>
            <w:r/>
            <w:r>
              <w:rPr>
                <w:rFonts w:ascii="Calibri" w:hAnsi="Calibri"/>
                <w:b/>
                <w:i w:val="0"/>
                <w:sz w:val="19"/>
              </w:rPr>
              <w:t>Responsibilities on this project</w:t>
            </w:r>
          </w:p>
        </w:tc>
      </w:tr>
      <w:tr>
        <w:tc>
          <w:tcPr>
            <w:tcW w:type="dxa" w:w="2059"/>
          </w:tcPr>
          <w:p>
            <w:pPr>
              <w:spacing w:before="40" w:after="40" w:line="240" w:lineRule="auto"/>
            </w:pPr>
            <w:r/>
            <w:r>
              <w:rPr>
                <w:rFonts w:ascii="Calibri" w:hAnsi="Calibri"/>
                <w:b w:val="0"/>
                <w:i w:val="0"/>
                <w:sz w:val="19"/>
              </w:rPr>
              <w:t>Restoration Program Manager</w:t>
            </w:r>
          </w:p>
        </w:tc>
        <w:tc>
          <w:tcPr>
            <w:tcW w:type="dxa" w:w="1591"/>
          </w:tcPr>
          <w:p>
            <w:pPr>
              <w:spacing w:before="40" w:after="40" w:line="240" w:lineRule="auto"/>
            </w:pPr>
            <w:r/>
            <w:r>
              <w:rPr>
                <w:rFonts w:ascii="Calibri" w:hAnsi="Calibri"/>
                <w:b w:val="0"/>
                <w:i w:val="0"/>
                <w:sz w:val="19"/>
              </w:rPr>
              <w:t>0.15 FTE across 18 months</w:t>
            </w:r>
          </w:p>
        </w:tc>
        <w:tc>
          <w:tcPr>
            <w:tcW w:type="dxa" w:w="1778"/>
          </w:tcPr>
          <w:p>
            <w:pPr>
              <w:spacing w:before="40" w:after="40" w:line="240" w:lineRule="auto"/>
            </w:pPr>
            <w:r/>
            <w:r>
              <w:rPr>
                <w:rFonts w:ascii="Calibri" w:hAnsi="Calibri"/>
                <w:b w:val="0"/>
                <w:i w:val="0"/>
                <w:sz w:val="19"/>
              </w:rPr>
              <w:t>Grant funded ($13,500)</w:t>
            </w:r>
          </w:p>
        </w:tc>
        <w:tc>
          <w:tcPr>
            <w:tcW w:type="dxa" w:w="3931"/>
          </w:tcPr>
          <w:p>
            <w:pPr>
              <w:spacing w:before="40" w:after="40" w:line="240" w:lineRule="auto"/>
            </w:pPr>
            <w:r/>
            <w:r>
              <w:rPr>
                <w:rFonts w:ascii="Calibri" w:hAnsi="Calibri"/>
                <w:b w:val="0"/>
                <w:i w:val="0"/>
                <w:sz w:val="19"/>
              </w:rPr>
              <w:t>Landowner agreements, permit filings, contractor procurement and oversight, planting layout, monitoring QA, all reporting</w:t>
            </w:r>
          </w:p>
        </w:tc>
      </w:tr>
      <w:tr>
        <w:tc>
          <w:tcPr>
            <w:tcW w:type="dxa" w:w="2059"/>
          </w:tcPr>
          <w:p>
            <w:pPr>
              <w:spacing w:before="40" w:after="40" w:line="240" w:lineRule="auto"/>
            </w:pPr>
            <w:r/>
            <w:r>
              <w:rPr>
                <w:rFonts w:ascii="Calibri" w:hAnsi="Calibri"/>
                <w:b w:val="0"/>
                <w:i w:val="0"/>
                <w:sz w:val="19"/>
              </w:rPr>
              <w:t>Seasonal Field Technician</w:t>
            </w:r>
          </w:p>
        </w:tc>
        <w:tc>
          <w:tcPr>
            <w:tcW w:type="dxa" w:w="1591"/>
          </w:tcPr>
          <w:p>
            <w:pPr>
              <w:spacing w:before="40" w:after="40" w:line="240" w:lineRule="auto"/>
            </w:pPr>
            <w:r/>
            <w:r>
              <w:rPr>
                <w:rFonts w:ascii="Calibri" w:hAnsi="Calibri"/>
                <w:b w:val="0"/>
                <w:i w:val="0"/>
                <w:sz w:val="19"/>
              </w:rPr>
              <w:t>0.2 FTE across 12 months</w:t>
            </w:r>
          </w:p>
        </w:tc>
        <w:tc>
          <w:tcPr>
            <w:tcW w:type="dxa" w:w="1778"/>
          </w:tcPr>
          <w:p>
            <w:pPr>
              <w:spacing w:before="40" w:after="40" w:line="240" w:lineRule="auto"/>
            </w:pPr>
            <w:r/>
            <w:r>
              <w:rPr>
                <w:rFonts w:ascii="Calibri" w:hAnsi="Calibri"/>
                <w:b w:val="0"/>
                <w:i w:val="0"/>
                <w:sz w:val="19"/>
              </w:rPr>
              <w:t>Grant funded ($8,400)</w:t>
            </w:r>
          </w:p>
        </w:tc>
        <w:tc>
          <w:tcPr>
            <w:tcW w:type="dxa" w:w="3931"/>
          </w:tcPr>
          <w:p>
            <w:pPr>
              <w:spacing w:before="40" w:after="40" w:line="240" w:lineRule="auto"/>
            </w:pPr>
            <w:r/>
            <w:r>
              <w:rPr>
                <w:rFonts w:ascii="Calibri" w:hAnsi="Calibri"/>
                <w:b w:val="0"/>
                <w:i w:val="0"/>
                <w:sz w:val="19"/>
              </w:rPr>
              <w:t>Watering, mowing supervision, shelter installation and repair, survival counts, photo points, field data entry</w:t>
            </w:r>
          </w:p>
        </w:tc>
      </w:tr>
      <w:tr>
        <w:tc>
          <w:tcPr>
            <w:tcW w:type="dxa" w:w="2059"/>
          </w:tcPr>
          <w:p>
            <w:pPr>
              <w:spacing w:before="40" w:after="40" w:line="240" w:lineRule="auto"/>
            </w:pPr>
            <w:r/>
            <w:r>
              <w:rPr>
                <w:rFonts w:ascii="Calibri" w:hAnsi="Calibri"/>
                <w:b w:val="0"/>
                <w:i w:val="0"/>
                <w:sz w:val="19"/>
              </w:rPr>
              <w:t>Executive Director</w:t>
            </w:r>
          </w:p>
        </w:tc>
        <w:tc>
          <w:tcPr>
            <w:tcW w:type="dxa" w:w="1591"/>
          </w:tcPr>
          <w:p>
            <w:pPr>
              <w:spacing w:before="40" w:after="40" w:line="240" w:lineRule="auto"/>
            </w:pPr>
            <w:r/>
            <w:r>
              <w:rPr>
                <w:rFonts w:ascii="Calibri" w:hAnsi="Calibri"/>
                <w:b w:val="0"/>
                <w:i w:val="0"/>
                <w:sz w:val="19"/>
              </w:rPr>
              <w:t>0.05 FTE</w:t>
            </w:r>
          </w:p>
        </w:tc>
        <w:tc>
          <w:tcPr>
            <w:tcW w:type="dxa" w:w="1778"/>
          </w:tcPr>
          <w:p>
            <w:pPr>
              <w:spacing w:before="40" w:after="40" w:line="240" w:lineRule="auto"/>
            </w:pPr>
            <w:r/>
            <w:r>
              <w:rPr>
                <w:rFonts w:ascii="Calibri" w:hAnsi="Calibri"/>
                <w:b w:val="0"/>
                <w:i w:val="0"/>
                <w:sz w:val="19"/>
              </w:rPr>
              <w:t>In-kind (organizational match)</w:t>
            </w:r>
          </w:p>
        </w:tc>
        <w:tc>
          <w:tcPr>
            <w:tcW w:type="dxa" w:w="3931"/>
          </w:tcPr>
          <w:p>
            <w:pPr>
              <w:spacing w:before="40" w:after="40" w:line="240" w:lineRule="auto"/>
            </w:pPr>
            <w:r/>
            <w:r>
              <w:rPr>
                <w:rFonts w:ascii="Calibri" w:hAnsi="Calibri"/>
                <w:b w:val="0"/>
                <w:i w:val="0"/>
                <w:sz w:val="19"/>
              </w:rPr>
              <w:t>Funder relationship, partner agreements, budget authority, final report sign-off</w:t>
            </w:r>
          </w:p>
        </w:tc>
      </w:tr>
      <w:tr>
        <w:tc>
          <w:tcPr>
            <w:tcW w:type="dxa" w:w="2059"/>
          </w:tcPr>
          <w:p>
            <w:pPr>
              <w:spacing w:before="40" w:after="40" w:line="240" w:lineRule="auto"/>
            </w:pPr>
            <w:r/>
            <w:r>
              <w:rPr>
                <w:rFonts w:ascii="Calibri" w:hAnsi="Calibri"/>
                <w:b w:val="0"/>
                <w:i w:val="0"/>
                <w:sz w:val="19"/>
              </w:rPr>
              <w:t>Outreach Coordinator</w:t>
            </w:r>
          </w:p>
        </w:tc>
        <w:tc>
          <w:tcPr>
            <w:tcW w:type="dxa" w:w="1591"/>
          </w:tcPr>
          <w:p>
            <w:pPr>
              <w:spacing w:before="40" w:after="40" w:line="240" w:lineRule="auto"/>
            </w:pPr>
            <w:r/>
            <w:r>
              <w:rPr>
                <w:rFonts w:ascii="Calibri" w:hAnsi="Calibri"/>
                <w:b w:val="0"/>
                <w:i w:val="0"/>
                <w:sz w:val="19"/>
              </w:rPr>
              <w:t>0.05 FTE</w:t>
            </w:r>
          </w:p>
        </w:tc>
        <w:tc>
          <w:tcPr>
            <w:tcW w:type="dxa" w:w="1778"/>
          </w:tcPr>
          <w:p>
            <w:pPr>
              <w:spacing w:before="40" w:after="40" w:line="240" w:lineRule="auto"/>
            </w:pPr>
            <w:r/>
            <w:r>
              <w:rPr>
                <w:rFonts w:ascii="Calibri" w:hAnsi="Calibri"/>
                <w:b w:val="0"/>
                <w:i w:val="0"/>
                <w:sz w:val="19"/>
              </w:rPr>
              <w:t>In-kind (organizational match)</w:t>
            </w:r>
          </w:p>
        </w:tc>
        <w:tc>
          <w:tcPr>
            <w:tcW w:type="dxa" w:w="3931"/>
          </w:tcPr>
          <w:p>
            <w:pPr>
              <w:spacing w:before="40" w:after="40" w:line="240" w:lineRule="auto"/>
            </w:pPr>
            <w:r/>
            <w:r>
              <w:rPr>
                <w:rFonts w:ascii="Calibri" w:hAnsi="Calibri"/>
                <w:b w:val="0"/>
                <w:i w:val="0"/>
                <w:sz w:val="19"/>
              </w:rPr>
              <w:t>Volunteer recruitment and supervision for four planting days, landowner communication</w:t>
            </w:r>
          </w:p>
        </w:tc>
      </w:tr>
      <w:tr>
        <w:tc>
          <w:tcPr>
            <w:tcW w:type="dxa" w:w="2059"/>
          </w:tcPr>
          <w:p>
            <w:pPr>
              <w:spacing w:before="40" w:after="40" w:line="240" w:lineRule="auto"/>
            </w:pPr>
            <w:r/>
            <w:r>
              <w:rPr>
                <w:rFonts w:ascii="Calibri" w:hAnsi="Calibri"/>
                <w:b w:val="0"/>
                <w:i w:val="0"/>
                <w:sz w:val="19"/>
              </w:rPr>
              <w:t>County Conservation District engineer</w:t>
            </w:r>
          </w:p>
        </w:tc>
        <w:tc>
          <w:tcPr>
            <w:tcW w:type="dxa" w:w="1591"/>
          </w:tcPr>
          <w:p>
            <w:pPr>
              <w:spacing w:before="40" w:after="40" w:line="240" w:lineRule="auto"/>
            </w:pPr>
            <w:r/>
            <w:r>
              <w:rPr>
                <w:rFonts w:ascii="Calibri" w:hAnsi="Calibri"/>
                <w:b w:val="0"/>
                <w:i w:val="0"/>
                <w:sz w:val="19"/>
              </w:rPr>
              <w:t>As scoped in the MOU</w:t>
            </w:r>
          </w:p>
        </w:tc>
        <w:tc>
          <w:tcPr>
            <w:tcW w:type="dxa" w:w="1778"/>
          </w:tcPr>
          <w:p>
            <w:pPr>
              <w:spacing w:before="40" w:after="40" w:line="240" w:lineRule="auto"/>
            </w:pPr>
            <w:r/>
            <w:r>
              <w:rPr>
                <w:rFonts w:ascii="Calibri" w:hAnsi="Calibri"/>
                <w:b w:val="0"/>
                <w:i w:val="0"/>
                <w:sz w:val="19"/>
              </w:rPr>
              <w:t>Partner in-kind ($6,500)</w:t>
            </w:r>
          </w:p>
        </w:tc>
        <w:tc>
          <w:tcPr>
            <w:tcW w:type="dxa" w:w="3931"/>
          </w:tcPr>
          <w:p>
            <w:pPr>
              <w:spacing w:before="40" w:after="40" w:line="240" w:lineRule="auto"/>
            </w:pPr>
            <w:r/>
            <w:r>
              <w:rPr>
                <w:rFonts w:ascii="Calibri" w:hAnsi="Calibri"/>
                <w:b w:val="0"/>
                <w:i w:val="0"/>
                <w:sz w:val="19"/>
              </w:rPr>
              <w:t>Crossing design and specification, construction inspection, annual site inspection years 2 through 5</w:t>
            </w:r>
          </w:p>
        </w:tc>
      </w:tr>
    </w:tbl>
    <w:p>
      <w:pPr>
        <w:pStyle w:val="Caption"/>
      </w:pPr>
      <w:r>
        <w:t>Project staffing. Every funded position maps to a budget line in Section 10, and every in-kind position maps to a match line in Section 12.</w:t>
      </w:r>
    </w:p>
    <w:p>
      <w:pPr>
        <w:pStyle w:val="Heading2"/>
      </w:pPr>
      <w:r>
        <w:t>Financial management</w:t>
      </w:r>
    </w:p>
    <w:p>
      <w:r>
        <w:t>The Alliance uses fund accounting with grant-restricted cost centers, receives an annual independent financial review, and files Form 990 on time each year. Its most recent Form 990, reviewed financial statements, IRS determination letter, board roster, and current organizational budget are attached. Procurement above $2,500 requires three written quotes, which is why the invasive treatment, fencing, and crossing lines in Section 10 each carry a quoted unit price rather than an estimate.</w:t>
      </w:r>
    </w:p>
    <w:p>
      <w:pPr>
        <w:pStyle w:val="Heading1"/>
      </w:pPr>
      <w:r>
        <w:t>4. Statement of Need</w:t>
      </w:r>
    </w:p>
    <w:p>
      <w:r>
        <w:t>This section describes measured conditions at a specific 9,240-foot reach of Mill Fork. It is not a description of the state of the planet, and it deliberately leads with numbers a reviewer could verify on a site visit with a tape measure and an afternoon.</w:t>
      </w:r>
    </w:p>
    <w:p>
      <w:pPr>
        <w:pStyle w:val="Heading2"/>
      </w:pPr>
      <w:r>
        <w:t>Measured baseline conditions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808"/>
            <w:shd w:val="clear" w:color="auto" w:fill="DDE8E2"/>
          </w:tcPr>
          <w:p>
            <w:pPr>
              <w:spacing w:before="40" w:after="40" w:line="240" w:lineRule="auto"/>
            </w:pPr>
            <w:r/>
            <w:r>
              <w:rPr>
                <w:rFonts w:ascii="Calibri" w:hAnsi="Calibri"/>
                <w:b/>
                <w:i w:val="0"/>
                <w:sz w:val="19"/>
              </w:rPr>
              <w:t>Condition</w:t>
            </w:r>
          </w:p>
        </w:tc>
        <w:tc>
          <w:tcPr>
            <w:tcW w:type="dxa" w:w="2246"/>
            <w:shd w:val="clear" w:color="auto" w:fill="DDE8E2"/>
          </w:tcPr>
          <w:p>
            <w:pPr>
              <w:spacing w:before="40" w:after="40" w:line="240" w:lineRule="auto"/>
            </w:pPr>
            <w:r/>
            <w:r>
              <w:rPr>
                <w:rFonts w:ascii="Calibri" w:hAnsi="Calibri"/>
                <w:b/>
                <w:i w:val="0"/>
                <w:sz w:val="19"/>
              </w:rPr>
              <w:t>Baseline</w:t>
            </w:r>
          </w:p>
        </w:tc>
        <w:tc>
          <w:tcPr>
            <w:tcW w:type="dxa" w:w="2808"/>
            <w:shd w:val="clear" w:color="auto" w:fill="DDE8E2"/>
          </w:tcPr>
          <w:p>
            <w:pPr>
              <w:spacing w:before="40" w:after="40" w:line="240" w:lineRule="auto"/>
            </w:pPr>
            <w:r/>
            <w:r>
              <w:rPr>
                <w:rFonts w:ascii="Calibri" w:hAnsi="Calibri"/>
                <w:b/>
                <w:i w:val="0"/>
                <w:sz w:val="19"/>
              </w:rPr>
              <w:t>Method</w:t>
            </w:r>
          </w:p>
        </w:tc>
        <w:tc>
          <w:tcPr>
            <w:tcW w:type="dxa" w:w="1498"/>
            <w:shd w:val="clear" w:color="auto" w:fill="DDE8E2"/>
          </w:tcPr>
          <w:p>
            <w:pPr>
              <w:spacing w:before="40" w:after="40" w:line="240" w:lineRule="auto"/>
            </w:pPr>
            <w:r/>
            <w:r>
              <w:rPr>
                <w:rFonts w:ascii="Calibri" w:hAnsi="Calibri"/>
                <w:b/>
                <w:i w:val="0"/>
                <w:sz w:val="19"/>
              </w:rPr>
              <w:t>Date measured</w:t>
            </w:r>
          </w:p>
        </w:tc>
      </w:tr>
      <w:tr>
        <w:tc>
          <w:tcPr>
            <w:tcW w:type="dxa" w:w="2808"/>
          </w:tcPr>
          <w:p>
            <w:pPr>
              <w:spacing w:before="40" w:after="40" w:line="240" w:lineRule="auto"/>
            </w:pPr>
            <w:r/>
            <w:r>
              <w:rPr>
                <w:rFonts w:ascii="Calibri" w:hAnsi="Calibri"/>
                <w:b w:val="0"/>
                <w:i w:val="0"/>
                <w:sz w:val="19"/>
              </w:rPr>
              <w:t>Streambank with woody buffer at least 35 feet wide</w:t>
            </w:r>
          </w:p>
        </w:tc>
        <w:tc>
          <w:tcPr>
            <w:tcW w:type="dxa" w:w="2246"/>
          </w:tcPr>
          <w:p>
            <w:pPr>
              <w:spacing w:before="40" w:after="40" w:line="240" w:lineRule="auto"/>
            </w:pPr>
            <w:r/>
            <w:r>
              <w:rPr>
                <w:rFonts w:ascii="Calibri" w:hAnsi="Calibri"/>
                <w:b w:val="0"/>
                <w:i w:val="0"/>
                <w:sz w:val="19"/>
              </w:rPr>
              <w:t>1,100 of 9,240 linear feet (11.9%)</w:t>
            </w:r>
          </w:p>
        </w:tc>
        <w:tc>
          <w:tcPr>
            <w:tcW w:type="dxa" w:w="2808"/>
          </w:tcPr>
          <w:p>
            <w:pPr>
              <w:spacing w:before="40" w:after="40" w:line="240" w:lineRule="auto"/>
            </w:pPr>
            <w:r/>
            <w:r>
              <w:rPr>
                <w:rFonts w:ascii="Calibri" w:hAnsi="Calibri"/>
                <w:b w:val="0"/>
                <w:i w:val="0"/>
                <w:sz w:val="19"/>
              </w:rPr>
              <w:t>GPS field survey with GIS buffer analysis</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Streambank with no woody vegetation of any kind</w:t>
            </w:r>
          </w:p>
        </w:tc>
        <w:tc>
          <w:tcPr>
            <w:tcW w:type="dxa" w:w="2246"/>
          </w:tcPr>
          <w:p>
            <w:pPr>
              <w:spacing w:before="40" w:after="40" w:line="240" w:lineRule="auto"/>
            </w:pPr>
            <w:r/>
            <w:r>
              <w:rPr>
                <w:rFonts w:ascii="Calibri" w:hAnsi="Calibri"/>
                <w:b w:val="0"/>
                <w:i w:val="0"/>
                <w:sz w:val="19"/>
              </w:rPr>
              <w:t>6,900 linear feet (74.7%)</w:t>
            </w:r>
          </w:p>
        </w:tc>
        <w:tc>
          <w:tcPr>
            <w:tcW w:type="dxa" w:w="2808"/>
          </w:tcPr>
          <w:p>
            <w:pPr>
              <w:spacing w:before="40" w:after="40" w:line="240" w:lineRule="auto"/>
            </w:pPr>
            <w:r/>
            <w:r>
              <w:rPr>
                <w:rFonts w:ascii="Calibri" w:hAnsi="Calibri"/>
                <w:b w:val="0"/>
                <w:i w:val="0"/>
                <w:sz w:val="19"/>
              </w:rPr>
              <w:t>GPS field survey</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Streambank with narrow or scattered woody cover under 35 feet</w:t>
            </w:r>
          </w:p>
        </w:tc>
        <w:tc>
          <w:tcPr>
            <w:tcW w:type="dxa" w:w="2246"/>
          </w:tcPr>
          <w:p>
            <w:pPr>
              <w:spacing w:before="40" w:after="40" w:line="240" w:lineRule="auto"/>
            </w:pPr>
            <w:r/>
            <w:r>
              <w:rPr>
                <w:rFonts w:ascii="Calibri" w:hAnsi="Calibri"/>
                <w:b w:val="0"/>
                <w:i w:val="0"/>
                <w:sz w:val="19"/>
              </w:rPr>
              <w:t>1,240 linear feet (13.4%)</w:t>
            </w:r>
          </w:p>
        </w:tc>
        <w:tc>
          <w:tcPr>
            <w:tcW w:type="dxa" w:w="2808"/>
          </w:tcPr>
          <w:p>
            <w:pPr>
              <w:spacing w:before="40" w:after="40" w:line="240" w:lineRule="auto"/>
            </w:pPr>
            <w:r/>
            <w:r>
              <w:rPr>
                <w:rFonts w:ascii="Calibri" w:hAnsi="Calibri"/>
                <w:b w:val="0"/>
                <w:i w:val="0"/>
                <w:sz w:val="19"/>
              </w:rPr>
              <w:t>GPS field survey</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Mean buffer width where woody buffer exists</w:t>
            </w:r>
          </w:p>
        </w:tc>
        <w:tc>
          <w:tcPr>
            <w:tcW w:type="dxa" w:w="2246"/>
          </w:tcPr>
          <w:p>
            <w:pPr>
              <w:spacing w:before="40" w:after="40" w:line="240" w:lineRule="auto"/>
            </w:pPr>
            <w:r/>
            <w:r>
              <w:rPr>
                <w:rFonts w:ascii="Calibri" w:hAnsi="Calibri"/>
                <w:b w:val="0"/>
                <w:i w:val="0"/>
                <w:sz w:val="19"/>
              </w:rPr>
              <w:t>18 feet</w:t>
            </w:r>
          </w:p>
        </w:tc>
        <w:tc>
          <w:tcPr>
            <w:tcW w:type="dxa" w:w="2808"/>
          </w:tcPr>
          <w:p>
            <w:pPr>
              <w:spacing w:before="40" w:after="40" w:line="240" w:lineRule="auto"/>
            </w:pPr>
            <w:r/>
            <w:r>
              <w:rPr>
                <w:rFonts w:ascii="Calibri" w:hAnsi="Calibri"/>
                <w:b w:val="0"/>
                <w:i w:val="0"/>
                <w:sz w:val="19"/>
              </w:rPr>
              <w:t>GIS measurement at 50-foot intervals</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Bank actively eroding, undercut, or hoof-sheared</w:t>
            </w:r>
          </w:p>
        </w:tc>
        <w:tc>
          <w:tcPr>
            <w:tcW w:type="dxa" w:w="2246"/>
          </w:tcPr>
          <w:p>
            <w:pPr>
              <w:spacing w:before="40" w:after="40" w:line="240" w:lineRule="auto"/>
            </w:pPr>
            <w:r/>
            <w:r>
              <w:rPr>
                <w:rFonts w:ascii="Calibri" w:hAnsi="Calibri"/>
                <w:b w:val="0"/>
                <w:i w:val="0"/>
                <w:sz w:val="19"/>
              </w:rPr>
              <w:t>2,480 linear feet</w:t>
            </w:r>
          </w:p>
        </w:tc>
        <w:tc>
          <w:tcPr>
            <w:tcW w:type="dxa" w:w="2808"/>
          </w:tcPr>
          <w:p>
            <w:pPr>
              <w:spacing w:before="40" w:after="40" w:line="240" w:lineRule="auto"/>
            </w:pPr>
            <w:r/>
            <w:r>
              <w:rPr>
                <w:rFonts w:ascii="Calibri" w:hAnsi="Calibri"/>
                <w:b w:val="0"/>
                <w:i w:val="0"/>
                <w:sz w:val="19"/>
              </w:rPr>
              <w:t>Visual bank condition assessment, walked in both directions</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Points of direct livestock access to the channel</w:t>
            </w:r>
          </w:p>
        </w:tc>
        <w:tc>
          <w:tcPr>
            <w:tcW w:type="dxa" w:w="2246"/>
          </w:tcPr>
          <w:p>
            <w:pPr>
              <w:spacing w:before="40" w:after="40" w:line="240" w:lineRule="auto"/>
            </w:pPr>
            <w:r/>
            <w:r>
              <w:rPr>
                <w:rFonts w:ascii="Calibri" w:hAnsi="Calibri"/>
                <w:b w:val="0"/>
                <w:i w:val="0"/>
                <w:sz w:val="19"/>
              </w:rPr>
              <w:t>5</w:t>
            </w:r>
          </w:p>
        </w:tc>
        <w:tc>
          <w:tcPr>
            <w:tcW w:type="dxa" w:w="2808"/>
          </w:tcPr>
          <w:p>
            <w:pPr>
              <w:spacing w:before="40" w:after="40" w:line="240" w:lineRule="auto"/>
            </w:pPr>
            <w:r/>
            <w:r>
              <w:rPr>
                <w:rFonts w:ascii="Calibri" w:hAnsi="Calibri"/>
                <w:b w:val="0"/>
                <w:i w:val="0"/>
                <w:sz w:val="19"/>
              </w:rPr>
              <w:t>Field inspection with the conservation district</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Mean invasive cover across the 9 treatment acres</w:t>
            </w:r>
          </w:p>
        </w:tc>
        <w:tc>
          <w:tcPr>
            <w:tcW w:type="dxa" w:w="2246"/>
          </w:tcPr>
          <w:p>
            <w:pPr>
              <w:spacing w:before="40" w:after="40" w:line="240" w:lineRule="auto"/>
            </w:pPr>
            <w:r/>
            <w:r>
              <w:rPr>
                <w:rFonts w:ascii="Calibri" w:hAnsi="Calibri"/>
                <w:b w:val="0"/>
                <w:i w:val="0"/>
                <w:sz w:val="19"/>
              </w:rPr>
              <w:t>45%</w:t>
            </w:r>
          </w:p>
        </w:tc>
        <w:tc>
          <w:tcPr>
            <w:tcW w:type="dxa" w:w="2808"/>
          </w:tcPr>
          <w:p>
            <w:pPr>
              <w:spacing w:before="40" w:after="40" w:line="240" w:lineRule="auto"/>
            </w:pPr>
            <w:r/>
            <w:r>
              <w:rPr>
                <w:rFonts w:ascii="Calibri" w:hAnsi="Calibri"/>
                <w:b w:val="0"/>
                <w:i w:val="0"/>
                <w:sz w:val="19"/>
              </w:rPr>
              <w:t>Line-intercept transects, 20 transects, 100 feet each</w:t>
            </w:r>
          </w:p>
        </w:tc>
        <w:tc>
          <w:tcPr>
            <w:tcW w:type="dxa" w:w="1498"/>
          </w:tcPr>
          <w:p>
            <w:pPr>
              <w:spacing w:before="40" w:after="40" w:line="240" w:lineRule="auto"/>
            </w:pPr>
            <w:r/>
            <w:r>
              <w:rPr>
                <w:rFonts w:ascii="Calibri" w:hAnsi="Calibri"/>
                <w:b w:val="0"/>
                <w:i w:val="0"/>
                <w:sz w:val="19"/>
              </w:rPr>
              <w:t>May 2026</w:t>
            </w:r>
          </w:p>
        </w:tc>
      </w:tr>
      <w:tr>
        <w:tc>
          <w:tcPr>
            <w:tcW w:type="dxa" w:w="2808"/>
          </w:tcPr>
          <w:p>
            <w:pPr>
              <w:spacing w:before="40" w:after="40" w:line="240" w:lineRule="auto"/>
            </w:pPr>
            <w:r/>
            <w:r>
              <w:rPr>
                <w:rFonts w:ascii="Calibri" w:hAnsi="Calibri"/>
                <w:b w:val="0"/>
                <w:i w:val="0"/>
                <w:sz w:val="19"/>
              </w:rPr>
              <w:t>Dominant invasive species present</w:t>
            </w:r>
          </w:p>
        </w:tc>
        <w:tc>
          <w:tcPr>
            <w:tcW w:type="dxa" w:w="2246"/>
          </w:tcPr>
          <w:p>
            <w:pPr>
              <w:spacing w:before="40" w:after="40" w:line="240" w:lineRule="auto"/>
            </w:pPr>
            <w:r/>
            <w:r>
              <w:rPr>
                <w:rFonts w:ascii="Calibri" w:hAnsi="Calibri"/>
                <w:b w:val="0"/>
                <w:i w:val="0"/>
                <w:sz w:val="19"/>
              </w:rPr>
              <w:t>Multiflora rose, bush honeysuckle, autumn olive, Japanese knotweed (2 stands), Japanese stiltgrass</w:t>
            </w:r>
          </w:p>
        </w:tc>
        <w:tc>
          <w:tcPr>
            <w:tcW w:type="dxa" w:w="2808"/>
          </w:tcPr>
          <w:p>
            <w:pPr>
              <w:spacing w:before="40" w:after="40" w:line="240" w:lineRule="auto"/>
            </w:pPr>
            <w:r/>
            <w:r>
              <w:rPr>
                <w:rFonts w:ascii="Calibri" w:hAnsi="Calibri"/>
                <w:b w:val="0"/>
                <w:i w:val="0"/>
                <w:sz w:val="19"/>
              </w:rPr>
              <w:t>Field identification during transect work</w:t>
            </w:r>
          </w:p>
        </w:tc>
        <w:tc>
          <w:tcPr>
            <w:tcW w:type="dxa" w:w="1498"/>
          </w:tcPr>
          <w:p>
            <w:pPr>
              <w:spacing w:before="40" w:after="40" w:line="240" w:lineRule="auto"/>
            </w:pPr>
            <w:r/>
            <w:r>
              <w:rPr>
                <w:rFonts w:ascii="Calibri" w:hAnsi="Calibri"/>
                <w:b w:val="0"/>
                <w:i w:val="0"/>
                <w:sz w:val="19"/>
              </w:rPr>
              <w:t>May 2026</w:t>
            </w:r>
          </w:p>
        </w:tc>
      </w:tr>
      <w:tr>
        <w:tc>
          <w:tcPr>
            <w:tcW w:type="dxa" w:w="2808"/>
          </w:tcPr>
          <w:p>
            <w:pPr>
              <w:spacing w:before="40" w:after="40" w:line="240" w:lineRule="auto"/>
            </w:pPr>
            <w:r/>
            <w:r>
              <w:rPr>
                <w:rFonts w:ascii="Calibri" w:hAnsi="Calibri"/>
                <w:b w:val="0"/>
                <w:i w:val="0"/>
                <w:sz w:val="19"/>
              </w:rPr>
              <w:t>Fixed photo points established</w:t>
            </w:r>
          </w:p>
        </w:tc>
        <w:tc>
          <w:tcPr>
            <w:tcW w:type="dxa" w:w="2246"/>
          </w:tcPr>
          <w:p>
            <w:pPr>
              <w:spacing w:before="40" w:after="40" w:line="240" w:lineRule="auto"/>
            </w:pPr>
            <w:r/>
            <w:r>
              <w:rPr>
                <w:rFonts w:ascii="Calibri" w:hAnsi="Calibri"/>
                <w:b w:val="0"/>
                <w:i w:val="0"/>
                <w:sz w:val="19"/>
              </w:rPr>
              <w:t>12</w:t>
            </w:r>
          </w:p>
        </w:tc>
        <w:tc>
          <w:tcPr>
            <w:tcW w:type="dxa" w:w="2808"/>
          </w:tcPr>
          <w:p>
            <w:pPr>
              <w:spacing w:before="40" w:after="40" w:line="240" w:lineRule="auto"/>
            </w:pPr>
            <w:r/>
            <w:r>
              <w:rPr>
                <w:rFonts w:ascii="Calibri" w:hAnsi="Calibri"/>
                <w:b w:val="0"/>
                <w:i w:val="0"/>
                <w:sz w:val="19"/>
              </w:rPr>
              <w:t>GPS-marked, bearing recorded, photographed</w:t>
            </w:r>
          </w:p>
        </w:tc>
        <w:tc>
          <w:tcPr>
            <w:tcW w:type="dxa" w:w="1498"/>
          </w:tcPr>
          <w:p>
            <w:pPr>
              <w:spacing w:before="40" w:after="40" w:line="240" w:lineRule="auto"/>
            </w:pPr>
            <w:r/>
            <w:r>
              <w:rPr>
                <w:rFonts w:ascii="Calibri" w:hAnsi="Calibri"/>
                <w:b w:val="0"/>
                <w:i w:val="0"/>
                <w:sz w:val="19"/>
              </w:rPr>
              <w:t>April 2026</w:t>
            </w:r>
          </w:p>
        </w:tc>
      </w:tr>
      <w:tr>
        <w:tc>
          <w:tcPr>
            <w:tcW w:type="dxa" w:w="2808"/>
          </w:tcPr>
          <w:p>
            <w:pPr>
              <w:spacing w:before="40" w:after="40" w:line="240" w:lineRule="auto"/>
            </w:pPr>
            <w:r/>
            <w:r>
              <w:rPr>
                <w:rFonts w:ascii="Calibri" w:hAnsi="Calibri"/>
                <w:b w:val="0"/>
                <w:i w:val="0"/>
                <w:sz w:val="19"/>
              </w:rPr>
              <w:t>Water quality baseline</w:t>
            </w:r>
          </w:p>
        </w:tc>
        <w:tc>
          <w:tcPr>
            <w:tcW w:type="dxa" w:w="2246"/>
          </w:tcPr>
          <w:p>
            <w:pPr>
              <w:spacing w:before="40" w:after="40" w:line="240" w:lineRule="auto"/>
            </w:pPr>
            <w:r/>
            <w:r>
              <w:rPr>
                <w:rFonts w:ascii="Calibri" w:hAnsi="Calibri"/>
                <w:b w:val="0"/>
                <w:i w:val="0"/>
                <w:sz w:val="19"/>
              </w:rPr>
              <w:t>3 events scheduled at 4 stations</w:t>
            </w:r>
          </w:p>
        </w:tc>
        <w:tc>
          <w:tcPr>
            <w:tcW w:type="dxa" w:w="2808"/>
          </w:tcPr>
          <w:p>
            <w:pPr>
              <w:spacing w:before="40" w:after="40" w:line="240" w:lineRule="auto"/>
            </w:pPr>
            <w:r/>
            <w:r>
              <w:rPr>
                <w:rFonts w:ascii="Calibri" w:hAnsi="Calibri"/>
                <w:b w:val="0"/>
                <w:i w:val="0"/>
                <w:sz w:val="19"/>
              </w:rPr>
              <w:t>Certified laboratory, chain of custody</w:t>
            </w:r>
          </w:p>
        </w:tc>
        <w:tc>
          <w:tcPr>
            <w:tcW w:type="dxa" w:w="1498"/>
          </w:tcPr>
          <w:p>
            <w:pPr>
              <w:spacing w:before="40" w:after="40" w:line="240" w:lineRule="auto"/>
            </w:pPr>
            <w:r/>
            <w:r>
              <w:rPr>
                <w:rFonts w:ascii="Calibri" w:hAnsi="Calibri"/>
                <w:b w:val="0"/>
                <w:i w:val="0"/>
                <w:sz w:val="19"/>
              </w:rPr>
              <w:t>Project months 1 through 4</w:t>
            </w:r>
          </w:p>
        </w:tc>
      </w:tr>
      <w:tr>
        <w:tc>
          <w:tcPr>
            <w:tcW w:type="dxa" w:w="2808"/>
          </w:tcPr>
          <w:p>
            <w:pPr>
              <w:spacing w:before="40" w:after="40" w:line="240" w:lineRule="auto"/>
            </w:pPr>
            <w:r/>
            <w:r>
              <w:rPr>
                <w:rFonts w:ascii="Calibri" w:hAnsi="Calibri"/>
                <w:b w:val="0"/>
                <w:i w:val="0"/>
                <w:sz w:val="19"/>
              </w:rPr>
              <w:t>Macroinvertebrate baseline</w:t>
            </w:r>
          </w:p>
        </w:tc>
        <w:tc>
          <w:tcPr>
            <w:tcW w:type="dxa" w:w="2246"/>
          </w:tcPr>
          <w:p>
            <w:pPr>
              <w:spacing w:before="40" w:after="40" w:line="240" w:lineRule="auto"/>
            </w:pPr>
            <w:r/>
            <w:r>
              <w:rPr>
                <w:rFonts w:ascii="Calibri" w:hAnsi="Calibri"/>
                <w:b w:val="0"/>
                <w:i w:val="0"/>
                <w:sz w:val="19"/>
              </w:rPr>
              <w:t>1 spring event at 4 stations</w:t>
            </w:r>
          </w:p>
        </w:tc>
        <w:tc>
          <w:tcPr>
            <w:tcW w:type="dxa" w:w="2808"/>
          </w:tcPr>
          <w:p>
            <w:pPr>
              <w:spacing w:before="40" w:after="40" w:line="240" w:lineRule="auto"/>
            </w:pPr>
            <w:r/>
            <w:r>
              <w:rPr>
                <w:rFonts w:ascii="Calibri" w:hAnsi="Calibri"/>
                <w:b w:val="0"/>
                <w:i w:val="0"/>
                <w:sz w:val="19"/>
              </w:rPr>
              <w:t>State volunteer monitoring protocol</w:t>
            </w:r>
          </w:p>
        </w:tc>
        <w:tc>
          <w:tcPr>
            <w:tcW w:type="dxa" w:w="1498"/>
          </w:tcPr>
          <w:p>
            <w:pPr>
              <w:spacing w:before="40" w:after="40" w:line="240" w:lineRule="auto"/>
            </w:pPr>
            <w:r/>
            <w:r>
              <w:rPr>
                <w:rFonts w:ascii="Calibri" w:hAnsi="Calibri"/>
                <w:b w:val="0"/>
                <w:i w:val="0"/>
                <w:sz w:val="19"/>
              </w:rPr>
              <w:t>Project month 10 (spring window)</w:t>
            </w:r>
          </w:p>
        </w:tc>
      </w:tr>
    </w:tbl>
    <w:p>
      <w:pPr>
        <w:pStyle w:val="Caption"/>
      </w:pPr>
      <w:r>
        <w:t>Baseline conditions at the project reach. Where the only baseline is a walk-through with GPS and a camera, that is what the table says. Dated local observation is worth more to a conservation reviewer than a national statistic, and it is the number your final report will be measured against.</w:t>
      </w:r>
    </w:p>
    <w:p>
      <w:pPr>
        <w:pStyle w:val="Heading2"/>
      </w:pPr>
      <w:r>
        <w:t>Watershed and planning context</w:t>
      </w:r>
    </w:p>
    <w:p>
      <w:r>
        <w:t>Mill Fork is a first-order headwater tributary draining approximately 4.2 square miles of mixed pasture, hay, and low-density residential land. Its receiving segment appears on the state's Clean Water Act Section 303(d) list of impaired waters for sediment and nutrients, with agriculture identified as a source. The county open space and greenways plan names the Mill Fork corridor as a priority reach on page 47, and the plan's stated objective for headwater tributaries is continuous forested buffer on both banks.</w:t>
      </w:r>
    </w:p>
    <w:p>
      <w:r>
        <w:t>The reach also sits between two completed projects. A neighboring landowner association buffered 1,900 feet immediately upstream four years ago, and a state-funded project buffered 2,600 feet roughly a mile downstream. The 9,240 feet in this request is the gap between them. Completing it creates an uninterrupted forested corridor of roughly 2.6 miles, which matters more for shade, temperature, and terrestrial habitat connectivity than the same footage scattered across unconnected parcels would.</w:t>
      </w:r>
    </w:p>
    <w:p>
      <w:pPr>
        <w:pStyle w:val="Heading2"/>
      </w:pPr>
      <w:r>
        <w:t>Why this reach, and why now</w:t>
      </w:r>
    </w:p>
    <w:p>
      <w:r>
        <w:t>Two of the five landowners run livestock operations that are actively considering succession and sale within the next decade. Both are willing to sign 15-year agreements now, while the current operators are making the decision. Site control on working agricultural land is a window, not a standing condition, and this window is open.</w:t>
      </w:r>
    </w:p>
    <w:p>
      <w:r>
        <w:t>The consequence of not acting is stated in the same units as the outcomes. Without this project, 6,900 linear feet of Mill Fork stays unbuffered, five livestock access points keep delivering direct manure and sediment loading to a stream already listed as impaired, 2,480 feet of eroding bank continues to retreat, and 9 acres of invasive cover continues to seed the two restored reaches upstream and downstream that public and private funders have already paid for. The downstream investment is only as durable as the untreated gap above it.</w:t>
      </w:r>
    </w:p>
    <w:p>
      <w:pPr>
        <w:pStyle w:val="Heading1"/>
      </w:pPr>
      <w:r>
        <w:t>5. Project Description</w:t>
      </w:r>
    </w:p>
    <w:p>
      <w:r>
        <w:t>The project applies four named practices in a fixed sequence: exclude livestock, treat invasives, plant the buffer, then care for it through establishment. The sequence is not interchangeable. Fencing before planting keeps cattle off new stems. Invasive treatment before planting means the crew is not cutting rose canes away from tree shelters two years later. Establishment care after planting is what converts installed stems into surviving stems.</w:t>
      </w:r>
    </w:p>
    <w:p>
      <w:pPr>
        <w:pStyle w:val="Heading2"/>
      </w:pPr>
      <w:r>
        <w:t>Practice 1: Livestock exclusion and alternative water</w:t>
      </w:r>
    </w:p>
    <w:p>
      <w:r>
        <w:t>Contracted crews install 3,800 linear feet of four-strand high-tensile exclusion fencing set back a minimum of 35 feet from the top of bank on Parcels A through D, closing all five direct access points. Two hardened stream crossings, engineered and inspected by the county conservation district, give both operations continued access to pasture on the far bank without letting stock stand in the channel. Two off-stream watering systems, one per operation, supply water in the exclusion area. Each landowner agreement assigns ongoing fence maintenance to the landowner, with annual inspection by the Alliance through year five.</w:t>
      </w:r>
    </w:p>
    <w:p>
      <w:pPr>
        <w:pStyle w:val="Heading2"/>
      </w:pPr>
      <w:r>
        <w:t>Practice 2: Invasive treatment</w:t>
      </w:r>
    </w:p>
    <w:p>
      <w:r>
        <w:t>A licensed contractor treats 9 acres in two passes. Pass one, in project months 1 and 2, is a late-summer foliar and cut-stump treatment on multiflora rose, bush honeysuckle, and autumn olive, plus a targeted stem-injection treatment on the two Japanese knotweed stands. Pass two, in project months 10 and 11, catches resprout and the Japanese stiltgrass flush before it sets seed. All work within the riparian zone uses an aquatic-labeled herbicide applied by a certified applicator, and the contractor's certification is attached. Target is 10 percent or less mean cover, measured on the same 20 transects used for the baseline.</w:t>
      </w:r>
    </w:p>
    <w:p>
      <w:pPr>
        <w:pStyle w:val="Heading2"/>
      </w:pPr>
      <w:r>
        <w:t>Practice 3: Buffer planting</w:t>
      </w:r>
    </w:p>
    <w:p>
      <w:r>
        <w:t>The project installs 4,400 bare-root stems across 22 acres, a density of 200 stems per acre or roughly 14 feet on center, supplemented by natural regeneration inside the fence line. Buffer is established on both banks where site control allows, averaging 52 feet per side with a 35-foot minimum, which is what produces 22 acres across 9,240 channel feet. Species are assigned to three zones by flood tolerance and root structure. All 2,600 tree stems receive a 5-foot tree shelter and an oak stake. The 1,800 shrub stems are planted unsheltered in clusters, where density and browse tolerance do the work a shelter would.</w:t>
      </w:r>
    </w:p>
    <w:p>
      <w:pPr>
        <w:pStyle w:val="Heading2"/>
      </w:pPr>
      <w:r>
        <w:t>Practice 4: Establishment care</w:t>
      </w:r>
    </w:p>
    <w:p>
      <w:r>
        <w:t>The seasonal field technician waters new plantings through the first dry summer, supervises two contracted mowing passes to keep competing herbaceous growth off the stems, straightens and re-stakes shelters after winter ice, and runs the 12-month survival count. Four hundred replacement stems are budgeted and held, so a survival shortfall triggers a replant rather than an explanation.</w:t>
      </w:r>
    </w:p>
    <w:p>
      <w:pPr>
        <w:pStyle w:val="Heading2"/>
      </w:pPr>
      <w:r>
        <w:t>Parcel detail</w:t>
      </w:r>
    </w:p>
    <w:tbl>
      <w:tblPr>
        <w:tblStyle w:val="TableGrid"/>
        <w:tblW w:type="auto" w:w="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tblHeader w:val="true"/>
        </w:trPr>
        <w:tc>
          <w:tcPr>
            <w:tcW w:type="dxa" w:w="655"/>
            <w:shd w:val="clear" w:color="auto" w:fill="DDE8E2"/>
          </w:tcPr>
          <w:p>
            <w:pPr>
              <w:spacing w:before="40" w:after="40" w:line="240" w:lineRule="auto"/>
            </w:pPr>
            <w:r/>
            <w:r>
              <w:rPr>
                <w:rFonts w:ascii="Calibri" w:hAnsi="Calibri"/>
                <w:b/>
                <w:i w:val="0"/>
                <w:sz w:val="19"/>
              </w:rPr>
              <w:t>Parcel</w:t>
            </w:r>
          </w:p>
        </w:tc>
        <w:tc>
          <w:tcPr>
            <w:tcW w:type="dxa" w:w="1872"/>
            <w:shd w:val="clear" w:color="auto" w:fill="DDE8E2"/>
          </w:tcPr>
          <w:p>
            <w:pPr>
              <w:spacing w:before="40" w:after="40" w:line="240" w:lineRule="auto"/>
            </w:pPr>
            <w:r/>
            <w:r>
              <w:rPr>
                <w:rFonts w:ascii="Calibri" w:hAnsi="Calibri"/>
                <w:b/>
                <w:i w:val="0"/>
                <w:sz w:val="19"/>
              </w:rPr>
              <w:t>Land use</w:t>
            </w:r>
          </w:p>
        </w:tc>
        <w:tc>
          <w:tcPr>
            <w:tcW w:type="dxa" w:w="842"/>
            <w:shd w:val="clear" w:color="auto" w:fill="DDE8E2"/>
          </w:tcPr>
          <w:p>
            <w:pPr>
              <w:spacing w:before="40" w:after="40" w:line="240" w:lineRule="auto"/>
              <w:jc w:val="right"/>
            </w:pPr>
            <w:r/>
            <w:r>
              <w:rPr>
                <w:rFonts w:ascii="Calibri" w:hAnsi="Calibri"/>
                <w:b/>
                <w:i w:val="0"/>
                <w:sz w:val="19"/>
              </w:rPr>
              <w:t>Stream ft</w:t>
            </w:r>
          </w:p>
        </w:tc>
        <w:tc>
          <w:tcPr>
            <w:tcW w:type="dxa" w:w="749"/>
            <w:shd w:val="clear" w:color="auto" w:fill="DDE8E2"/>
          </w:tcPr>
          <w:p>
            <w:pPr>
              <w:spacing w:before="40" w:after="40" w:line="240" w:lineRule="auto"/>
              <w:jc w:val="right"/>
            </w:pPr>
            <w:r/>
            <w:r>
              <w:rPr>
                <w:rFonts w:ascii="Calibri" w:hAnsi="Calibri"/>
                <w:b/>
                <w:i w:val="0"/>
                <w:sz w:val="19"/>
              </w:rPr>
              <w:t>Buffer ac</w:t>
            </w:r>
          </w:p>
        </w:tc>
        <w:tc>
          <w:tcPr>
            <w:tcW w:type="dxa" w:w="749"/>
            <w:shd w:val="clear" w:color="auto" w:fill="DDE8E2"/>
          </w:tcPr>
          <w:p>
            <w:pPr>
              <w:spacing w:before="40" w:after="40" w:line="240" w:lineRule="auto"/>
              <w:jc w:val="right"/>
            </w:pPr>
            <w:r/>
            <w:r>
              <w:rPr>
                <w:rFonts w:ascii="Calibri" w:hAnsi="Calibri"/>
                <w:b/>
                <w:i w:val="0"/>
                <w:sz w:val="19"/>
              </w:rPr>
              <w:t>Stems</w:t>
            </w:r>
          </w:p>
        </w:tc>
        <w:tc>
          <w:tcPr>
            <w:tcW w:type="dxa" w:w="842"/>
            <w:shd w:val="clear" w:color="auto" w:fill="DDE8E2"/>
          </w:tcPr>
          <w:p>
            <w:pPr>
              <w:spacing w:before="40" w:after="40" w:line="240" w:lineRule="auto"/>
              <w:jc w:val="right"/>
            </w:pPr>
            <w:r/>
            <w:r>
              <w:rPr>
                <w:rFonts w:ascii="Calibri" w:hAnsi="Calibri"/>
                <w:b/>
                <w:i w:val="0"/>
                <w:sz w:val="19"/>
              </w:rPr>
              <w:t>Fence ft</w:t>
            </w:r>
          </w:p>
        </w:tc>
        <w:tc>
          <w:tcPr>
            <w:tcW w:type="dxa" w:w="842"/>
            <w:shd w:val="clear" w:color="auto" w:fill="DDE8E2"/>
          </w:tcPr>
          <w:p>
            <w:pPr>
              <w:spacing w:before="40" w:after="40" w:line="240" w:lineRule="auto"/>
              <w:jc w:val="right"/>
            </w:pPr>
            <w:r/>
            <w:r>
              <w:rPr>
                <w:rFonts w:ascii="Calibri" w:hAnsi="Calibri"/>
                <w:b/>
                <w:i w:val="0"/>
                <w:sz w:val="19"/>
              </w:rPr>
              <w:t>Invasive ac</w:t>
            </w:r>
          </w:p>
        </w:tc>
        <w:tc>
          <w:tcPr>
            <w:tcW w:type="dxa" w:w="749"/>
            <w:shd w:val="clear" w:color="auto" w:fill="DDE8E2"/>
          </w:tcPr>
          <w:p>
            <w:pPr>
              <w:spacing w:before="40" w:after="40" w:line="240" w:lineRule="auto"/>
              <w:jc w:val="right"/>
            </w:pPr>
            <w:r/>
            <w:r>
              <w:rPr>
                <w:rFonts w:ascii="Calibri" w:hAnsi="Calibri"/>
                <w:b/>
                <w:i w:val="0"/>
                <w:sz w:val="19"/>
              </w:rPr>
              <w:t>Access pts</w:t>
            </w:r>
          </w:p>
        </w:tc>
        <w:tc>
          <w:tcPr>
            <w:tcW w:type="dxa" w:w="2059"/>
            <w:shd w:val="clear" w:color="auto" w:fill="DDE8E2"/>
          </w:tcPr>
          <w:p>
            <w:pPr>
              <w:spacing w:before="40" w:after="40" w:line="240" w:lineRule="auto"/>
            </w:pPr>
            <w:r/>
            <w:r>
              <w:rPr>
                <w:rFonts w:ascii="Calibri" w:hAnsi="Calibri"/>
                <w:b/>
                <w:i w:val="0"/>
                <w:sz w:val="19"/>
              </w:rPr>
              <w:t>Infrastructure</w:t>
            </w:r>
          </w:p>
        </w:tc>
      </w:tr>
      <w:tr>
        <w:tc>
          <w:tcPr>
            <w:tcW w:type="dxa" w:w="655"/>
          </w:tcPr>
          <w:p>
            <w:pPr>
              <w:spacing w:before="40" w:after="40" w:line="240" w:lineRule="auto"/>
            </w:pPr>
            <w:r/>
            <w:r>
              <w:rPr>
                <w:rFonts w:ascii="Calibri" w:hAnsi="Calibri"/>
                <w:b w:val="0"/>
                <w:i w:val="0"/>
                <w:sz w:val="19"/>
              </w:rPr>
              <w:t>A</w:t>
            </w:r>
          </w:p>
        </w:tc>
        <w:tc>
          <w:tcPr>
            <w:tcW w:type="dxa" w:w="1872"/>
          </w:tcPr>
          <w:p>
            <w:pPr>
              <w:spacing w:before="40" w:after="40" w:line="240" w:lineRule="auto"/>
            </w:pPr>
            <w:r/>
            <w:r>
              <w:rPr>
                <w:rFonts w:ascii="Calibri" w:hAnsi="Calibri"/>
                <w:b w:val="0"/>
                <w:i w:val="0"/>
                <w:sz w:val="19"/>
              </w:rPr>
              <w:t>Working dairy, 96 acres</w:t>
            </w:r>
          </w:p>
        </w:tc>
        <w:tc>
          <w:tcPr>
            <w:tcW w:type="dxa" w:w="842"/>
          </w:tcPr>
          <w:p>
            <w:pPr>
              <w:spacing w:before="40" w:after="40" w:line="240" w:lineRule="auto"/>
              <w:jc w:val="right"/>
            </w:pPr>
            <w:r/>
            <w:r>
              <w:rPr>
                <w:rFonts w:ascii="Calibri" w:hAnsi="Calibri"/>
                <w:b w:val="0"/>
                <w:i w:val="0"/>
                <w:sz w:val="19"/>
              </w:rPr>
              <w:t>2,640</w:t>
            </w:r>
          </w:p>
        </w:tc>
        <w:tc>
          <w:tcPr>
            <w:tcW w:type="dxa" w:w="749"/>
          </w:tcPr>
          <w:p>
            <w:pPr>
              <w:spacing w:before="40" w:after="40" w:line="240" w:lineRule="auto"/>
              <w:jc w:val="right"/>
            </w:pPr>
            <w:r/>
            <w:r>
              <w:rPr>
                <w:rFonts w:ascii="Calibri" w:hAnsi="Calibri"/>
                <w:b w:val="0"/>
                <w:i w:val="0"/>
                <w:sz w:val="19"/>
              </w:rPr>
              <w:t>6.3</w:t>
            </w:r>
          </w:p>
        </w:tc>
        <w:tc>
          <w:tcPr>
            <w:tcW w:type="dxa" w:w="749"/>
          </w:tcPr>
          <w:p>
            <w:pPr>
              <w:spacing w:before="40" w:after="40" w:line="240" w:lineRule="auto"/>
              <w:jc w:val="right"/>
            </w:pPr>
            <w:r/>
            <w:r>
              <w:rPr>
                <w:rFonts w:ascii="Calibri" w:hAnsi="Calibri"/>
                <w:b w:val="0"/>
                <w:i w:val="0"/>
                <w:sz w:val="19"/>
              </w:rPr>
              <w:t>1,260</w:t>
            </w:r>
          </w:p>
        </w:tc>
        <w:tc>
          <w:tcPr>
            <w:tcW w:type="dxa" w:w="842"/>
          </w:tcPr>
          <w:p>
            <w:pPr>
              <w:spacing w:before="40" w:after="40" w:line="240" w:lineRule="auto"/>
              <w:jc w:val="right"/>
            </w:pPr>
            <w:r/>
            <w:r>
              <w:rPr>
                <w:rFonts w:ascii="Calibri" w:hAnsi="Calibri"/>
                <w:b w:val="0"/>
                <w:i w:val="0"/>
                <w:sz w:val="19"/>
              </w:rPr>
              <w:t>1,200</w:t>
            </w:r>
          </w:p>
        </w:tc>
        <w:tc>
          <w:tcPr>
            <w:tcW w:type="dxa" w:w="842"/>
          </w:tcPr>
          <w:p>
            <w:pPr>
              <w:spacing w:before="40" w:after="40" w:line="240" w:lineRule="auto"/>
              <w:jc w:val="right"/>
            </w:pPr>
            <w:r/>
            <w:r>
              <w:rPr>
                <w:rFonts w:ascii="Calibri" w:hAnsi="Calibri"/>
                <w:b w:val="0"/>
                <w:i w:val="0"/>
                <w:sz w:val="19"/>
              </w:rPr>
              <w:t>2.5</w:t>
            </w:r>
          </w:p>
        </w:tc>
        <w:tc>
          <w:tcPr>
            <w:tcW w:type="dxa" w:w="749"/>
          </w:tcPr>
          <w:p>
            <w:pPr>
              <w:spacing w:before="40" w:after="40" w:line="240" w:lineRule="auto"/>
              <w:jc w:val="right"/>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1 crossing, 1 waterer</w:t>
            </w:r>
          </w:p>
        </w:tc>
      </w:tr>
      <w:tr>
        <w:tc>
          <w:tcPr>
            <w:tcW w:type="dxa" w:w="655"/>
          </w:tcPr>
          <w:p>
            <w:pPr>
              <w:spacing w:before="40" w:after="40" w:line="240" w:lineRule="auto"/>
            </w:pPr>
            <w:r/>
            <w:r>
              <w:rPr>
                <w:rFonts w:ascii="Calibri" w:hAnsi="Calibri"/>
                <w:b w:val="0"/>
                <w:i w:val="0"/>
                <w:sz w:val="19"/>
              </w:rPr>
              <w:t>B</w:t>
            </w:r>
          </w:p>
        </w:tc>
        <w:tc>
          <w:tcPr>
            <w:tcW w:type="dxa" w:w="1872"/>
          </w:tcPr>
          <w:p>
            <w:pPr>
              <w:spacing w:before="40" w:after="40" w:line="240" w:lineRule="auto"/>
            </w:pPr>
            <w:r/>
            <w:r>
              <w:rPr>
                <w:rFonts w:ascii="Calibri" w:hAnsi="Calibri"/>
                <w:b w:val="0"/>
                <w:i w:val="0"/>
                <w:sz w:val="19"/>
              </w:rPr>
              <w:t>Beef cow-calf, 74 acres</w:t>
            </w:r>
          </w:p>
        </w:tc>
        <w:tc>
          <w:tcPr>
            <w:tcW w:type="dxa" w:w="842"/>
          </w:tcPr>
          <w:p>
            <w:pPr>
              <w:spacing w:before="40" w:after="40" w:line="240" w:lineRule="auto"/>
              <w:jc w:val="right"/>
            </w:pPr>
            <w:r/>
            <w:r>
              <w:rPr>
                <w:rFonts w:ascii="Calibri" w:hAnsi="Calibri"/>
                <w:b w:val="0"/>
                <w:i w:val="0"/>
                <w:sz w:val="19"/>
              </w:rPr>
              <w:t>2,100</w:t>
            </w:r>
          </w:p>
        </w:tc>
        <w:tc>
          <w:tcPr>
            <w:tcW w:type="dxa" w:w="749"/>
          </w:tcPr>
          <w:p>
            <w:pPr>
              <w:spacing w:before="40" w:after="40" w:line="240" w:lineRule="auto"/>
              <w:jc w:val="right"/>
            </w:pPr>
            <w:r/>
            <w:r>
              <w:rPr>
                <w:rFonts w:ascii="Calibri" w:hAnsi="Calibri"/>
                <w:b w:val="0"/>
                <w:i w:val="0"/>
                <w:sz w:val="19"/>
              </w:rPr>
              <w:t>5.0</w:t>
            </w:r>
          </w:p>
        </w:tc>
        <w:tc>
          <w:tcPr>
            <w:tcW w:type="dxa" w:w="749"/>
          </w:tcPr>
          <w:p>
            <w:pPr>
              <w:spacing w:before="40" w:after="40" w:line="240" w:lineRule="auto"/>
              <w:jc w:val="right"/>
            </w:pPr>
            <w:r/>
            <w:r>
              <w:rPr>
                <w:rFonts w:ascii="Calibri" w:hAnsi="Calibri"/>
                <w:b w:val="0"/>
                <w:i w:val="0"/>
                <w:sz w:val="19"/>
              </w:rPr>
              <w:t>1,000</w:t>
            </w:r>
          </w:p>
        </w:tc>
        <w:tc>
          <w:tcPr>
            <w:tcW w:type="dxa" w:w="842"/>
          </w:tcPr>
          <w:p>
            <w:pPr>
              <w:spacing w:before="40" w:after="40" w:line="240" w:lineRule="auto"/>
              <w:jc w:val="right"/>
            </w:pPr>
            <w:r/>
            <w:r>
              <w:rPr>
                <w:rFonts w:ascii="Calibri" w:hAnsi="Calibri"/>
                <w:b w:val="0"/>
                <w:i w:val="0"/>
                <w:sz w:val="19"/>
              </w:rPr>
              <w:t>1,000</w:t>
            </w:r>
          </w:p>
        </w:tc>
        <w:tc>
          <w:tcPr>
            <w:tcW w:type="dxa" w:w="842"/>
          </w:tcPr>
          <w:p>
            <w:pPr>
              <w:spacing w:before="40" w:after="40" w:line="240" w:lineRule="auto"/>
              <w:jc w:val="right"/>
            </w:pPr>
            <w:r/>
            <w:r>
              <w:rPr>
                <w:rFonts w:ascii="Calibri" w:hAnsi="Calibri"/>
                <w:b w:val="0"/>
                <w:i w:val="0"/>
                <w:sz w:val="19"/>
              </w:rPr>
              <w:t>2.0</w:t>
            </w:r>
          </w:p>
        </w:tc>
        <w:tc>
          <w:tcPr>
            <w:tcW w:type="dxa" w:w="749"/>
          </w:tcPr>
          <w:p>
            <w:pPr>
              <w:spacing w:before="40" w:after="40" w:line="240" w:lineRule="auto"/>
              <w:jc w:val="right"/>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1 crossing, 1 waterer</w:t>
            </w:r>
          </w:p>
        </w:tc>
      </w:tr>
      <w:tr>
        <w:tc>
          <w:tcPr>
            <w:tcW w:type="dxa" w:w="655"/>
          </w:tcPr>
          <w:p>
            <w:pPr>
              <w:spacing w:before="40" w:after="40" w:line="240" w:lineRule="auto"/>
            </w:pPr>
            <w:r/>
            <w:r>
              <w:rPr>
                <w:rFonts w:ascii="Calibri" w:hAnsi="Calibri"/>
                <w:b w:val="0"/>
                <w:i w:val="0"/>
                <w:sz w:val="19"/>
              </w:rPr>
              <w:t>C</w:t>
            </w:r>
          </w:p>
        </w:tc>
        <w:tc>
          <w:tcPr>
            <w:tcW w:type="dxa" w:w="1872"/>
          </w:tcPr>
          <w:p>
            <w:pPr>
              <w:spacing w:before="40" w:after="40" w:line="240" w:lineRule="auto"/>
            </w:pPr>
            <w:r/>
            <w:r>
              <w:rPr>
                <w:rFonts w:ascii="Calibri" w:hAnsi="Calibri"/>
                <w:b w:val="0"/>
                <w:i w:val="0"/>
                <w:sz w:val="19"/>
              </w:rPr>
              <w:t>Hayfield and woodlot, 51 acres</w:t>
            </w:r>
          </w:p>
        </w:tc>
        <w:tc>
          <w:tcPr>
            <w:tcW w:type="dxa" w:w="842"/>
          </w:tcPr>
          <w:p>
            <w:pPr>
              <w:spacing w:before="40" w:after="40" w:line="240" w:lineRule="auto"/>
              <w:jc w:val="right"/>
            </w:pPr>
            <w:r/>
            <w:r>
              <w:rPr>
                <w:rFonts w:ascii="Calibri" w:hAnsi="Calibri"/>
                <w:b w:val="0"/>
                <w:i w:val="0"/>
                <w:sz w:val="19"/>
              </w:rPr>
              <w:t>1,850</w:t>
            </w:r>
          </w:p>
        </w:tc>
        <w:tc>
          <w:tcPr>
            <w:tcW w:type="dxa" w:w="749"/>
          </w:tcPr>
          <w:p>
            <w:pPr>
              <w:spacing w:before="40" w:after="40" w:line="240" w:lineRule="auto"/>
              <w:jc w:val="right"/>
            </w:pPr>
            <w:r/>
            <w:r>
              <w:rPr>
                <w:rFonts w:ascii="Calibri" w:hAnsi="Calibri"/>
                <w:b w:val="0"/>
                <w:i w:val="0"/>
                <w:sz w:val="19"/>
              </w:rPr>
              <w:t>4.4</w:t>
            </w:r>
          </w:p>
        </w:tc>
        <w:tc>
          <w:tcPr>
            <w:tcW w:type="dxa" w:w="749"/>
          </w:tcPr>
          <w:p>
            <w:pPr>
              <w:spacing w:before="40" w:after="40" w:line="240" w:lineRule="auto"/>
              <w:jc w:val="right"/>
            </w:pPr>
            <w:r/>
            <w:r>
              <w:rPr>
                <w:rFonts w:ascii="Calibri" w:hAnsi="Calibri"/>
                <w:b w:val="0"/>
                <w:i w:val="0"/>
                <w:sz w:val="19"/>
              </w:rPr>
              <w:t>880</w:t>
            </w:r>
          </w:p>
        </w:tc>
        <w:tc>
          <w:tcPr>
            <w:tcW w:type="dxa" w:w="842"/>
          </w:tcPr>
          <w:p>
            <w:pPr>
              <w:spacing w:before="40" w:after="40" w:line="240" w:lineRule="auto"/>
              <w:jc w:val="right"/>
            </w:pPr>
            <w:r/>
            <w:r>
              <w:rPr>
                <w:rFonts w:ascii="Calibri" w:hAnsi="Calibri"/>
                <w:b w:val="0"/>
                <w:i w:val="0"/>
                <w:sz w:val="19"/>
              </w:rPr>
              <w:t>900</w:t>
            </w:r>
          </w:p>
        </w:tc>
        <w:tc>
          <w:tcPr>
            <w:tcW w:type="dxa" w:w="842"/>
          </w:tcPr>
          <w:p>
            <w:pPr>
              <w:spacing w:before="40" w:after="40" w:line="240" w:lineRule="auto"/>
              <w:jc w:val="right"/>
            </w:pPr>
            <w:r/>
            <w:r>
              <w:rPr>
                <w:rFonts w:ascii="Calibri" w:hAnsi="Calibri"/>
                <w:b w:val="0"/>
                <w:i w:val="0"/>
                <w:sz w:val="19"/>
              </w:rPr>
              <w:t>1.8</w:t>
            </w:r>
          </w:p>
        </w:tc>
        <w:tc>
          <w:tcPr>
            <w:tcW w:type="dxa" w:w="749"/>
          </w:tcPr>
          <w:p>
            <w:pPr>
              <w:spacing w:before="40" w:after="40" w:line="240" w:lineRule="auto"/>
              <w:jc w:val="right"/>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Fencing only</w:t>
            </w:r>
          </w:p>
        </w:tc>
      </w:tr>
      <w:tr>
        <w:tc>
          <w:tcPr>
            <w:tcW w:type="dxa" w:w="655"/>
          </w:tcPr>
          <w:p>
            <w:pPr>
              <w:spacing w:before="40" w:after="40" w:line="240" w:lineRule="auto"/>
            </w:pPr>
            <w:r/>
            <w:r>
              <w:rPr>
                <w:rFonts w:ascii="Calibri" w:hAnsi="Calibri"/>
                <w:b w:val="0"/>
                <w:i w:val="0"/>
                <w:sz w:val="19"/>
              </w:rPr>
              <w:t>D</w:t>
            </w:r>
          </w:p>
        </w:tc>
        <w:tc>
          <w:tcPr>
            <w:tcW w:type="dxa" w:w="1872"/>
          </w:tcPr>
          <w:p>
            <w:pPr>
              <w:spacing w:before="40" w:after="40" w:line="240" w:lineRule="auto"/>
            </w:pPr>
            <w:r/>
            <w:r>
              <w:rPr>
                <w:rFonts w:ascii="Calibri" w:hAnsi="Calibri"/>
                <w:b w:val="0"/>
                <w:i w:val="0"/>
                <w:sz w:val="19"/>
              </w:rPr>
              <w:t>Residential with pasture lease, 38 acres</w:t>
            </w:r>
          </w:p>
        </w:tc>
        <w:tc>
          <w:tcPr>
            <w:tcW w:type="dxa" w:w="842"/>
          </w:tcPr>
          <w:p>
            <w:pPr>
              <w:spacing w:before="40" w:after="40" w:line="240" w:lineRule="auto"/>
              <w:jc w:val="right"/>
            </w:pPr>
            <w:r/>
            <w:r>
              <w:rPr>
                <w:rFonts w:ascii="Calibri" w:hAnsi="Calibri"/>
                <w:b w:val="0"/>
                <w:i w:val="0"/>
                <w:sz w:val="19"/>
              </w:rPr>
              <w:t>1,600</w:t>
            </w:r>
          </w:p>
        </w:tc>
        <w:tc>
          <w:tcPr>
            <w:tcW w:type="dxa" w:w="749"/>
          </w:tcPr>
          <w:p>
            <w:pPr>
              <w:spacing w:before="40" w:after="40" w:line="240" w:lineRule="auto"/>
              <w:jc w:val="right"/>
            </w:pPr>
            <w:r/>
            <w:r>
              <w:rPr>
                <w:rFonts w:ascii="Calibri" w:hAnsi="Calibri"/>
                <w:b w:val="0"/>
                <w:i w:val="0"/>
                <w:sz w:val="19"/>
              </w:rPr>
              <w:t>3.8</w:t>
            </w:r>
          </w:p>
        </w:tc>
        <w:tc>
          <w:tcPr>
            <w:tcW w:type="dxa" w:w="749"/>
          </w:tcPr>
          <w:p>
            <w:pPr>
              <w:spacing w:before="40" w:after="40" w:line="240" w:lineRule="auto"/>
              <w:jc w:val="right"/>
            </w:pPr>
            <w:r/>
            <w:r>
              <w:rPr>
                <w:rFonts w:ascii="Calibri" w:hAnsi="Calibri"/>
                <w:b w:val="0"/>
                <w:i w:val="0"/>
                <w:sz w:val="19"/>
              </w:rPr>
              <w:t>760</w:t>
            </w:r>
          </w:p>
        </w:tc>
        <w:tc>
          <w:tcPr>
            <w:tcW w:type="dxa" w:w="842"/>
          </w:tcPr>
          <w:p>
            <w:pPr>
              <w:spacing w:before="40" w:after="40" w:line="240" w:lineRule="auto"/>
              <w:jc w:val="right"/>
            </w:pPr>
            <w:r/>
            <w:r>
              <w:rPr>
                <w:rFonts w:ascii="Calibri" w:hAnsi="Calibri"/>
                <w:b w:val="0"/>
                <w:i w:val="0"/>
                <w:sz w:val="19"/>
              </w:rPr>
              <w:t>700</w:t>
            </w:r>
          </w:p>
        </w:tc>
        <w:tc>
          <w:tcPr>
            <w:tcW w:type="dxa" w:w="842"/>
          </w:tcPr>
          <w:p>
            <w:pPr>
              <w:spacing w:before="40" w:after="40" w:line="240" w:lineRule="auto"/>
              <w:jc w:val="right"/>
            </w:pPr>
            <w:r/>
            <w:r>
              <w:rPr>
                <w:rFonts w:ascii="Calibri" w:hAnsi="Calibri"/>
                <w:b w:val="0"/>
                <w:i w:val="0"/>
                <w:sz w:val="19"/>
              </w:rPr>
              <w:t>1.7</w:t>
            </w:r>
          </w:p>
        </w:tc>
        <w:tc>
          <w:tcPr>
            <w:tcW w:type="dxa" w:w="749"/>
          </w:tcPr>
          <w:p>
            <w:pPr>
              <w:spacing w:before="40" w:after="40" w:line="240" w:lineRule="auto"/>
              <w:jc w:val="right"/>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Fencing only</w:t>
            </w:r>
          </w:p>
        </w:tc>
      </w:tr>
      <w:tr>
        <w:tc>
          <w:tcPr>
            <w:tcW w:type="dxa" w:w="655"/>
          </w:tcPr>
          <w:p>
            <w:pPr>
              <w:spacing w:before="40" w:after="40" w:line="240" w:lineRule="auto"/>
            </w:pPr>
            <w:r/>
            <w:r>
              <w:rPr>
                <w:rFonts w:ascii="Calibri" w:hAnsi="Calibri"/>
                <w:b w:val="0"/>
                <w:i w:val="0"/>
                <w:sz w:val="19"/>
              </w:rPr>
              <w:t>E</w:t>
            </w:r>
          </w:p>
        </w:tc>
        <w:tc>
          <w:tcPr>
            <w:tcW w:type="dxa" w:w="1872"/>
          </w:tcPr>
          <w:p>
            <w:pPr>
              <w:spacing w:before="40" w:after="40" w:line="240" w:lineRule="auto"/>
            </w:pPr>
            <w:r/>
            <w:r>
              <w:rPr>
                <w:rFonts w:ascii="Calibri" w:hAnsi="Calibri"/>
                <w:b w:val="0"/>
                <w:i w:val="0"/>
                <w:sz w:val="19"/>
              </w:rPr>
              <w:t>Residential, 22 acres</w:t>
            </w:r>
          </w:p>
        </w:tc>
        <w:tc>
          <w:tcPr>
            <w:tcW w:type="dxa" w:w="842"/>
          </w:tcPr>
          <w:p>
            <w:pPr>
              <w:spacing w:before="40" w:after="40" w:line="240" w:lineRule="auto"/>
              <w:jc w:val="right"/>
            </w:pPr>
            <w:r/>
            <w:r>
              <w:rPr>
                <w:rFonts w:ascii="Calibri" w:hAnsi="Calibri"/>
                <w:b w:val="0"/>
                <w:i w:val="0"/>
                <w:sz w:val="19"/>
              </w:rPr>
              <w:t>1,050</w:t>
            </w:r>
          </w:p>
        </w:tc>
        <w:tc>
          <w:tcPr>
            <w:tcW w:type="dxa" w:w="749"/>
          </w:tcPr>
          <w:p>
            <w:pPr>
              <w:spacing w:before="40" w:after="40" w:line="240" w:lineRule="auto"/>
              <w:jc w:val="right"/>
            </w:pPr>
            <w:r/>
            <w:r>
              <w:rPr>
                <w:rFonts w:ascii="Calibri" w:hAnsi="Calibri"/>
                <w:b w:val="0"/>
                <w:i w:val="0"/>
                <w:sz w:val="19"/>
              </w:rPr>
              <w:t>2.5</w:t>
            </w:r>
          </w:p>
        </w:tc>
        <w:tc>
          <w:tcPr>
            <w:tcW w:type="dxa" w:w="749"/>
          </w:tcPr>
          <w:p>
            <w:pPr>
              <w:spacing w:before="40" w:after="40" w:line="240" w:lineRule="auto"/>
              <w:jc w:val="right"/>
            </w:pPr>
            <w:r/>
            <w:r>
              <w:rPr>
                <w:rFonts w:ascii="Calibri" w:hAnsi="Calibri"/>
                <w:b w:val="0"/>
                <w:i w:val="0"/>
                <w:sz w:val="19"/>
              </w:rPr>
              <w:t>500</w:t>
            </w:r>
          </w:p>
        </w:tc>
        <w:tc>
          <w:tcPr>
            <w:tcW w:type="dxa" w:w="842"/>
          </w:tcPr>
          <w:p>
            <w:pPr>
              <w:spacing w:before="40" w:after="40" w:line="240" w:lineRule="auto"/>
              <w:jc w:val="right"/>
            </w:pPr>
            <w:r/>
            <w:r>
              <w:rPr>
                <w:rFonts w:ascii="Calibri" w:hAnsi="Calibri"/>
                <w:b w:val="0"/>
                <w:i w:val="0"/>
                <w:sz w:val="19"/>
              </w:rPr>
              <w:t>0</w:t>
            </w:r>
          </w:p>
        </w:tc>
        <w:tc>
          <w:tcPr>
            <w:tcW w:type="dxa" w:w="842"/>
          </w:tcPr>
          <w:p>
            <w:pPr>
              <w:spacing w:before="40" w:after="40" w:line="240" w:lineRule="auto"/>
              <w:jc w:val="right"/>
            </w:pPr>
            <w:r/>
            <w:r>
              <w:rPr>
                <w:rFonts w:ascii="Calibri" w:hAnsi="Calibri"/>
                <w:b w:val="0"/>
                <w:i w:val="0"/>
                <w:sz w:val="19"/>
              </w:rPr>
              <w:t>1.0</w:t>
            </w:r>
          </w:p>
        </w:tc>
        <w:tc>
          <w:tcPr>
            <w:tcW w:type="dxa" w:w="749"/>
          </w:tcPr>
          <w:p>
            <w:pPr>
              <w:spacing w:before="40" w:after="40" w:line="240" w:lineRule="auto"/>
              <w:jc w:val="right"/>
            </w:pPr>
            <w:r/>
            <w:r>
              <w:rPr>
                <w:rFonts w:ascii="Calibri" w:hAnsi="Calibri"/>
                <w:b w:val="0"/>
                <w:i w:val="0"/>
                <w:sz w:val="19"/>
              </w:rPr>
              <w:t>0</w:t>
            </w:r>
          </w:p>
        </w:tc>
        <w:tc>
          <w:tcPr>
            <w:tcW w:type="dxa" w:w="2059"/>
          </w:tcPr>
          <w:p>
            <w:pPr>
              <w:spacing w:before="40" w:after="40" w:line="240" w:lineRule="auto"/>
            </w:pPr>
            <w:r/>
            <w:r>
              <w:rPr>
                <w:rFonts w:ascii="Calibri" w:hAnsi="Calibri"/>
                <w:b w:val="0"/>
                <w:i w:val="0"/>
                <w:sz w:val="19"/>
              </w:rPr>
              <w:t>No livestock present</w:t>
            </w:r>
          </w:p>
        </w:tc>
      </w:tr>
      <w:tr>
        <w:tc>
          <w:tcPr>
            <w:tcW w:type="dxa" w:w="655"/>
            <w:shd w:val="clear" w:color="auto" w:fill="EFF4F1"/>
          </w:tcPr>
          <w:p>
            <w:pPr>
              <w:spacing w:before="40" w:after="40" w:line="240" w:lineRule="auto"/>
            </w:pPr>
            <w:r/>
            <w:r>
              <w:rPr>
                <w:rFonts w:ascii="Calibri" w:hAnsi="Calibri"/>
                <w:b/>
                <w:i w:val="0"/>
                <w:sz w:val="19"/>
              </w:rPr>
              <w:t>Total</w:t>
            </w:r>
          </w:p>
        </w:tc>
        <w:tc>
          <w:tcPr>
            <w:tcW w:type="dxa" w:w="1872"/>
            <w:shd w:val="clear" w:color="auto" w:fill="EFF4F1"/>
          </w:tcPr>
          <w:p>
            <w:pPr>
              <w:spacing w:before="40" w:after="40" w:line="240" w:lineRule="auto"/>
            </w:pPr>
            <w:r/>
            <w:r>
              <w:rPr>
                <w:rFonts w:ascii="Calibri" w:hAnsi="Calibri"/>
                <w:b/>
                <w:i w:val="0"/>
                <w:sz w:val="19"/>
              </w:rPr>
              <w:t>5 parcels, 281 acres</w:t>
            </w:r>
          </w:p>
        </w:tc>
        <w:tc>
          <w:tcPr>
            <w:tcW w:type="dxa" w:w="842"/>
            <w:shd w:val="clear" w:color="auto" w:fill="EFF4F1"/>
          </w:tcPr>
          <w:p>
            <w:pPr>
              <w:spacing w:before="40" w:after="40" w:line="240" w:lineRule="auto"/>
              <w:jc w:val="right"/>
            </w:pPr>
            <w:r/>
            <w:r>
              <w:rPr>
                <w:rFonts w:ascii="Calibri" w:hAnsi="Calibri"/>
                <w:b/>
                <w:i w:val="0"/>
                <w:sz w:val="19"/>
              </w:rPr>
              <w:t>9,240</w:t>
            </w:r>
          </w:p>
        </w:tc>
        <w:tc>
          <w:tcPr>
            <w:tcW w:type="dxa" w:w="749"/>
            <w:shd w:val="clear" w:color="auto" w:fill="EFF4F1"/>
          </w:tcPr>
          <w:p>
            <w:pPr>
              <w:spacing w:before="40" w:after="40" w:line="240" w:lineRule="auto"/>
              <w:jc w:val="right"/>
            </w:pPr>
            <w:r/>
            <w:r>
              <w:rPr>
                <w:rFonts w:ascii="Calibri" w:hAnsi="Calibri"/>
                <w:b/>
                <w:i w:val="0"/>
                <w:sz w:val="19"/>
              </w:rPr>
              <w:t>22.0</w:t>
            </w:r>
          </w:p>
        </w:tc>
        <w:tc>
          <w:tcPr>
            <w:tcW w:type="dxa" w:w="749"/>
            <w:shd w:val="clear" w:color="auto" w:fill="EFF4F1"/>
          </w:tcPr>
          <w:p>
            <w:pPr>
              <w:spacing w:before="40" w:after="40" w:line="240" w:lineRule="auto"/>
              <w:jc w:val="right"/>
            </w:pPr>
            <w:r/>
            <w:r>
              <w:rPr>
                <w:rFonts w:ascii="Calibri" w:hAnsi="Calibri"/>
                <w:b/>
                <w:i w:val="0"/>
                <w:sz w:val="19"/>
              </w:rPr>
              <w:t>4,400</w:t>
            </w:r>
          </w:p>
        </w:tc>
        <w:tc>
          <w:tcPr>
            <w:tcW w:type="dxa" w:w="842"/>
            <w:shd w:val="clear" w:color="auto" w:fill="EFF4F1"/>
          </w:tcPr>
          <w:p>
            <w:pPr>
              <w:spacing w:before="40" w:after="40" w:line="240" w:lineRule="auto"/>
              <w:jc w:val="right"/>
            </w:pPr>
            <w:r/>
            <w:r>
              <w:rPr>
                <w:rFonts w:ascii="Calibri" w:hAnsi="Calibri"/>
                <w:b/>
                <w:i w:val="0"/>
                <w:sz w:val="19"/>
              </w:rPr>
              <w:t>3,800</w:t>
            </w:r>
          </w:p>
        </w:tc>
        <w:tc>
          <w:tcPr>
            <w:tcW w:type="dxa" w:w="842"/>
            <w:shd w:val="clear" w:color="auto" w:fill="EFF4F1"/>
          </w:tcPr>
          <w:p>
            <w:pPr>
              <w:spacing w:before="40" w:after="40" w:line="240" w:lineRule="auto"/>
              <w:jc w:val="right"/>
            </w:pPr>
            <w:r/>
            <w:r>
              <w:rPr>
                <w:rFonts w:ascii="Calibri" w:hAnsi="Calibri"/>
                <w:b/>
                <w:i w:val="0"/>
                <w:sz w:val="19"/>
              </w:rPr>
              <w:t>9.0</w:t>
            </w:r>
          </w:p>
        </w:tc>
        <w:tc>
          <w:tcPr>
            <w:tcW w:type="dxa" w:w="749"/>
            <w:shd w:val="clear" w:color="auto" w:fill="EFF4F1"/>
          </w:tcPr>
          <w:p>
            <w:pPr>
              <w:spacing w:before="40" w:after="40" w:line="240" w:lineRule="auto"/>
              <w:jc w:val="right"/>
            </w:pPr>
            <w:r/>
            <w:r>
              <w:rPr>
                <w:rFonts w:ascii="Calibri" w:hAnsi="Calibri"/>
                <w:b/>
                <w:i w:val="0"/>
                <w:sz w:val="19"/>
              </w:rPr>
              <w:t>5</w:t>
            </w:r>
          </w:p>
        </w:tc>
        <w:tc>
          <w:tcPr>
            <w:tcW w:type="dxa" w:w="2059"/>
            <w:shd w:val="clear" w:color="auto" w:fill="EFF4F1"/>
          </w:tcPr>
          <w:p>
            <w:pPr>
              <w:spacing w:before="40" w:after="40" w:line="240" w:lineRule="auto"/>
            </w:pPr>
            <w:r/>
            <w:r>
              <w:rPr>
                <w:rFonts w:ascii="Calibri" w:hAnsi="Calibri"/>
                <w:b/>
                <w:i w:val="0"/>
                <w:sz w:val="19"/>
              </w:rPr>
              <w:t>2 crossings, 2 waterers</w:t>
            </w:r>
          </w:p>
        </w:tc>
      </w:tr>
    </w:tbl>
    <w:p>
      <w:pPr>
        <w:pStyle w:val="Caption"/>
      </w:pPr>
      <w:r>
        <w:t>Parcel-level scope. Each column sums to the project total on the summary sheet. A reviewer who adds a column and gets a different answer stops reading, so check these sums last, after every other edit.</w:t>
      </w:r>
    </w:p>
    <w:p>
      <w:pPr>
        <w:pStyle w:val="Heading2"/>
      </w:pPr>
      <w:r>
        <w:t>Planting plan by zone and species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655"/>
            <w:shd w:val="clear" w:color="auto" w:fill="DDE8E2"/>
          </w:tcPr>
          <w:p>
            <w:pPr>
              <w:spacing w:before="40" w:after="40" w:line="240" w:lineRule="auto"/>
            </w:pPr>
            <w:r/>
            <w:r>
              <w:rPr>
                <w:rFonts w:ascii="Calibri" w:hAnsi="Calibri"/>
                <w:b/>
                <w:i w:val="0"/>
                <w:sz w:val="19"/>
              </w:rPr>
              <w:t>Zone</w:t>
            </w:r>
          </w:p>
        </w:tc>
        <w:tc>
          <w:tcPr>
            <w:tcW w:type="dxa" w:w="2059"/>
            <w:shd w:val="clear" w:color="auto" w:fill="DDE8E2"/>
          </w:tcPr>
          <w:p>
            <w:pPr>
              <w:spacing w:before="40" w:after="40" w:line="240" w:lineRule="auto"/>
            </w:pPr>
            <w:r/>
            <w:r>
              <w:rPr>
                <w:rFonts w:ascii="Calibri" w:hAnsi="Calibri"/>
                <w:b/>
                <w:i w:val="0"/>
                <w:sz w:val="19"/>
              </w:rPr>
              <w:t>Position</w:t>
            </w:r>
          </w:p>
        </w:tc>
        <w:tc>
          <w:tcPr>
            <w:tcW w:type="dxa" w:w="4118"/>
            <w:shd w:val="clear" w:color="auto" w:fill="DDE8E2"/>
          </w:tcPr>
          <w:p>
            <w:pPr>
              <w:spacing w:before="40" w:after="40" w:line="240" w:lineRule="auto"/>
            </w:pPr>
            <w:r/>
            <w:r>
              <w:rPr>
                <w:rFonts w:ascii="Calibri" w:hAnsi="Calibri"/>
                <w:b/>
                <w:i w:val="0"/>
                <w:sz w:val="19"/>
              </w:rPr>
              <w:t>Species</w:t>
            </w:r>
          </w:p>
        </w:tc>
        <w:tc>
          <w:tcPr>
            <w:tcW w:type="dxa" w:w="1030"/>
            <w:shd w:val="clear" w:color="auto" w:fill="DDE8E2"/>
          </w:tcPr>
          <w:p>
            <w:pPr>
              <w:spacing w:before="40" w:after="40" w:line="240" w:lineRule="auto"/>
            </w:pPr>
            <w:r/>
            <w:r>
              <w:rPr>
                <w:rFonts w:ascii="Calibri" w:hAnsi="Calibri"/>
                <w:b/>
                <w:i w:val="0"/>
                <w:sz w:val="19"/>
              </w:rPr>
              <w:t>Form</w:t>
            </w:r>
          </w:p>
        </w:tc>
        <w:tc>
          <w:tcPr>
            <w:tcW w:type="dxa" w:w="1498"/>
            <w:shd w:val="clear" w:color="auto" w:fill="DDE8E2"/>
          </w:tcPr>
          <w:p>
            <w:pPr>
              <w:spacing w:before="40" w:after="40" w:line="240" w:lineRule="auto"/>
              <w:jc w:val="right"/>
            </w:pPr>
            <w:r/>
            <w:r>
              <w:rPr>
                <w:rFonts w:ascii="Calibri" w:hAnsi="Calibri"/>
                <w:b/>
                <w:i w:val="0"/>
                <w:sz w:val="19"/>
              </w:rPr>
              <w:t>Stems</w:t>
            </w:r>
          </w:p>
        </w:tc>
      </w:tr>
      <w:tr>
        <w:tc>
          <w:tcPr>
            <w:tcW w:type="dxa" w:w="655"/>
          </w:tcPr>
          <w:p>
            <w:pPr>
              <w:spacing w:before="40" w:after="40" w:line="240" w:lineRule="auto"/>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Streamside, 0 to 15 ft from bank</w:t>
            </w:r>
          </w:p>
        </w:tc>
        <w:tc>
          <w:tcPr>
            <w:tcW w:type="dxa" w:w="4118"/>
          </w:tcPr>
          <w:p>
            <w:pPr>
              <w:spacing w:before="40" w:after="40" w:line="240" w:lineRule="auto"/>
            </w:pPr>
            <w:r/>
            <w:r>
              <w:rPr>
                <w:rFonts w:ascii="Calibri" w:hAnsi="Calibri"/>
                <w:b w:val="0"/>
                <w:i w:val="0"/>
                <w:sz w:val="19"/>
              </w:rPr>
              <w:t>Black willow (Salix nigra)</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280</w:t>
            </w:r>
          </w:p>
        </w:tc>
      </w:tr>
      <w:tr>
        <w:tc>
          <w:tcPr>
            <w:tcW w:type="dxa" w:w="655"/>
          </w:tcPr>
          <w:p>
            <w:pPr>
              <w:spacing w:before="40" w:after="40" w:line="240" w:lineRule="auto"/>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Streamside, 0 to 15 ft from bank</w:t>
            </w:r>
          </w:p>
        </w:tc>
        <w:tc>
          <w:tcPr>
            <w:tcW w:type="dxa" w:w="4118"/>
          </w:tcPr>
          <w:p>
            <w:pPr>
              <w:spacing w:before="40" w:after="40" w:line="240" w:lineRule="auto"/>
            </w:pPr>
            <w:r/>
            <w:r>
              <w:rPr>
                <w:rFonts w:ascii="Calibri" w:hAnsi="Calibri"/>
                <w:b w:val="0"/>
                <w:i w:val="0"/>
                <w:sz w:val="19"/>
              </w:rPr>
              <w:t>Silky dogwood (Cornus amomum)</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320</w:t>
            </w:r>
          </w:p>
        </w:tc>
      </w:tr>
      <w:tr>
        <w:tc>
          <w:tcPr>
            <w:tcW w:type="dxa" w:w="655"/>
          </w:tcPr>
          <w:p>
            <w:pPr>
              <w:spacing w:before="40" w:after="40" w:line="240" w:lineRule="auto"/>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Streamside, 0 to 15 ft from bank</w:t>
            </w:r>
          </w:p>
        </w:tc>
        <w:tc>
          <w:tcPr>
            <w:tcW w:type="dxa" w:w="4118"/>
          </w:tcPr>
          <w:p>
            <w:pPr>
              <w:spacing w:before="40" w:after="40" w:line="240" w:lineRule="auto"/>
            </w:pPr>
            <w:r/>
            <w:r>
              <w:rPr>
                <w:rFonts w:ascii="Calibri" w:hAnsi="Calibri"/>
                <w:b w:val="0"/>
                <w:i w:val="0"/>
                <w:sz w:val="19"/>
              </w:rPr>
              <w:t>Red osier dogwood (Cornus sericea)</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260</w:t>
            </w:r>
          </w:p>
        </w:tc>
      </w:tr>
      <w:tr>
        <w:tc>
          <w:tcPr>
            <w:tcW w:type="dxa" w:w="655"/>
          </w:tcPr>
          <w:p>
            <w:pPr>
              <w:spacing w:before="40" w:after="40" w:line="240" w:lineRule="auto"/>
            </w:pPr>
            <w:r/>
            <w:r>
              <w:rPr>
                <w:rFonts w:ascii="Calibri" w:hAnsi="Calibri"/>
                <w:b w:val="0"/>
                <w:i w:val="0"/>
                <w:sz w:val="19"/>
              </w:rPr>
              <w:t>1</w:t>
            </w:r>
          </w:p>
        </w:tc>
        <w:tc>
          <w:tcPr>
            <w:tcW w:type="dxa" w:w="2059"/>
          </w:tcPr>
          <w:p>
            <w:pPr>
              <w:spacing w:before="40" w:after="40" w:line="240" w:lineRule="auto"/>
            </w:pPr>
            <w:r/>
            <w:r>
              <w:rPr>
                <w:rFonts w:ascii="Calibri" w:hAnsi="Calibri"/>
                <w:b w:val="0"/>
                <w:i w:val="0"/>
                <w:sz w:val="19"/>
              </w:rPr>
              <w:t>Streamside, 0 to 15 ft from bank</w:t>
            </w:r>
          </w:p>
        </w:tc>
        <w:tc>
          <w:tcPr>
            <w:tcW w:type="dxa" w:w="4118"/>
          </w:tcPr>
          <w:p>
            <w:pPr>
              <w:spacing w:before="40" w:after="40" w:line="240" w:lineRule="auto"/>
            </w:pPr>
            <w:r/>
            <w:r>
              <w:rPr>
                <w:rFonts w:ascii="Calibri" w:hAnsi="Calibri"/>
                <w:b w:val="0"/>
                <w:i w:val="0"/>
                <w:sz w:val="19"/>
              </w:rPr>
              <w:t>Buttonbush (Cephalanthus occidentalis)</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220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River birch (Betula nigra)</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300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Red maple (Acer rubrum)</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280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Eastern cottonwood (Populus deltoides)</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200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Common elderberry (Sambucus canadensis)</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240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Ninebark (Physocarpus opulifolius)</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200</w:t>
            </w:r>
          </w:p>
        </w:tc>
      </w:tr>
      <w:tr>
        <w:tc>
          <w:tcPr>
            <w:tcW w:type="dxa" w:w="655"/>
          </w:tcPr>
          <w:p>
            <w:pPr>
              <w:spacing w:before="40" w:after="40" w:line="240" w:lineRule="auto"/>
            </w:pPr>
            <w:r/>
            <w:r>
              <w:rPr>
                <w:rFonts w:ascii="Calibri" w:hAnsi="Calibri"/>
                <w:b w:val="0"/>
                <w:i w:val="0"/>
                <w:sz w:val="19"/>
              </w:rPr>
              <w:t>2</w:t>
            </w:r>
          </w:p>
        </w:tc>
        <w:tc>
          <w:tcPr>
            <w:tcW w:type="dxa" w:w="2059"/>
          </w:tcPr>
          <w:p>
            <w:pPr>
              <w:spacing w:before="40" w:after="40" w:line="240" w:lineRule="auto"/>
            </w:pPr>
            <w:r/>
            <w:r>
              <w:rPr>
                <w:rFonts w:ascii="Calibri" w:hAnsi="Calibri"/>
                <w:b w:val="0"/>
                <w:i w:val="0"/>
                <w:sz w:val="19"/>
              </w:rPr>
              <w:t>Middle, 15 to 40 ft</w:t>
            </w:r>
          </w:p>
        </w:tc>
        <w:tc>
          <w:tcPr>
            <w:tcW w:type="dxa" w:w="4118"/>
          </w:tcPr>
          <w:p>
            <w:pPr>
              <w:spacing w:before="40" w:after="40" w:line="240" w:lineRule="auto"/>
            </w:pPr>
            <w:r/>
            <w:r>
              <w:rPr>
                <w:rFonts w:ascii="Calibri" w:hAnsi="Calibri"/>
                <w:b w:val="0"/>
                <w:i w:val="0"/>
                <w:sz w:val="19"/>
              </w:rPr>
              <w:t>Spicebush (Lindera benzoin)</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180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American sycamore (Platanus occidentalis)</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320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Swamp white oak (Quercus bicolor)</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300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Pin oak (Quercus palustris)</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260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Blackgum (Nyssa sylvatica)</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240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Hackberry (Celtis occidentalis)</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220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Arrowwood viburnum (Viburnum dentatum)</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220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Bur oak (Quercus macrocarpa)</w:t>
            </w:r>
          </w:p>
        </w:tc>
        <w:tc>
          <w:tcPr>
            <w:tcW w:type="dxa" w:w="1030"/>
          </w:tcPr>
          <w:p>
            <w:pPr>
              <w:spacing w:before="40" w:after="40" w:line="240" w:lineRule="auto"/>
            </w:pPr>
            <w:r/>
            <w:r>
              <w:rPr>
                <w:rFonts w:ascii="Calibri" w:hAnsi="Calibri"/>
                <w:b w:val="0"/>
                <w:i w:val="0"/>
                <w:sz w:val="19"/>
              </w:rPr>
              <w:t>Tree</w:t>
            </w:r>
          </w:p>
        </w:tc>
        <w:tc>
          <w:tcPr>
            <w:tcW w:type="dxa" w:w="1498"/>
          </w:tcPr>
          <w:p>
            <w:pPr>
              <w:spacing w:before="40" w:after="40" w:line="240" w:lineRule="auto"/>
              <w:jc w:val="right"/>
            </w:pPr>
            <w:r/>
            <w:r>
              <w:rPr>
                <w:rFonts w:ascii="Calibri" w:hAnsi="Calibri"/>
                <w:b w:val="0"/>
                <w:i w:val="0"/>
                <w:sz w:val="19"/>
              </w:rPr>
              <w:t>200</w:t>
            </w:r>
          </w:p>
        </w:tc>
      </w:tr>
      <w:tr>
        <w:tc>
          <w:tcPr>
            <w:tcW w:type="dxa" w:w="655"/>
          </w:tcPr>
          <w:p>
            <w:pPr>
              <w:spacing w:before="40" w:after="40" w:line="240" w:lineRule="auto"/>
            </w:pPr>
            <w:r/>
            <w:r>
              <w:rPr>
                <w:rFonts w:ascii="Calibri" w:hAnsi="Calibri"/>
                <w:b w:val="0"/>
                <w:i w:val="0"/>
                <w:sz w:val="19"/>
              </w:rPr>
              <w:t>3</w:t>
            </w:r>
          </w:p>
        </w:tc>
        <w:tc>
          <w:tcPr>
            <w:tcW w:type="dxa" w:w="2059"/>
          </w:tcPr>
          <w:p>
            <w:pPr>
              <w:spacing w:before="40" w:after="40" w:line="240" w:lineRule="auto"/>
            </w:pPr>
            <w:r/>
            <w:r>
              <w:rPr>
                <w:rFonts w:ascii="Calibri" w:hAnsi="Calibri"/>
                <w:b w:val="0"/>
                <w:i w:val="0"/>
                <w:sz w:val="19"/>
              </w:rPr>
              <w:t>Outer, 40 ft to fence line</w:t>
            </w:r>
          </w:p>
        </w:tc>
        <w:tc>
          <w:tcPr>
            <w:tcW w:type="dxa" w:w="4118"/>
          </w:tcPr>
          <w:p>
            <w:pPr>
              <w:spacing w:before="40" w:after="40" w:line="240" w:lineRule="auto"/>
            </w:pPr>
            <w:r/>
            <w:r>
              <w:rPr>
                <w:rFonts w:ascii="Calibri" w:hAnsi="Calibri"/>
                <w:b w:val="0"/>
                <w:i w:val="0"/>
                <w:sz w:val="19"/>
              </w:rPr>
              <w:t>Black chokeberry (Aronia melanocarpa)</w:t>
            </w:r>
          </w:p>
        </w:tc>
        <w:tc>
          <w:tcPr>
            <w:tcW w:type="dxa" w:w="1030"/>
          </w:tcPr>
          <w:p>
            <w:pPr>
              <w:spacing w:before="40" w:after="40" w:line="240" w:lineRule="auto"/>
            </w:pPr>
            <w:r/>
            <w:r>
              <w:rPr>
                <w:rFonts w:ascii="Calibri" w:hAnsi="Calibri"/>
                <w:b w:val="0"/>
                <w:i w:val="0"/>
                <w:sz w:val="19"/>
              </w:rPr>
              <w:t>Shrub</w:t>
            </w:r>
          </w:p>
        </w:tc>
        <w:tc>
          <w:tcPr>
            <w:tcW w:type="dxa" w:w="1498"/>
          </w:tcPr>
          <w:p>
            <w:pPr>
              <w:spacing w:before="40" w:after="40" w:line="240" w:lineRule="auto"/>
              <w:jc w:val="right"/>
            </w:pPr>
            <w:r/>
            <w:r>
              <w:rPr>
                <w:rFonts w:ascii="Calibri" w:hAnsi="Calibri"/>
                <w:b w:val="0"/>
                <w:i w:val="0"/>
                <w:sz w:val="19"/>
              </w:rPr>
              <w:t>160</w:t>
            </w:r>
          </w:p>
        </w:tc>
      </w:tr>
      <w:tr>
        <w:tc>
          <w:tcPr>
            <w:tcW w:type="dxa" w:w="655"/>
            <w:shd w:val="clear" w:color="auto" w:fill="EFF4F1"/>
          </w:tcPr>
          <w:p>
            <w:pPr>
              <w:spacing w:before="40" w:after="40" w:line="240" w:lineRule="auto"/>
            </w:pPr>
            <w:r/>
            <w:r>
              <w:rPr>
                <w:rFonts w:ascii="Calibri" w:hAnsi="Calibri"/>
                <w:b/>
                <w:i w:val="0"/>
                <w:sz w:val="19"/>
              </w:rPr>
            </w:r>
          </w:p>
        </w:tc>
        <w:tc>
          <w:tcPr>
            <w:tcW w:type="dxa" w:w="2059"/>
            <w:shd w:val="clear" w:color="auto" w:fill="EFF4F1"/>
          </w:tcPr>
          <w:p>
            <w:pPr>
              <w:spacing w:before="40" w:after="40" w:line="240" w:lineRule="auto"/>
            </w:pPr>
            <w:r/>
            <w:r>
              <w:rPr>
                <w:rFonts w:ascii="Calibri" w:hAnsi="Calibri"/>
                <w:b/>
                <w:i w:val="0"/>
                <w:sz w:val="19"/>
              </w:rPr>
              <w:t>Total: 18 species</w:t>
            </w:r>
          </w:p>
        </w:tc>
        <w:tc>
          <w:tcPr>
            <w:tcW w:type="dxa" w:w="4118"/>
            <w:shd w:val="clear" w:color="auto" w:fill="EFF4F1"/>
          </w:tcPr>
          <w:p>
            <w:pPr>
              <w:spacing w:before="40" w:after="40" w:line="240" w:lineRule="auto"/>
            </w:pPr>
            <w:r/>
            <w:r>
              <w:rPr>
                <w:rFonts w:ascii="Calibri" w:hAnsi="Calibri"/>
                <w:b/>
                <w:i w:val="0"/>
                <w:sz w:val="19"/>
              </w:rPr>
              <w:t>2,600 trees (all sheltered) and 1,800 shrubs (unsheltered)</w:t>
            </w:r>
          </w:p>
        </w:tc>
        <w:tc>
          <w:tcPr>
            <w:tcW w:type="dxa" w:w="1030"/>
            <w:shd w:val="clear" w:color="auto" w:fill="EFF4F1"/>
          </w:tcPr>
          <w:p>
            <w:pPr>
              <w:spacing w:before="40" w:after="40" w:line="240" w:lineRule="auto"/>
            </w:pPr>
            <w:r/>
            <w:r>
              <w:rPr>
                <w:rFonts w:ascii="Calibri" w:hAnsi="Calibri"/>
                <w:b/>
                <w:i w:val="0"/>
                <w:sz w:val="19"/>
              </w:rPr>
            </w:r>
          </w:p>
        </w:tc>
        <w:tc>
          <w:tcPr>
            <w:tcW w:type="dxa" w:w="1498"/>
            <w:shd w:val="clear" w:color="auto" w:fill="EFF4F1"/>
          </w:tcPr>
          <w:p>
            <w:pPr>
              <w:spacing w:before="40" w:after="40" w:line="240" w:lineRule="auto"/>
              <w:jc w:val="right"/>
            </w:pPr>
            <w:r/>
            <w:r>
              <w:rPr>
                <w:rFonts w:ascii="Calibri" w:hAnsi="Calibri"/>
                <w:b/>
                <w:i w:val="0"/>
                <w:sz w:val="19"/>
              </w:rPr>
              <w:t>4,400</w:t>
            </w:r>
          </w:p>
        </w:tc>
      </w:tr>
    </w:tbl>
    <w:p>
      <w:pPr>
        <w:pStyle w:val="Caption"/>
      </w:pPr>
      <w:r>
        <w:t>Planting plan. Eighteen species is a deliberate hedge: a single pest, a bad nursery lot, or one dry summer takes a share of the planting, not the project. Substitute a regionally appropriate native list for your own site and confirm the tree count still equals the shelter count in the budget.</w:t>
      </w:r>
    </w:p>
    <w:p>
      <w:pPr>
        <w:pStyle w:val="Heading2"/>
      </w:pPr>
      <w:r>
        <w:t>Implementation schedule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310"/>
            <w:shd w:val="clear" w:color="auto" w:fill="DDE8E2"/>
          </w:tcPr>
          <w:p>
            <w:pPr>
              <w:spacing w:before="40" w:after="40" w:line="240" w:lineRule="auto"/>
            </w:pPr>
            <w:r/>
            <w:r>
              <w:rPr>
                <w:rFonts w:ascii="Calibri" w:hAnsi="Calibri"/>
                <w:b/>
                <w:i w:val="0"/>
                <w:sz w:val="19"/>
              </w:rPr>
              <w:t>Project month</w:t>
            </w:r>
          </w:p>
        </w:tc>
        <w:tc>
          <w:tcPr>
            <w:tcW w:type="dxa" w:w="1498"/>
            <w:shd w:val="clear" w:color="auto" w:fill="DDE8E2"/>
          </w:tcPr>
          <w:p>
            <w:pPr>
              <w:spacing w:before="40" w:after="40" w:line="240" w:lineRule="auto"/>
            </w:pPr>
            <w:r/>
            <w:r>
              <w:rPr>
                <w:rFonts w:ascii="Calibri" w:hAnsi="Calibri"/>
                <w:b/>
                <w:i w:val="0"/>
                <w:sz w:val="19"/>
              </w:rPr>
              <w:t>Season</w:t>
            </w:r>
          </w:p>
        </w:tc>
        <w:tc>
          <w:tcPr>
            <w:tcW w:type="dxa" w:w="6552"/>
            <w:shd w:val="clear" w:color="auto" w:fill="DDE8E2"/>
          </w:tcPr>
          <w:p>
            <w:pPr>
              <w:spacing w:before="40" w:after="40" w:line="240" w:lineRule="auto"/>
            </w:pPr>
            <w:r/>
            <w:r>
              <w:rPr>
                <w:rFonts w:ascii="Calibri" w:hAnsi="Calibri"/>
                <w:b/>
                <w:i w:val="0"/>
                <w:sz w:val="19"/>
              </w:rPr>
              <w:t>Activities</w:t>
            </w:r>
          </w:p>
        </w:tc>
      </w:tr>
      <w:tr>
        <w:tc>
          <w:tcPr>
            <w:tcW w:type="dxa" w:w="1310"/>
          </w:tcPr>
          <w:p>
            <w:pPr>
              <w:spacing w:before="40" w:after="40" w:line="240" w:lineRule="auto"/>
            </w:pPr>
            <w:r/>
            <w:r>
              <w:rPr>
                <w:rFonts w:ascii="Calibri" w:hAnsi="Calibri"/>
                <w:b w:val="0"/>
                <w:i w:val="0"/>
                <w:sz w:val="19"/>
              </w:rPr>
              <w:t>1 to 2</w:t>
            </w:r>
          </w:p>
        </w:tc>
        <w:tc>
          <w:tcPr>
            <w:tcW w:type="dxa" w:w="1498"/>
          </w:tcPr>
          <w:p>
            <w:pPr>
              <w:spacing w:before="40" w:after="40" w:line="240" w:lineRule="auto"/>
            </w:pPr>
            <w:r/>
            <w:r>
              <w:rPr>
                <w:rFonts w:ascii="Calibri" w:hAnsi="Calibri"/>
                <w:b w:val="0"/>
                <w:i w:val="0"/>
                <w:sz w:val="19"/>
              </w:rPr>
              <w:t>Summer, Year 1</w:t>
            </w:r>
          </w:p>
        </w:tc>
        <w:tc>
          <w:tcPr>
            <w:tcW w:type="dxa" w:w="6552"/>
          </w:tcPr>
          <w:p>
            <w:pPr>
              <w:spacing w:before="40" w:after="40" w:line="240" w:lineRule="auto"/>
            </w:pPr>
            <w:r/>
            <w:r>
              <w:rPr>
                <w:rFonts w:ascii="Calibri" w:hAnsi="Calibri"/>
                <w:b w:val="0"/>
                <w:i w:val="0"/>
                <w:sz w:val="19"/>
              </w:rPr>
              <w:t>Execute Parcel E agreement; file Section 404 pre-construction notification and the joint state application; invasive treatment pass one on 9 acres; place nursery order; water quality baseline events 1 and 2</w:t>
            </w:r>
          </w:p>
        </w:tc>
      </w:tr>
      <w:tr>
        <w:tc>
          <w:tcPr>
            <w:tcW w:type="dxa" w:w="1310"/>
          </w:tcPr>
          <w:p>
            <w:pPr>
              <w:spacing w:before="40" w:after="40" w:line="240" w:lineRule="auto"/>
            </w:pPr>
            <w:r/>
            <w:r>
              <w:rPr>
                <w:rFonts w:ascii="Calibri" w:hAnsi="Calibri"/>
                <w:b w:val="0"/>
                <w:i w:val="0"/>
                <w:sz w:val="19"/>
              </w:rPr>
              <w:t>3 to 4</w:t>
            </w:r>
          </w:p>
        </w:tc>
        <w:tc>
          <w:tcPr>
            <w:tcW w:type="dxa" w:w="1498"/>
          </w:tcPr>
          <w:p>
            <w:pPr>
              <w:spacing w:before="40" w:after="40" w:line="240" w:lineRule="auto"/>
            </w:pPr>
            <w:r/>
            <w:r>
              <w:rPr>
                <w:rFonts w:ascii="Calibri" w:hAnsi="Calibri"/>
                <w:b w:val="0"/>
                <w:i w:val="0"/>
                <w:sz w:val="19"/>
              </w:rPr>
              <w:t>Early fall, Year 1</w:t>
            </w:r>
          </w:p>
        </w:tc>
        <w:tc>
          <w:tcPr>
            <w:tcW w:type="dxa" w:w="6552"/>
          </w:tcPr>
          <w:p>
            <w:pPr>
              <w:spacing w:before="40" w:after="40" w:line="240" w:lineRule="auto"/>
            </w:pPr>
            <w:r/>
            <w:r>
              <w:rPr>
                <w:rFonts w:ascii="Calibri" w:hAnsi="Calibri"/>
                <w:b w:val="0"/>
                <w:i w:val="0"/>
                <w:sz w:val="19"/>
              </w:rPr>
              <w:t>Install 3,800 ft of exclusion fencing; construct 2 hardened crossings and 2 off-stream waterers under conservation district inspection; water quality baseline event 3</w:t>
            </w:r>
          </w:p>
        </w:tc>
      </w:tr>
      <w:tr>
        <w:tc>
          <w:tcPr>
            <w:tcW w:type="dxa" w:w="1310"/>
          </w:tcPr>
          <w:p>
            <w:pPr>
              <w:spacing w:before="40" w:after="40" w:line="240" w:lineRule="auto"/>
            </w:pPr>
            <w:r/>
            <w:r>
              <w:rPr>
                <w:rFonts w:ascii="Calibri" w:hAnsi="Calibri"/>
                <w:b w:val="0"/>
                <w:i w:val="0"/>
                <w:sz w:val="19"/>
              </w:rPr>
              <w:t>5 to 6</w:t>
            </w:r>
          </w:p>
        </w:tc>
        <w:tc>
          <w:tcPr>
            <w:tcW w:type="dxa" w:w="1498"/>
          </w:tcPr>
          <w:p>
            <w:pPr>
              <w:spacing w:before="40" w:after="40" w:line="240" w:lineRule="auto"/>
            </w:pPr>
            <w:r/>
            <w:r>
              <w:rPr>
                <w:rFonts w:ascii="Calibri" w:hAnsi="Calibri"/>
                <w:b w:val="0"/>
                <w:i w:val="0"/>
                <w:sz w:val="19"/>
              </w:rPr>
              <w:t>Late fall, Year 1</w:t>
            </w:r>
          </w:p>
        </w:tc>
        <w:tc>
          <w:tcPr>
            <w:tcW w:type="dxa" w:w="6552"/>
          </w:tcPr>
          <w:p>
            <w:pPr>
              <w:spacing w:before="40" w:after="40" w:line="240" w:lineRule="auto"/>
            </w:pPr>
            <w:r/>
            <w:r>
              <w:rPr>
                <w:rFonts w:ascii="Calibri" w:hAnsi="Calibri"/>
                <w:b w:val="0"/>
                <w:i w:val="0"/>
                <w:sz w:val="19"/>
              </w:rPr>
              <w:t>Dormant-season planting round one: 2,600 tree stems installed with 2,600 shelters and stakes across all five parcels, using four volunteer planting days plus a contracted crew</w:t>
            </w:r>
          </w:p>
        </w:tc>
      </w:tr>
      <w:tr>
        <w:tc>
          <w:tcPr>
            <w:tcW w:type="dxa" w:w="1310"/>
          </w:tcPr>
          <w:p>
            <w:pPr>
              <w:spacing w:before="40" w:after="40" w:line="240" w:lineRule="auto"/>
            </w:pPr>
            <w:r/>
            <w:r>
              <w:rPr>
                <w:rFonts w:ascii="Calibri" w:hAnsi="Calibri"/>
                <w:b w:val="0"/>
                <w:i w:val="0"/>
                <w:sz w:val="19"/>
              </w:rPr>
              <w:t>7 to 9</w:t>
            </w:r>
          </w:p>
        </w:tc>
        <w:tc>
          <w:tcPr>
            <w:tcW w:type="dxa" w:w="1498"/>
          </w:tcPr>
          <w:p>
            <w:pPr>
              <w:spacing w:before="40" w:after="40" w:line="240" w:lineRule="auto"/>
            </w:pPr>
            <w:r/>
            <w:r>
              <w:rPr>
                <w:rFonts w:ascii="Calibri" w:hAnsi="Calibri"/>
                <w:b w:val="0"/>
                <w:i w:val="0"/>
                <w:sz w:val="19"/>
              </w:rPr>
              <w:t>Winter, Year 2</w:t>
            </w:r>
          </w:p>
        </w:tc>
        <w:tc>
          <w:tcPr>
            <w:tcW w:type="dxa" w:w="6552"/>
          </w:tcPr>
          <w:p>
            <w:pPr>
              <w:spacing w:before="40" w:after="40" w:line="240" w:lineRule="auto"/>
            </w:pPr>
            <w:r/>
            <w:r>
              <w:rPr>
                <w:rFonts w:ascii="Calibri" w:hAnsi="Calibri"/>
                <w:b w:val="0"/>
                <w:i w:val="0"/>
                <w:sz w:val="19"/>
              </w:rPr>
              <w:t>Shelter inspection and re-staking after ice; fence inspection; contractor procurement for pass two and mowing; progress report at month 6</w:t>
            </w:r>
          </w:p>
        </w:tc>
      </w:tr>
      <w:tr>
        <w:tc>
          <w:tcPr>
            <w:tcW w:type="dxa" w:w="1310"/>
          </w:tcPr>
          <w:p>
            <w:pPr>
              <w:spacing w:before="40" w:after="40" w:line="240" w:lineRule="auto"/>
            </w:pPr>
            <w:r/>
            <w:r>
              <w:rPr>
                <w:rFonts w:ascii="Calibri" w:hAnsi="Calibri"/>
                <w:b w:val="0"/>
                <w:i w:val="0"/>
                <w:sz w:val="19"/>
              </w:rPr>
              <w:t>10 to 11</w:t>
            </w:r>
          </w:p>
        </w:tc>
        <w:tc>
          <w:tcPr>
            <w:tcW w:type="dxa" w:w="1498"/>
          </w:tcPr>
          <w:p>
            <w:pPr>
              <w:spacing w:before="40" w:after="40" w:line="240" w:lineRule="auto"/>
            </w:pPr>
            <w:r/>
            <w:r>
              <w:rPr>
                <w:rFonts w:ascii="Calibri" w:hAnsi="Calibri"/>
                <w:b w:val="0"/>
                <w:i w:val="0"/>
                <w:sz w:val="19"/>
              </w:rPr>
              <w:t>Spring, Year 2</w:t>
            </w:r>
          </w:p>
        </w:tc>
        <w:tc>
          <w:tcPr>
            <w:tcW w:type="dxa" w:w="6552"/>
          </w:tcPr>
          <w:p>
            <w:pPr>
              <w:spacing w:before="40" w:after="40" w:line="240" w:lineRule="auto"/>
            </w:pPr>
            <w:r/>
            <w:r>
              <w:rPr>
                <w:rFonts w:ascii="Calibri" w:hAnsi="Calibri"/>
                <w:b w:val="0"/>
                <w:i w:val="0"/>
                <w:sz w:val="19"/>
              </w:rPr>
              <w:t>Planting round two: 1,800 shrub stems; invasive treatment pass two on 9 acres; macroinvertebrate baseline event at 4 stations</w:t>
            </w:r>
          </w:p>
        </w:tc>
      </w:tr>
      <w:tr>
        <w:tc>
          <w:tcPr>
            <w:tcW w:type="dxa" w:w="1310"/>
          </w:tcPr>
          <w:p>
            <w:pPr>
              <w:spacing w:before="40" w:after="40" w:line="240" w:lineRule="auto"/>
            </w:pPr>
            <w:r/>
            <w:r>
              <w:rPr>
                <w:rFonts w:ascii="Calibri" w:hAnsi="Calibri"/>
                <w:b w:val="0"/>
                <w:i w:val="0"/>
                <w:sz w:val="19"/>
              </w:rPr>
              <w:t>12</w:t>
            </w:r>
          </w:p>
        </w:tc>
        <w:tc>
          <w:tcPr>
            <w:tcW w:type="dxa" w:w="1498"/>
          </w:tcPr>
          <w:p>
            <w:pPr>
              <w:spacing w:before="40" w:after="40" w:line="240" w:lineRule="auto"/>
            </w:pPr>
            <w:r/>
            <w:r>
              <w:rPr>
                <w:rFonts w:ascii="Calibri" w:hAnsi="Calibri"/>
                <w:b w:val="0"/>
                <w:i w:val="0"/>
                <w:sz w:val="19"/>
              </w:rPr>
              <w:t>Early summer, Year 2</w:t>
            </w:r>
          </w:p>
        </w:tc>
        <w:tc>
          <w:tcPr>
            <w:tcW w:type="dxa" w:w="6552"/>
          </w:tcPr>
          <w:p>
            <w:pPr>
              <w:spacing w:before="40" w:after="40" w:line="240" w:lineRule="auto"/>
            </w:pPr>
            <w:r/>
            <w:r>
              <w:rPr>
                <w:rFonts w:ascii="Calibri" w:hAnsi="Calibri"/>
                <w:b w:val="0"/>
                <w:i w:val="0"/>
                <w:sz w:val="19"/>
              </w:rPr>
              <w:t>First contracted mowing pass; midpoint report to funder; photo point round two at all 12 points</w:t>
            </w:r>
          </w:p>
        </w:tc>
      </w:tr>
      <w:tr>
        <w:tc>
          <w:tcPr>
            <w:tcW w:type="dxa" w:w="1310"/>
          </w:tcPr>
          <w:p>
            <w:pPr>
              <w:spacing w:before="40" w:after="40" w:line="240" w:lineRule="auto"/>
            </w:pPr>
            <w:r/>
            <w:r>
              <w:rPr>
                <w:rFonts w:ascii="Calibri" w:hAnsi="Calibri"/>
                <w:b w:val="0"/>
                <w:i w:val="0"/>
                <w:sz w:val="19"/>
              </w:rPr>
              <w:t>13 to 15</w:t>
            </w:r>
          </w:p>
        </w:tc>
        <w:tc>
          <w:tcPr>
            <w:tcW w:type="dxa" w:w="1498"/>
          </w:tcPr>
          <w:p>
            <w:pPr>
              <w:spacing w:before="40" w:after="40" w:line="240" w:lineRule="auto"/>
            </w:pPr>
            <w:r/>
            <w:r>
              <w:rPr>
                <w:rFonts w:ascii="Calibri" w:hAnsi="Calibri"/>
                <w:b w:val="0"/>
                <w:i w:val="0"/>
                <w:sz w:val="19"/>
              </w:rPr>
              <w:t>Summer, Year 2</w:t>
            </w:r>
          </w:p>
        </w:tc>
        <w:tc>
          <w:tcPr>
            <w:tcW w:type="dxa" w:w="6552"/>
          </w:tcPr>
          <w:p>
            <w:pPr>
              <w:spacing w:before="40" w:after="40" w:line="240" w:lineRule="auto"/>
            </w:pPr>
            <w:r/>
            <w:r>
              <w:rPr>
                <w:rFonts w:ascii="Calibri" w:hAnsi="Calibri"/>
                <w:b w:val="0"/>
                <w:i w:val="0"/>
                <w:sz w:val="19"/>
              </w:rPr>
              <w:t>Watering through the dry period; second contracted mowing pass; post-implementation water quality event 1; invasive cover transects re-run</w:t>
            </w:r>
          </w:p>
        </w:tc>
      </w:tr>
      <w:tr>
        <w:tc>
          <w:tcPr>
            <w:tcW w:type="dxa" w:w="1310"/>
          </w:tcPr>
          <w:p>
            <w:pPr>
              <w:spacing w:before="40" w:after="40" w:line="240" w:lineRule="auto"/>
            </w:pPr>
            <w:r/>
            <w:r>
              <w:rPr>
                <w:rFonts w:ascii="Calibri" w:hAnsi="Calibri"/>
                <w:b w:val="0"/>
                <w:i w:val="0"/>
                <w:sz w:val="19"/>
              </w:rPr>
              <w:t>16 to 17</w:t>
            </w:r>
          </w:p>
        </w:tc>
        <w:tc>
          <w:tcPr>
            <w:tcW w:type="dxa" w:w="1498"/>
          </w:tcPr>
          <w:p>
            <w:pPr>
              <w:spacing w:before="40" w:after="40" w:line="240" w:lineRule="auto"/>
            </w:pPr>
            <w:r/>
            <w:r>
              <w:rPr>
                <w:rFonts w:ascii="Calibri" w:hAnsi="Calibri"/>
                <w:b w:val="0"/>
                <w:i w:val="0"/>
                <w:sz w:val="19"/>
              </w:rPr>
              <w:t>Fall, Year 2</w:t>
            </w:r>
          </w:p>
        </w:tc>
        <w:tc>
          <w:tcPr>
            <w:tcW w:type="dxa" w:w="6552"/>
          </w:tcPr>
          <w:p>
            <w:pPr>
              <w:spacing w:before="40" w:after="40" w:line="240" w:lineRule="auto"/>
            </w:pPr>
            <w:r/>
            <w:r>
              <w:rPr>
                <w:rFonts w:ascii="Calibri" w:hAnsi="Calibri"/>
                <w:b w:val="0"/>
                <w:i w:val="0"/>
                <w:sz w:val="19"/>
              </w:rPr>
              <w:t>Twelve-month survival count on round one in 10% sample plots; replacement planting of up to 400 stems; post-implementation water quality event 2</w:t>
            </w:r>
          </w:p>
        </w:tc>
      </w:tr>
      <w:tr>
        <w:tc>
          <w:tcPr>
            <w:tcW w:type="dxa" w:w="1310"/>
          </w:tcPr>
          <w:p>
            <w:pPr>
              <w:spacing w:before="40" w:after="40" w:line="240" w:lineRule="auto"/>
            </w:pPr>
            <w:r/>
            <w:r>
              <w:rPr>
                <w:rFonts w:ascii="Calibri" w:hAnsi="Calibri"/>
                <w:b w:val="0"/>
                <w:i w:val="0"/>
                <w:sz w:val="19"/>
              </w:rPr>
              <w:t>18</w:t>
            </w:r>
          </w:p>
        </w:tc>
        <w:tc>
          <w:tcPr>
            <w:tcW w:type="dxa" w:w="1498"/>
          </w:tcPr>
          <w:p>
            <w:pPr>
              <w:spacing w:before="40" w:after="40" w:line="240" w:lineRule="auto"/>
            </w:pPr>
            <w:r/>
            <w:r>
              <w:rPr>
                <w:rFonts w:ascii="Calibri" w:hAnsi="Calibri"/>
                <w:b w:val="0"/>
                <w:i w:val="0"/>
                <w:sz w:val="19"/>
              </w:rPr>
              <w:t>Early winter, Year 2</w:t>
            </w:r>
          </w:p>
        </w:tc>
        <w:tc>
          <w:tcPr>
            <w:tcW w:type="dxa" w:w="6552"/>
          </w:tcPr>
          <w:p>
            <w:pPr>
              <w:spacing w:before="40" w:after="40" w:line="240" w:lineRule="auto"/>
            </w:pPr>
            <w:r/>
            <w:r>
              <w:rPr>
                <w:rFonts w:ascii="Calibri" w:hAnsi="Calibri"/>
                <w:b w:val="0"/>
                <w:i w:val="0"/>
                <w:sz w:val="19"/>
              </w:rPr>
              <w:t>Post-implementation water quality event 3; final GPS buffer survey; final report; stewardship handoff meeting with all five landowners and the conservation district</w:t>
            </w:r>
          </w:p>
        </w:tc>
      </w:tr>
    </w:tbl>
    <w:p>
      <w:pPr>
        <w:pStyle w:val="Caption"/>
      </w:pPr>
      <w:r>
        <w:t>Eighteen-month implementation schedule. Restoration schedules are set by planting seasons and permit decisions, not by the funder's fiscal calendar. Work backward from your dormant-season planting window before you commit to a start date.</w:t>
      </w:r>
    </w:p>
    <w:p>
      <w:pPr>
        <w:pStyle w:val="Heading1"/>
      </w:pPr>
      <w:r>
        <w:t>6. Site Control</w:t>
      </w:r>
    </w:p>
    <w:p>
      <w:r>
        <w:t>Site control is the first thing a conservation reviewer checks and the most common reason an otherwise strong restoration proposal is set aside. A program request can promise to serve 300 students without proving it owns the classroom. A restoration request cannot.</w:t>
      </w:r>
    </w:p>
    <w:p>
      <w:r>
        <w:t>All five parcels are privately owned. The Alliance holds executed landowner restoration agreements on four of them, with the fifth in final review. Each agreement grants access for construction, planting, maintenance, and monitoring; commits the landowner to keep the practice in place for the agreement term; assigns fence maintenance to the landowner; and requires written notice to the Alliance before sale or transfer. Signed copies of all executed agreements are attached.</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749"/>
            <w:shd w:val="clear" w:color="auto" w:fill="DDE8E2"/>
          </w:tcPr>
          <w:p>
            <w:pPr>
              <w:spacing w:before="40" w:after="40" w:line="240" w:lineRule="auto"/>
            </w:pPr>
            <w:r/>
            <w:r>
              <w:rPr>
                <w:rFonts w:ascii="Calibri" w:hAnsi="Calibri"/>
                <w:b/>
                <w:i w:val="0"/>
                <w:sz w:val="19"/>
              </w:rPr>
              <w:t>Parcel</w:t>
            </w:r>
          </w:p>
        </w:tc>
        <w:tc>
          <w:tcPr>
            <w:tcW w:type="dxa" w:w="2246"/>
            <w:shd w:val="clear" w:color="auto" w:fill="DDE8E2"/>
          </w:tcPr>
          <w:p>
            <w:pPr>
              <w:spacing w:before="40" w:after="40" w:line="240" w:lineRule="auto"/>
            </w:pPr>
            <w:r/>
            <w:r>
              <w:rPr>
                <w:rFonts w:ascii="Calibri" w:hAnsi="Calibri"/>
                <w:b/>
                <w:i w:val="0"/>
                <w:sz w:val="19"/>
              </w:rPr>
              <w:t>Instrument</w:t>
            </w:r>
          </w:p>
        </w:tc>
        <w:tc>
          <w:tcPr>
            <w:tcW w:type="dxa" w:w="1217"/>
            <w:shd w:val="clear" w:color="auto" w:fill="DDE8E2"/>
          </w:tcPr>
          <w:p>
            <w:pPr>
              <w:spacing w:before="40" w:after="40" w:line="240" w:lineRule="auto"/>
            </w:pPr>
            <w:r/>
            <w:r>
              <w:rPr>
                <w:rFonts w:ascii="Calibri" w:hAnsi="Calibri"/>
                <w:b/>
                <w:i w:val="0"/>
                <w:sz w:val="19"/>
              </w:rPr>
              <w:t>Term</w:t>
            </w:r>
          </w:p>
        </w:tc>
        <w:tc>
          <w:tcPr>
            <w:tcW w:type="dxa" w:w="2714"/>
            <w:shd w:val="clear" w:color="auto" w:fill="DDE8E2"/>
          </w:tcPr>
          <w:p>
            <w:pPr>
              <w:spacing w:before="40" w:after="40" w:line="240" w:lineRule="auto"/>
            </w:pPr>
            <w:r/>
            <w:r>
              <w:rPr>
                <w:rFonts w:ascii="Calibri" w:hAnsi="Calibri"/>
                <w:b/>
                <w:i w:val="0"/>
                <w:sz w:val="19"/>
              </w:rPr>
              <w:t>Status at submission</w:t>
            </w:r>
          </w:p>
        </w:tc>
        <w:tc>
          <w:tcPr>
            <w:tcW w:type="dxa" w:w="2434"/>
            <w:shd w:val="clear" w:color="auto" w:fill="DDE8E2"/>
          </w:tcPr>
          <w:p>
            <w:pPr>
              <w:spacing w:before="40" w:after="40" w:line="240" w:lineRule="auto"/>
            </w:pPr>
            <w:r/>
            <w:r>
              <w:rPr>
                <w:rFonts w:ascii="Calibri" w:hAnsi="Calibri"/>
                <w:b/>
                <w:i w:val="0"/>
                <w:sz w:val="19"/>
              </w:rPr>
              <w:t>Notes</w:t>
            </w:r>
          </w:p>
        </w:tc>
      </w:tr>
      <w:tr>
        <w:tc>
          <w:tcPr>
            <w:tcW w:type="dxa" w:w="749"/>
          </w:tcPr>
          <w:p>
            <w:pPr>
              <w:spacing w:before="40" w:after="40" w:line="240" w:lineRule="auto"/>
            </w:pPr>
            <w:r/>
            <w:r>
              <w:rPr>
                <w:rFonts w:ascii="Calibri" w:hAnsi="Calibri"/>
                <w:b w:val="0"/>
                <w:i w:val="0"/>
                <w:sz w:val="19"/>
              </w:rPr>
              <w:t>A</w:t>
            </w:r>
          </w:p>
        </w:tc>
        <w:tc>
          <w:tcPr>
            <w:tcW w:type="dxa" w:w="2246"/>
          </w:tcPr>
          <w:p>
            <w:pPr>
              <w:spacing w:before="40" w:after="40" w:line="240" w:lineRule="auto"/>
            </w:pPr>
            <w:r/>
            <w:r>
              <w:rPr>
                <w:rFonts w:ascii="Calibri" w:hAnsi="Calibri"/>
                <w:b w:val="0"/>
                <w:i w:val="0"/>
                <w:sz w:val="19"/>
              </w:rPr>
              <w:t>Landowner restoration agreement</w:t>
            </w:r>
          </w:p>
        </w:tc>
        <w:tc>
          <w:tcPr>
            <w:tcW w:type="dxa" w:w="1217"/>
          </w:tcPr>
          <w:p>
            <w:pPr>
              <w:spacing w:before="40" w:after="40" w:line="240" w:lineRule="auto"/>
            </w:pPr>
            <w:r/>
            <w:r>
              <w:rPr>
                <w:rFonts w:ascii="Calibri" w:hAnsi="Calibri"/>
                <w:b w:val="0"/>
                <w:i w:val="0"/>
                <w:sz w:val="19"/>
              </w:rPr>
              <w:t>15 years</w:t>
            </w:r>
          </w:p>
        </w:tc>
        <w:tc>
          <w:tcPr>
            <w:tcW w:type="dxa" w:w="2714"/>
          </w:tcPr>
          <w:p>
            <w:pPr>
              <w:spacing w:before="40" w:after="40" w:line="240" w:lineRule="auto"/>
            </w:pPr>
            <w:r/>
            <w:r>
              <w:rPr>
                <w:rFonts w:ascii="Calibri" w:hAnsi="Calibri"/>
                <w:b w:val="0"/>
                <w:i w:val="0"/>
                <w:sz w:val="19"/>
              </w:rPr>
              <w:t>Executed March 2026</w:t>
            </w:r>
          </w:p>
        </w:tc>
        <w:tc>
          <w:tcPr>
            <w:tcW w:type="dxa" w:w="2434"/>
          </w:tcPr>
          <w:p>
            <w:pPr>
              <w:spacing w:before="40" w:after="40" w:line="240" w:lineRule="auto"/>
            </w:pPr>
            <w:r/>
            <w:r>
              <w:rPr>
                <w:rFonts w:ascii="Calibri" w:hAnsi="Calibri"/>
                <w:b w:val="0"/>
                <w:i w:val="0"/>
                <w:sz w:val="19"/>
              </w:rPr>
              <w:t>Recorded with the county; runs with the land</w:t>
            </w:r>
          </w:p>
        </w:tc>
      </w:tr>
      <w:tr>
        <w:tc>
          <w:tcPr>
            <w:tcW w:type="dxa" w:w="749"/>
          </w:tcPr>
          <w:p>
            <w:pPr>
              <w:spacing w:before="40" w:after="40" w:line="240" w:lineRule="auto"/>
            </w:pPr>
            <w:r/>
            <w:r>
              <w:rPr>
                <w:rFonts w:ascii="Calibri" w:hAnsi="Calibri"/>
                <w:b w:val="0"/>
                <w:i w:val="0"/>
                <w:sz w:val="19"/>
              </w:rPr>
              <w:t>B</w:t>
            </w:r>
          </w:p>
        </w:tc>
        <w:tc>
          <w:tcPr>
            <w:tcW w:type="dxa" w:w="2246"/>
          </w:tcPr>
          <w:p>
            <w:pPr>
              <w:spacing w:before="40" w:after="40" w:line="240" w:lineRule="auto"/>
            </w:pPr>
            <w:r/>
            <w:r>
              <w:rPr>
                <w:rFonts w:ascii="Calibri" w:hAnsi="Calibri"/>
                <w:b w:val="0"/>
                <w:i w:val="0"/>
                <w:sz w:val="19"/>
              </w:rPr>
              <w:t>Landowner restoration agreement</w:t>
            </w:r>
          </w:p>
        </w:tc>
        <w:tc>
          <w:tcPr>
            <w:tcW w:type="dxa" w:w="1217"/>
          </w:tcPr>
          <w:p>
            <w:pPr>
              <w:spacing w:before="40" w:after="40" w:line="240" w:lineRule="auto"/>
            </w:pPr>
            <w:r/>
            <w:r>
              <w:rPr>
                <w:rFonts w:ascii="Calibri" w:hAnsi="Calibri"/>
                <w:b w:val="0"/>
                <w:i w:val="0"/>
                <w:sz w:val="19"/>
              </w:rPr>
              <w:t>15 years</w:t>
            </w:r>
          </w:p>
        </w:tc>
        <w:tc>
          <w:tcPr>
            <w:tcW w:type="dxa" w:w="2714"/>
          </w:tcPr>
          <w:p>
            <w:pPr>
              <w:spacing w:before="40" w:after="40" w:line="240" w:lineRule="auto"/>
            </w:pPr>
            <w:r/>
            <w:r>
              <w:rPr>
                <w:rFonts w:ascii="Calibri" w:hAnsi="Calibri"/>
                <w:b w:val="0"/>
                <w:i w:val="0"/>
                <w:sz w:val="19"/>
              </w:rPr>
              <w:t>Executed March 2026</w:t>
            </w:r>
          </w:p>
        </w:tc>
        <w:tc>
          <w:tcPr>
            <w:tcW w:type="dxa" w:w="2434"/>
          </w:tcPr>
          <w:p>
            <w:pPr>
              <w:spacing w:before="40" w:after="40" w:line="240" w:lineRule="auto"/>
            </w:pPr>
            <w:r/>
            <w:r>
              <w:rPr>
                <w:rFonts w:ascii="Calibri" w:hAnsi="Calibri"/>
                <w:b w:val="0"/>
                <w:i w:val="0"/>
                <w:sz w:val="19"/>
              </w:rPr>
              <w:t>Recorded with the county; runs with the land</w:t>
            </w:r>
          </w:p>
        </w:tc>
      </w:tr>
      <w:tr>
        <w:tc>
          <w:tcPr>
            <w:tcW w:type="dxa" w:w="749"/>
          </w:tcPr>
          <w:p>
            <w:pPr>
              <w:spacing w:before="40" w:after="40" w:line="240" w:lineRule="auto"/>
            </w:pPr>
            <w:r/>
            <w:r>
              <w:rPr>
                <w:rFonts w:ascii="Calibri" w:hAnsi="Calibri"/>
                <w:b w:val="0"/>
                <w:i w:val="0"/>
                <w:sz w:val="19"/>
              </w:rPr>
              <w:t>C</w:t>
            </w:r>
          </w:p>
        </w:tc>
        <w:tc>
          <w:tcPr>
            <w:tcW w:type="dxa" w:w="2246"/>
          </w:tcPr>
          <w:p>
            <w:pPr>
              <w:spacing w:before="40" w:after="40" w:line="240" w:lineRule="auto"/>
            </w:pPr>
            <w:r/>
            <w:r>
              <w:rPr>
                <w:rFonts w:ascii="Calibri" w:hAnsi="Calibri"/>
                <w:b w:val="0"/>
                <w:i w:val="0"/>
                <w:sz w:val="19"/>
              </w:rPr>
              <w:t>Landowner restoration agreement</w:t>
            </w:r>
          </w:p>
        </w:tc>
        <w:tc>
          <w:tcPr>
            <w:tcW w:type="dxa" w:w="1217"/>
          </w:tcPr>
          <w:p>
            <w:pPr>
              <w:spacing w:before="40" w:after="40" w:line="240" w:lineRule="auto"/>
            </w:pPr>
            <w:r/>
            <w:r>
              <w:rPr>
                <w:rFonts w:ascii="Calibri" w:hAnsi="Calibri"/>
                <w:b w:val="0"/>
                <w:i w:val="0"/>
                <w:sz w:val="19"/>
              </w:rPr>
              <w:t>15 years</w:t>
            </w:r>
          </w:p>
        </w:tc>
        <w:tc>
          <w:tcPr>
            <w:tcW w:type="dxa" w:w="2714"/>
          </w:tcPr>
          <w:p>
            <w:pPr>
              <w:spacing w:before="40" w:after="40" w:line="240" w:lineRule="auto"/>
            </w:pPr>
            <w:r/>
            <w:r>
              <w:rPr>
                <w:rFonts w:ascii="Calibri" w:hAnsi="Calibri"/>
                <w:b w:val="0"/>
                <w:i w:val="0"/>
                <w:sz w:val="19"/>
              </w:rPr>
              <w:t>Executed April 2026</w:t>
            </w:r>
          </w:p>
        </w:tc>
        <w:tc>
          <w:tcPr>
            <w:tcW w:type="dxa" w:w="2434"/>
          </w:tcPr>
          <w:p>
            <w:pPr>
              <w:spacing w:before="40" w:after="40" w:line="240" w:lineRule="auto"/>
            </w:pPr>
            <w:r/>
            <w:r>
              <w:rPr>
                <w:rFonts w:ascii="Calibri" w:hAnsi="Calibri"/>
                <w:b w:val="0"/>
                <w:i w:val="0"/>
                <w:sz w:val="19"/>
              </w:rPr>
              <w:t>Not recorded; notice-of-transfer clause applies</w:t>
            </w:r>
          </w:p>
        </w:tc>
      </w:tr>
      <w:tr>
        <w:tc>
          <w:tcPr>
            <w:tcW w:type="dxa" w:w="749"/>
          </w:tcPr>
          <w:p>
            <w:pPr>
              <w:spacing w:before="40" w:after="40" w:line="240" w:lineRule="auto"/>
            </w:pPr>
            <w:r/>
            <w:r>
              <w:rPr>
                <w:rFonts w:ascii="Calibri" w:hAnsi="Calibri"/>
                <w:b w:val="0"/>
                <w:i w:val="0"/>
                <w:sz w:val="19"/>
              </w:rPr>
              <w:t>D</w:t>
            </w:r>
          </w:p>
        </w:tc>
        <w:tc>
          <w:tcPr>
            <w:tcW w:type="dxa" w:w="2246"/>
          </w:tcPr>
          <w:p>
            <w:pPr>
              <w:spacing w:before="40" w:after="40" w:line="240" w:lineRule="auto"/>
            </w:pPr>
            <w:r/>
            <w:r>
              <w:rPr>
                <w:rFonts w:ascii="Calibri" w:hAnsi="Calibri"/>
                <w:b w:val="0"/>
                <w:i w:val="0"/>
                <w:sz w:val="19"/>
              </w:rPr>
              <w:t>Landowner restoration agreement</w:t>
            </w:r>
          </w:p>
        </w:tc>
        <w:tc>
          <w:tcPr>
            <w:tcW w:type="dxa" w:w="1217"/>
          </w:tcPr>
          <w:p>
            <w:pPr>
              <w:spacing w:before="40" w:after="40" w:line="240" w:lineRule="auto"/>
            </w:pPr>
            <w:r/>
            <w:r>
              <w:rPr>
                <w:rFonts w:ascii="Calibri" w:hAnsi="Calibri"/>
                <w:b w:val="0"/>
                <w:i w:val="0"/>
                <w:sz w:val="19"/>
              </w:rPr>
              <w:t>10 years</w:t>
            </w:r>
          </w:p>
        </w:tc>
        <w:tc>
          <w:tcPr>
            <w:tcW w:type="dxa" w:w="2714"/>
          </w:tcPr>
          <w:p>
            <w:pPr>
              <w:spacing w:before="40" w:after="40" w:line="240" w:lineRule="auto"/>
            </w:pPr>
            <w:r/>
            <w:r>
              <w:rPr>
                <w:rFonts w:ascii="Calibri" w:hAnsi="Calibri"/>
                <w:b w:val="0"/>
                <w:i w:val="0"/>
                <w:sz w:val="19"/>
              </w:rPr>
              <w:t>Executed April 2026</w:t>
            </w:r>
          </w:p>
        </w:tc>
        <w:tc>
          <w:tcPr>
            <w:tcW w:type="dxa" w:w="2434"/>
          </w:tcPr>
          <w:p>
            <w:pPr>
              <w:spacing w:before="40" w:after="40" w:line="240" w:lineRule="auto"/>
            </w:pPr>
            <w:r/>
            <w:r>
              <w:rPr>
                <w:rFonts w:ascii="Calibri" w:hAnsi="Calibri"/>
                <w:b w:val="0"/>
                <w:i w:val="0"/>
                <w:sz w:val="19"/>
              </w:rPr>
              <w:t>Shorter term at owner request; renewal conversation scheduled for year 8</w:t>
            </w:r>
          </w:p>
        </w:tc>
      </w:tr>
      <w:tr>
        <w:tc>
          <w:tcPr>
            <w:tcW w:type="dxa" w:w="749"/>
          </w:tcPr>
          <w:p>
            <w:pPr>
              <w:spacing w:before="40" w:after="40" w:line="240" w:lineRule="auto"/>
            </w:pPr>
            <w:r/>
            <w:r>
              <w:rPr>
                <w:rFonts w:ascii="Calibri" w:hAnsi="Calibri"/>
                <w:b w:val="0"/>
                <w:i w:val="0"/>
                <w:sz w:val="19"/>
              </w:rPr>
              <w:t>E</w:t>
            </w:r>
          </w:p>
        </w:tc>
        <w:tc>
          <w:tcPr>
            <w:tcW w:type="dxa" w:w="2246"/>
          </w:tcPr>
          <w:p>
            <w:pPr>
              <w:spacing w:before="40" w:after="40" w:line="240" w:lineRule="auto"/>
            </w:pPr>
            <w:r/>
            <w:r>
              <w:rPr>
                <w:rFonts w:ascii="Calibri" w:hAnsi="Calibri"/>
                <w:b w:val="0"/>
                <w:i w:val="0"/>
                <w:sz w:val="19"/>
              </w:rPr>
              <w:t>Landowner restoration agreement</w:t>
            </w:r>
          </w:p>
        </w:tc>
        <w:tc>
          <w:tcPr>
            <w:tcW w:type="dxa" w:w="1217"/>
          </w:tcPr>
          <w:p>
            <w:pPr>
              <w:spacing w:before="40" w:after="40" w:line="240" w:lineRule="auto"/>
            </w:pPr>
            <w:r/>
            <w:r>
              <w:rPr>
                <w:rFonts w:ascii="Calibri" w:hAnsi="Calibri"/>
                <w:b w:val="0"/>
                <w:i w:val="0"/>
                <w:sz w:val="19"/>
              </w:rPr>
              <w:t>15 years (draft)</w:t>
            </w:r>
          </w:p>
        </w:tc>
        <w:tc>
          <w:tcPr>
            <w:tcW w:type="dxa" w:w="2714"/>
          </w:tcPr>
          <w:p>
            <w:pPr>
              <w:spacing w:before="40" w:after="40" w:line="240" w:lineRule="auto"/>
            </w:pPr>
            <w:r/>
            <w:r>
              <w:rPr>
                <w:rFonts w:ascii="Calibri" w:hAnsi="Calibri"/>
                <w:b w:val="0"/>
                <w:i w:val="0"/>
                <w:sz w:val="19"/>
              </w:rPr>
              <w:t>In final review with owner's counsel; signature expected project month 2</w:t>
            </w:r>
          </w:p>
        </w:tc>
        <w:tc>
          <w:tcPr>
            <w:tcW w:type="dxa" w:w="2434"/>
          </w:tcPr>
          <w:p>
            <w:pPr>
              <w:spacing w:before="40" w:after="40" w:line="240" w:lineRule="auto"/>
            </w:pPr>
            <w:r/>
            <w:r>
              <w:rPr>
                <w:rFonts w:ascii="Calibri" w:hAnsi="Calibri"/>
                <w:b w:val="0"/>
                <w:i w:val="0"/>
                <w:sz w:val="19"/>
              </w:rPr>
              <w:t>Parcel E scope, 1,050 ft and $6,800, held in reserve until executed</w:t>
            </w:r>
          </w:p>
        </w:tc>
      </w:tr>
    </w:tbl>
    <w:p>
      <w:pPr>
        <w:pStyle w:val="Caption"/>
      </w:pPr>
      <w:r>
        <w:t>Site control at submission. Naming an unsigned parcel and giving the expected signature date is stronger than implying five signatures you do not have. Many funders will condition disbursement on the final agreement, which is a workable condition. A discovered gap is not.</w:t>
      </w:r>
    </w:p>
    <w:p>
      <w:pPr>
        <w:keepNext/>
        <w:spacing w:before="160" w:after="40"/>
      </w:pPr>
      <w:r>
        <w:rPr>
          <w:b/>
          <w:i/>
          <w:color w:val="2C6E54"/>
        </w:rPr>
        <w:t>What happens if a parcel changes hands during the agreement term?</w:t>
      </w:r>
    </w:p>
    <w:p>
      <w:r>
        <w:t>The two recorded agreements run with the land and bind a subsequent owner for the balance of the 15-year term. The three unrecorded agreements carry a notice-of-transfer clause requiring the landowner to inform the Alliance and to introduce the practice to the buyer. A regional land trust partner is in active conversation with the Parcel A and Parcel B owners about converting their agreements to recorded conservation easements within five years, which is the durable answer. We name this as a real limitation rather than presenting a 15-year agreement as permanence.</w:t>
      </w:r>
    </w:p>
    <w:p>
      <w:pPr>
        <w:keepNext/>
        <w:spacing w:before="160" w:after="40"/>
      </w:pPr>
      <w:r>
        <w:rPr>
          <w:b/>
          <w:i/>
          <w:color w:val="2C6E54"/>
        </w:rPr>
        <w:t>Is a 15-year term long enough for a 40-year planting?</w:t>
      </w:r>
    </w:p>
    <w:p>
      <w:r>
        <w:t>Not by itself, and it would be dishonest to claim otherwise. Three things extend the horizon: the easement conversation above, the fact that a mature buffer becomes an asset the landowner values on its own terms by year eight, and the renewal conversation scheduled into the stewardship plan at year eight for the shorter Parcel D agreement. State the mismatch, then state what you are doing about it.</w:t>
      </w:r>
    </w:p>
    <w:p>
      <w:pPr>
        <w:pStyle w:val="Heading1"/>
      </w:pPr>
      <w:r>
        <w:t>7. Permits and Regulatory Compliance</w:t>
      </w:r>
    </w:p>
    <w:p>
      <w:r>
        <w:t>A reviewer assumes an unmentioned permit is an unstarted permit. Every authorization touching this project is named below with its agency, the work it covers, its current status, and a date.</w:t>
      </w:r>
    </w:p>
    <w:p>
      <w:r>
        <w:t>Work that discharges dredged or fill material into a stream or wetland generally requires a federal permit under Section 404 of the Clean Water Act, administered day to day by the U.S. Army Corps of Engineers. State authorizations sit alongside the federal permit and their names vary by state. In Pennsylvania, for example, the same crossing needs a Chapter 102 earth disturbance authorization and a Chapter 105 water obstruction and encroachment permit (25 Pa. Code Chapters 102 and 105; PA DEP joint permit application guidance, accessed September 2026), and the state agency and the Corps accept one joint application covering Chapter 105 and Section 404 together. Replace the state rows below with your own state's equivalents before you file anything.</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2246"/>
            <w:shd w:val="clear" w:color="auto" w:fill="DDE8E2"/>
          </w:tcPr>
          <w:p>
            <w:pPr>
              <w:spacing w:before="40" w:after="40" w:line="240" w:lineRule="auto"/>
            </w:pPr>
            <w:r/>
            <w:r>
              <w:rPr>
                <w:rFonts w:ascii="Calibri" w:hAnsi="Calibri"/>
                <w:b/>
                <w:i w:val="0"/>
                <w:sz w:val="19"/>
              </w:rPr>
              <w:t>Authorization</w:t>
            </w:r>
          </w:p>
        </w:tc>
        <w:tc>
          <w:tcPr>
            <w:tcW w:type="dxa" w:w="1498"/>
            <w:shd w:val="clear" w:color="auto" w:fill="DDE8E2"/>
          </w:tcPr>
          <w:p>
            <w:pPr>
              <w:spacing w:before="40" w:after="40" w:line="240" w:lineRule="auto"/>
            </w:pPr>
            <w:r/>
            <w:r>
              <w:rPr>
                <w:rFonts w:ascii="Calibri" w:hAnsi="Calibri"/>
                <w:b/>
                <w:i w:val="0"/>
                <w:sz w:val="19"/>
              </w:rPr>
              <w:t>Agency</w:t>
            </w:r>
          </w:p>
        </w:tc>
        <w:tc>
          <w:tcPr>
            <w:tcW w:type="dxa" w:w="1498"/>
            <w:shd w:val="clear" w:color="auto" w:fill="DDE8E2"/>
          </w:tcPr>
          <w:p>
            <w:pPr>
              <w:spacing w:before="40" w:after="40" w:line="240" w:lineRule="auto"/>
            </w:pPr>
            <w:r/>
            <w:r>
              <w:rPr>
                <w:rFonts w:ascii="Calibri" w:hAnsi="Calibri"/>
                <w:b/>
                <w:i w:val="0"/>
                <w:sz w:val="19"/>
              </w:rPr>
              <w:t>Applies to</w:t>
            </w:r>
          </w:p>
        </w:tc>
        <w:tc>
          <w:tcPr>
            <w:tcW w:type="dxa" w:w="2714"/>
            <w:shd w:val="clear" w:color="auto" w:fill="DDE8E2"/>
          </w:tcPr>
          <w:p>
            <w:pPr>
              <w:spacing w:before="40" w:after="40" w:line="240" w:lineRule="auto"/>
            </w:pPr>
            <w:r/>
            <w:r>
              <w:rPr>
                <w:rFonts w:ascii="Calibri" w:hAnsi="Calibri"/>
                <w:b/>
                <w:i w:val="0"/>
                <w:sz w:val="19"/>
              </w:rPr>
              <w:t>Status at submission</w:t>
            </w:r>
          </w:p>
        </w:tc>
        <w:tc>
          <w:tcPr>
            <w:tcW w:type="dxa" w:w="1404"/>
            <w:shd w:val="clear" w:color="auto" w:fill="DDE8E2"/>
          </w:tcPr>
          <w:p>
            <w:pPr>
              <w:spacing w:before="40" w:after="40" w:line="240" w:lineRule="auto"/>
            </w:pPr>
            <w:r/>
            <w:r>
              <w:rPr>
                <w:rFonts w:ascii="Calibri" w:hAnsi="Calibri"/>
                <w:b/>
                <w:i w:val="0"/>
                <w:sz w:val="19"/>
              </w:rPr>
              <w:t>Expected decision</w:t>
            </w:r>
          </w:p>
        </w:tc>
      </w:tr>
      <w:tr>
        <w:tc>
          <w:tcPr>
            <w:tcW w:type="dxa" w:w="2246"/>
          </w:tcPr>
          <w:p>
            <w:pPr>
              <w:spacing w:before="40" w:after="40" w:line="240" w:lineRule="auto"/>
            </w:pPr>
            <w:r/>
            <w:r>
              <w:rPr>
                <w:rFonts w:ascii="Calibri" w:hAnsi="Calibri"/>
                <w:b w:val="0"/>
                <w:i w:val="0"/>
                <w:sz w:val="19"/>
              </w:rPr>
              <w:t>Clean Water Act Section 404 authorization</w:t>
            </w:r>
          </w:p>
        </w:tc>
        <w:tc>
          <w:tcPr>
            <w:tcW w:type="dxa" w:w="1498"/>
          </w:tcPr>
          <w:p>
            <w:pPr>
              <w:spacing w:before="40" w:after="40" w:line="240" w:lineRule="auto"/>
            </w:pPr>
            <w:r/>
            <w:r>
              <w:rPr>
                <w:rFonts w:ascii="Calibri" w:hAnsi="Calibri"/>
                <w:b w:val="0"/>
                <w:i w:val="0"/>
                <w:sz w:val="19"/>
              </w:rPr>
              <w:t>U.S. Army Corps of Engineers district office</w:t>
            </w:r>
          </w:p>
        </w:tc>
        <w:tc>
          <w:tcPr>
            <w:tcW w:type="dxa" w:w="1498"/>
          </w:tcPr>
          <w:p>
            <w:pPr>
              <w:spacing w:before="40" w:after="40" w:line="240" w:lineRule="auto"/>
            </w:pPr>
            <w:r/>
            <w:r>
              <w:rPr>
                <w:rFonts w:ascii="Calibri" w:hAnsi="Calibri"/>
                <w:b w:val="0"/>
                <w:i w:val="0"/>
                <w:sz w:val="19"/>
              </w:rPr>
              <w:t>Two hardened stream crossings</w:t>
            </w:r>
          </w:p>
        </w:tc>
        <w:tc>
          <w:tcPr>
            <w:tcW w:type="dxa" w:w="2714"/>
          </w:tcPr>
          <w:p>
            <w:pPr>
              <w:spacing w:before="40" w:after="40" w:line="240" w:lineRule="auto"/>
            </w:pPr>
            <w:r/>
            <w:r>
              <w:rPr>
                <w:rFonts w:ascii="Calibri" w:hAnsi="Calibri"/>
                <w:b w:val="0"/>
                <w:i w:val="0"/>
                <w:sz w:val="19"/>
              </w:rPr>
              <w:t>Pre-construction notification submitted; nationwide permit verification requested</w:t>
            </w:r>
          </w:p>
        </w:tc>
        <w:tc>
          <w:tcPr>
            <w:tcW w:type="dxa" w:w="1404"/>
          </w:tcPr>
          <w:p>
            <w:pPr>
              <w:spacing w:before="40" w:after="40" w:line="240" w:lineRule="auto"/>
            </w:pPr>
            <w:r/>
            <w:r>
              <w:rPr>
                <w:rFonts w:ascii="Calibri" w:hAnsi="Calibri"/>
                <w:b w:val="0"/>
                <w:i w:val="0"/>
                <w:sz w:val="19"/>
              </w:rPr>
              <w:t>Decision expected project month 2</w:t>
            </w:r>
          </w:p>
        </w:tc>
      </w:tr>
      <w:tr>
        <w:tc>
          <w:tcPr>
            <w:tcW w:type="dxa" w:w="2246"/>
          </w:tcPr>
          <w:p>
            <w:pPr>
              <w:spacing w:before="40" w:after="40" w:line="240" w:lineRule="auto"/>
            </w:pPr>
            <w:r/>
            <w:r>
              <w:rPr>
                <w:rFonts w:ascii="Calibri" w:hAnsi="Calibri"/>
                <w:b w:val="0"/>
                <w:i w:val="0"/>
                <w:sz w:val="19"/>
              </w:rPr>
              <w:t>State water obstruction and encroachment permit (Pennsylvania equivalent: Chapter 105)</w:t>
            </w:r>
          </w:p>
        </w:tc>
        <w:tc>
          <w:tcPr>
            <w:tcW w:type="dxa" w:w="1498"/>
          </w:tcPr>
          <w:p>
            <w:pPr>
              <w:spacing w:before="40" w:after="40" w:line="240" w:lineRule="auto"/>
            </w:pPr>
            <w:r/>
            <w:r>
              <w:rPr>
                <w:rFonts w:ascii="Calibri" w:hAnsi="Calibri"/>
                <w:b w:val="0"/>
                <w:i w:val="0"/>
                <w:sz w:val="19"/>
              </w:rPr>
              <w:t>State environmental agency</w:t>
            </w:r>
          </w:p>
        </w:tc>
        <w:tc>
          <w:tcPr>
            <w:tcW w:type="dxa" w:w="1498"/>
          </w:tcPr>
          <w:p>
            <w:pPr>
              <w:spacing w:before="40" w:after="40" w:line="240" w:lineRule="auto"/>
            </w:pPr>
            <w:r/>
            <w:r>
              <w:rPr>
                <w:rFonts w:ascii="Calibri" w:hAnsi="Calibri"/>
                <w:b w:val="0"/>
                <w:i w:val="0"/>
                <w:sz w:val="19"/>
              </w:rPr>
              <w:t>Two hardened stream crossings</w:t>
            </w:r>
          </w:p>
        </w:tc>
        <w:tc>
          <w:tcPr>
            <w:tcW w:type="dxa" w:w="2714"/>
          </w:tcPr>
          <w:p>
            <w:pPr>
              <w:spacing w:before="40" w:after="40" w:line="240" w:lineRule="auto"/>
            </w:pPr>
            <w:r/>
            <w:r>
              <w:rPr>
                <w:rFonts w:ascii="Calibri" w:hAnsi="Calibri"/>
                <w:b w:val="0"/>
                <w:i w:val="0"/>
                <w:sz w:val="19"/>
              </w:rPr>
              <w:t>Filed as a joint application with the Section 404 notification</w:t>
            </w:r>
          </w:p>
        </w:tc>
        <w:tc>
          <w:tcPr>
            <w:tcW w:type="dxa" w:w="1404"/>
          </w:tcPr>
          <w:p>
            <w:pPr>
              <w:spacing w:before="40" w:after="40" w:line="240" w:lineRule="auto"/>
            </w:pPr>
            <w:r/>
            <w:r>
              <w:rPr>
                <w:rFonts w:ascii="Calibri" w:hAnsi="Calibri"/>
                <w:b w:val="0"/>
                <w:i w:val="0"/>
                <w:sz w:val="19"/>
              </w:rPr>
              <w:t>Decision expected project month 3</w:t>
            </w:r>
          </w:p>
        </w:tc>
      </w:tr>
      <w:tr>
        <w:tc>
          <w:tcPr>
            <w:tcW w:type="dxa" w:w="2246"/>
          </w:tcPr>
          <w:p>
            <w:pPr>
              <w:spacing w:before="40" w:after="40" w:line="240" w:lineRule="auto"/>
            </w:pPr>
            <w:r/>
            <w:r>
              <w:rPr>
                <w:rFonts w:ascii="Calibri" w:hAnsi="Calibri"/>
                <w:b w:val="0"/>
                <w:i w:val="0"/>
                <w:sz w:val="19"/>
              </w:rPr>
              <w:t>State erosion and sediment control authorization (Pennsylvania equivalent: Chapter 102)</w:t>
            </w:r>
          </w:p>
        </w:tc>
        <w:tc>
          <w:tcPr>
            <w:tcW w:type="dxa" w:w="1498"/>
          </w:tcPr>
          <w:p>
            <w:pPr>
              <w:spacing w:before="40" w:after="40" w:line="240" w:lineRule="auto"/>
            </w:pPr>
            <w:r/>
            <w:r>
              <w:rPr>
                <w:rFonts w:ascii="Calibri" w:hAnsi="Calibri"/>
                <w:b w:val="0"/>
                <w:i w:val="0"/>
                <w:sz w:val="19"/>
              </w:rPr>
              <w:t>State environmental agency and county conservation district</w:t>
            </w:r>
          </w:p>
        </w:tc>
        <w:tc>
          <w:tcPr>
            <w:tcW w:type="dxa" w:w="1498"/>
          </w:tcPr>
          <w:p>
            <w:pPr>
              <w:spacing w:before="40" w:after="40" w:line="240" w:lineRule="auto"/>
            </w:pPr>
            <w:r/>
            <w:r>
              <w:rPr>
                <w:rFonts w:ascii="Calibri" w:hAnsi="Calibri"/>
                <w:b w:val="0"/>
                <w:i w:val="0"/>
                <w:sz w:val="19"/>
              </w:rPr>
              <w:t>Crossing construction and fence line disturbance</w:t>
            </w:r>
          </w:p>
        </w:tc>
        <w:tc>
          <w:tcPr>
            <w:tcW w:type="dxa" w:w="2714"/>
          </w:tcPr>
          <w:p>
            <w:pPr>
              <w:spacing w:before="40" w:after="40" w:line="240" w:lineRule="auto"/>
            </w:pPr>
            <w:r/>
            <w:r>
              <w:rPr>
                <w:rFonts w:ascii="Calibri" w:hAnsi="Calibri"/>
                <w:b w:val="0"/>
                <w:i w:val="0"/>
                <w:sz w:val="19"/>
              </w:rPr>
              <w:t>Written E&amp;S control plan prepared and approved by the district; total earth disturbance estimated at 0.6 acre, below the one-acre threshold that triggers NPDES construction stormwater permit coverage (40 CFR 122.26(b)(15), ecfr.gov, accessed September 2026). Several states set a lower disturbance threshold, so confirm your state trigger</w:t>
            </w:r>
          </w:p>
        </w:tc>
        <w:tc>
          <w:tcPr>
            <w:tcW w:type="dxa" w:w="1404"/>
          </w:tcPr>
          <w:p>
            <w:pPr>
              <w:spacing w:before="40" w:after="40" w:line="240" w:lineRule="auto"/>
            </w:pPr>
            <w:r/>
            <w:r>
              <w:rPr>
                <w:rFonts w:ascii="Calibri" w:hAnsi="Calibri"/>
                <w:b w:val="0"/>
                <w:i w:val="0"/>
                <w:sz w:val="19"/>
              </w:rPr>
              <w:t>Plan approved; kept on site during construction</w:t>
            </w:r>
          </w:p>
        </w:tc>
      </w:tr>
      <w:tr>
        <w:tc>
          <w:tcPr>
            <w:tcW w:type="dxa" w:w="2246"/>
          </w:tcPr>
          <w:p>
            <w:pPr>
              <w:spacing w:before="40" w:after="40" w:line="240" w:lineRule="auto"/>
            </w:pPr>
            <w:r/>
            <w:r>
              <w:rPr>
                <w:rFonts w:ascii="Calibri" w:hAnsi="Calibri"/>
                <w:b w:val="0"/>
                <w:i w:val="0"/>
                <w:sz w:val="19"/>
              </w:rPr>
              <w:t>County floodplain and grading review</w:t>
            </w:r>
          </w:p>
        </w:tc>
        <w:tc>
          <w:tcPr>
            <w:tcW w:type="dxa" w:w="1498"/>
          </w:tcPr>
          <w:p>
            <w:pPr>
              <w:spacing w:before="40" w:after="40" w:line="240" w:lineRule="auto"/>
            </w:pPr>
            <w:r/>
            <w:r>
              <w:rPr>
                <w:rFonts w:ascii="Calibri" w:hAnsi="Calibri"/>
                <w:b w:val="0"/>
                <w:i w:val="0"/>
                <w:sz w:val="19"/>
              </w:rPr>
              <w:t>County planning office</w:t>
            </w:r>
          </w:p>
        </w:tc>
        <w:tc>
          <w:tcPr>
            <w:tcW w:type="dxa" w:w="1498"/>
          </w:tcPr>
          <w:p>
            <w:pPr>
              <w:spacing w:before="40" w:after="40" w:line="240" w:lineRule="auto"/>
            </w:pPr>
            <w:r/>
            <w:r>
              <w:rPr>
                <w:rFonts w:ascii="Calibri" w:hAnsi="Calibri"/>
                <w:b w:val="0"/>
                <w:i w:val="0"/>
                <w:sz w:val="19"/>
              </w:rPr>
              <w:t>Crossing structures within the mapped floodplain</w:t>
            </w:r>
          </w:p>
        </w:tc>
        <w:tc>
          <w:tcPr>
            <w:tcW w:type="dxa" w:w="2714"/>
          </w:tcPr>
          <w:p>
            <w:pPr>
              <w:spacing w:before="40" w:after="40" w:line="240" w:lineRule="auto"/>
            </w:pPr>
            <w:r/>
            <w:r>
              <w:rPr>
                <w:rFonts w:ascii="Calibri" w:hAnsi="Calibri"/>
                <w:b w:val="0"/>
                <w:i w:val="0"/>
                <w:sz w:val="19"/>
              </w:rPr>
              <w:t>Application filed</w:t>
            </w:r>
          </w:p>
        </w:tc>
        <w:tc>
          <w:tcPr>
            <w:tcW w:type="dxa" w:w="1404"/>
          </w:tcPr>
          <w:p>
            <w:pPr>
              <w:spacing w:before="40" w:after="40" w:line="240" w:lineRule="auto"/>
            </w:pPr>
            <w:r/>
            <w:r>
              <w:rPr>
                <w:rFonts w:ascii="Calibri" w:hAnsi="Calibri"/>
                <w:b w:val="0"/>
                <w:i w:val="0"/>
                <w:sz w:val="19"/>
              </w:rPr>
              <w:t>Decision expected project month 3</w:t>
            </w:r>
          </w:p>
        </w:tc>
      </w:tr>
      <w:tr>
        <w:tc>
          <w:tcPr>
            <w:tcW w:type="dxa" w:w="2246"/>
          </w:tcPr>
          <w:p>
            <w:pPr>
              <w:spacing w:before="40" w:after="40" w:line="240" w:lineRule="auto"/>
            </w:pPr>
            <w:r/>
            <w:r>
              <w:rPr>
                <w:rFonts w:ascii="Calibri" w:hAnsi="Calibri"/>
                <w:b w:val="0"/>
                <w:i w:val="0"/>
                <w:sz w:val="19"/>
              </w:rPr>
              <w:t>Certified pesticide applicator, aquatic category</w:t>
            </w:r>
          </w:p>
        </w:tc>
        <w:tc>
          <w:tcPr>
            <w:tcW w:type="dxa" w:w="1498"/>
          </w:tcPr>
          <w:p>
            <w:pPr>
              <w:spacing w:before="40" w:after="40" w:line="240" w:lineRule="auto"/>
            </w:pPr>
            <w:r/>
            <w:r>
              <w:rPr>
                <w:rFonts w:ascii="Calibri" w:hAnsi="Calibri"/>
                <w:b w:val="0"/>
                <w:i w:val="0"/>
                <w:sz w:val="19"/>
              </w:rPr>
              <w:t>State department of agriculture</w:t>
            </w:r>
          </w:p>
        </w:tc>
        <w:tc>
          <w:tcPr>
            <w:tcW w:type="dxa" w:w="1498"/>
          </w:tcPr>
          <w:p>
            <w:pPr>
              <w:spacing w:before="40" w:after="40" w:line="240" w:lineRule="auto"/>
            </w:pPr>
            <w:r/>
            <w:r>
              <w:rPr>
                <w:rFonts w:ascii="Calibri" w:hAnsi="Calibri"/>
                <w:b w:val="0"/>
                <w:i w:val="0"/>
                <w:sz w:val="19"/>
              </w:rPr>
              <w:t>Herbicide application within the riparian zone</w:t>
            </w:r>
          </w:p>
        </w:tc>
        <w:tc>
          <w:tcPr>
            <w:tcW w:type="dxa" w:w="2714"/>
          </w:tcPr>
          <w:p>
            <w:pPr>
              <w:spacing w:before="40" w:after="40" w:line="240" w:lineRule="auto"/>
            </w:pPr>
            <w:r/>
            <w:r>
              <w:rPr>
                <w:rFonts w:ascii="Calibri" w:hAnsi="Calibri"/>
                <w:b w:val="0"/>
                <w:i w:val="0"/>
                <w:sz w:val="19"/>
              </w:rPr>
              <w:t>Contractor certification current and attached</w:t>
            </w:r>
          </w:p>
        </w:tc>
        <w:tc>
          <w:tcPr>
            <w:tcW w:type="dxa" w:w="1404"/>
          </w:tcPr>
          <w:p>
            <w:pPr>
              <w:spacing w:before="40" w:after="40" w:line="240" w:lineRule="auto"/>
            </w:pPr>
            <w:r/>
            <w:r>
              <w:rPr>
                <w:rFonts w:ascii="Calibri" w:hAnsi="Calibri"/>
                <w:b w:val="0"/>
                <w:i w:val="0"/>
                <w:sz w:val="19"/>
              </w:rPr>
              <w:t>Valid through the project period</w:t>
            </w:r>
          </w:p>
        </w:tc>
      </w:tr>
      <w:tr>
        <w:tc>
          <w:tcPr>
            <w:tcW w:type="dxa" w:w="2246"/>
          </w:tcPr>
          <w:p>
            <w:pPr>
              <w:spacing w:before="40" w:after="40" w:line="240" w:lineRule="auto"/>
            </w:pPr>
            <w:r/>
            <w:r>
              <w:rPr>
                <w:rFonts w:ascii="Calibri" w:hAnsi="Calibri"/>
                <w:b w:val="0"/>
                <w:i w:val="0"/>
                <w:sz w:val="19"/>
              </w:rPr>
              <w:t>Cultural resource review</w:t>
            </w:r>
          </w:p>
        </w:tc>
        <w:tc>
          <w:tcPr>
            <w:tcW w:type="dxa" w:w="1498"/>
          </w:tcPr>
          <w:p>
            <w:pPr>
              <w:spacing w:before="40" w:after="40" w:line="240" w:lineRule="auto"/>
            </w:pPr>
            <w:r/>
            <w:r>
              <w:rPr>
                <w:rFonts w:ascii="Calibri" w:hAnsi="Calibri"/>
                <w:b w:val="0"/>
                <w:i w:val="0"/>
                <w:sz w:val="19"/>
              </w:rPr>
              <w:t>State historic preservation office</w:t>
            </w:r>
          </w:p>
        </w:tc>
        <w:tc>
          <w:tcPr>
            <w:tcW w:type="dxa" w:w="1498"/>
          </w:tcPr>
          <w:p>
            <w:pPr>
              <w:spacing w:before="40" w:after="40" w:line="240" w:lineRule="auto"/>
            </w:pPr>
            <w:r/>
            <w:r>
              <w:rPr>
                <w:rFonts w:ascii="Calibri" w:hAnsi="Calibri"/>
                <w:b w:val="0"/>
                <w:i w:val="0"/>
                <w:sz w:val="19"/>
              </w:rPr>
              <w:t>Ground disturbance at the two crossing locations</w:t>
            </w:r>
          </w:p>
        </w:tc>
        <w:tc>
          <w:tcPr>
            <w:tcW w:type="dxa" w:w="2714"/>
          </w:tcPr>
          <w:p>
            <w:pPr>
              <w:spacing w:before="40" w:after="40" w:line="240" w:lineRule="auto"/>
            </w:pPr>
            <w:r/>
            <w:r>
              <w:rPr>
                <w:rFonts w:ascii="Calibri" w:hAnsi="Calibri"/>
                <w:b w:val="0"/>
                <w:i w:val="0"/>
                <w:sz w:val="19"/>
              </w:rPr>
              <w:t>Screening request submitted with the Corps notification</w:t>
            </w:r>
          </w:p>
        </w:tc>
        <w:tc>
          <w:tcPr>
            <w:tcW w:type="dxa" w:w="1404"/>
          </w:tcPr>
          <w:p>
            <w:pPr>
              <w:spacing w:before="40" w:after="40" w:line="240" w:lineRule="auto"/>
            </w:pPr>
            <w:r/>
            <w:r>
              <w:rPr>
                <w:rFonts w:ascii="Calibri" w:hAnsi="Calibri"/>
                <w:b w:val="0"/>
                <w:i w:val="0"/>
                <w:sz w:val="19"/>
              </w:rPr>
              <w:t>Response expected project month 2</w:t>
            </w:r>
          </w:p>
        </w:tc>
      </w:tr>
    </w:tbl>
    <w:p>
      <w:pPr>
        <w:pStyle w:val="Caption"/>
      </w:pPr>
      <w:r>
        <w:t>Permit status. Fencing and buffer planting on Parcels C, D, and E proceed independently of the crossing permits, so a permit delay slows one practice rather than stopping the project. Reviewers read that sequencing as competence.</w:t>
      </w:r>
    </w:p>
    <w:p>
      <w:r>
        <w:t>If any decision slips past project month 4, the two crossings shift to project months 13 through 15 without disturbing the planting schedule. The fencing on Parcels C and D can be installed and gapped at the crossing locations, then closed once the structures are built. The budget carries no cost escalation for that scenario because the crossing quote is held firm for 18 months, and that quote is attached.</w:t>
      </w:r>
    </w:p>
    <w:p>
      <w:pPr>
        <w:pStyle w:val="Heading1"/>
      </w:pPr>
      <w:r>
        <w:t>8. Goals, Objectives, and Outcome Measures</w:t>
      </w:r>
    </w:p>
    <w:p>
      <w:pPr>
        <w:pStyle w:val="Heading2"/>
      </w:pPr>
      <w:r>
        <w:t>Goals</w:t>
      </w:r>
    </w:p>
    <w:p>
      <w:r>
        <w:t>The project has three goals, each with objectives stated in countable units.</w:t>
      </w:r>
    </w:p>
    <w:p>
      <w:r>
        <w:rPr>
          <w:b/>
        </w:rPr>
        <w:t xml:space="preserve">Goal 1. </w:t>
      </w:r>
      <w:r>
        <w:t>Eliminate direct livestock access to the Mill Fork channel across the project reach. Objective 1.1: install 3,800 linear feet of exclusion fencing by project month 4. Objective 1.2: construct two hardened crossings and two off-stream watering systems by project month 4, or by project month 15 if the Section 404 decision is delayed as described in Section 7. Objective 1.3: reduce direct livestock access points from 5 to 0 by project month 4, or by project month 15 if the Section 404 decision is delayed as described in Section 7.</w:t>
      </w:r>
    </w:p>
    <w:p>
      <w:r>
        <w:rPr>
          <w:b/>
        </w:rPr>
        <w:t xml:space="preserve">Goal 2. </w:t>
      </w:r>
      <w:r>
        <w:t>Establish continuous forested riparian buffer across the reach. Objective 2.1: reduce mean invasive cover on 9 treatment acres from 45 percent to 10 percent or less by project month 15. Objective 2.2: install 4,400 native stems across 18 species by project month 11. Objective 2.3: increase streambank carrying woody buffer at least 35 feet wide from 1,100 to 9,240 linear feet by project month 18. Objective 2.4: achieve at least 80 percent survival on round-one plantings at the 12-month count.</w:t>
      </w:r>
    </w:p>
    <w:p>
      <w:r>
        <w:rPr>
          <w:b/>
        </w:rPr>
        <w:t xml:space="preserve">Goal 3. </w:t>
      </w:r>
      <w:r>
        <w:t>Establish a monitored, maintained site that outlasts the grant. Objective 3.1: complete three baseline and three post-implementation water quality events at four stations by project month 18. Objective 3.2: execute a five-year stewardship schedule with a named responsible party and funding source for every task before closeout. Objective 3.3: hold a stewardship handoff meeting with all five landowners and the conservation district in project month 18.</w:t>
      </w:r>
    </w:p>
    <w:p>
      <w:pPr>
        <w:pStyle w:val="Heading2"/>
      </w:pPr>
      <w:r>
        <w:t>Outcome measures</w:t>
      </w:r>
    </w:p>
    <w:p>
      <w:r>
        <w:t>Measures are split into two kinds, and the split is the honest answer to a reviewer asking how you will know the project worked. Implementation measures are things we control and commit to. Response measures are things we monitor and report without promising a value, because bank stability and shade begin to change within a few seasons while measurable in-stream chemistry in a headwater system can lag well past the end of an 18-month award. Promising a nitrate reduction inside the grant term invites a reviewer to mark the proposal unrealistic, and invites a final report we cannot write.</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2246"/>
            <w:shd w:val="clear" w:color="auto" w:fill="DDE8E2"/>
          </w:tcPr>
          <w:p>
            <w:pPr>
              <w:spacing w:before="40" w:after="40" w:line="240" w:lineRule="auto"/>
            </w:pPr>
            <w:r/>
            <w:r>
              <w:rPr>
                <w:rFonts w:ascii="Calibri" w:hAnsi="Calibri"/>
                <w:b/>
                <w:i w:val="0"/>
                <w:sz w:val="19"/>
              </w:rPr>
              <w:t>Measure</w:t>
            </w:r>
          </w:p>
        </w:tc>
        <w:tc>
          <w:tcPr>
            <w:tcW w:type="dxa" w:w="1778"/>
            <w:shd w:val="clear" w:color="auto" w:fill="DDE8E2"/>
          </w:tcPr>
          <w:p>
            <w:pPr>
              <w:spacing w:before="40" w:after="40" w:line="240" w:lineRule="auto"/>
            </w:pPr>
            <w:r/>
            <w:r>
              <w:rPr>
                <w:rFonts w:ascii="Calibri" w:hAnsi="Calibri"/>
                <w:b/>
                <w:i w:val="0"/>
                <w:sz w:val="19"/>
              </w:rPr>
              <w:t>Baseline</w:t>
            </w:r>
          </w:p>
        </w:tc>
        <w:tc>
          <w:tcPr>
            <w:tcW w:type="dxa" w:w="2153"/>
            <w:shd w:val="clear" w:color="auto" w:fill="DDE8E2"/>
          </w:tcPr>
          <w:p>
            <w:pPr>
              <w:spacing w:before="40" w:after="40" w:line="240" w:lineRule="auto"/>
            </w:pPr>
            <w:r/>
            <w:r>
              <w:rPr>
                <w:rFonts w:ascii="Calibri" w:hAnsi="Calibri"/>
                <w:b/>
                <w:i w:val="0"/>
                <w:sz w:val="19"/>
              </w:rPr>
              <w:t>Target at month 18</w:t>
            </w:r>
          </w:p>
        </w:tc>
        <w:tc>
          <w:tcPr>
            <w:tcW w:type="dxa" w:w="2059"/>
            <w:shd w:val="clear" w:color="auto" w:fill="DDE8E2"/>
          </w:tcPr>
          <w:p>
            <w:pPr>
              <w:spacing w:before="40" w:after="40" w:line="240" w:lineRule="auto"/>
            </w:pPr>
            <w:r/>
            <w:r>
              <w:rPr>
                <w:rFonts w:ascii="Calibri" w:hAnsi="Calibri"/>
                <w:b/>
                <w:i w:val="0"/>
                <w:sz w:val="19"/>
              </w:rPr>
              <w:t>Method</w:t>
            </w:r>
          </w:p>
        </w:tc>
        <w:tc>
          <w:tcPr>
            <w:tcW w:type="dxa" w:w="1123"/>
            <w:shd w:val="clear" w:color="auto" w:fill="DDE8E2"/>
          </w:tcPr>
          <w:p>
            <w:pPr>
              <w:spacing w:before="40" w:after="40" w:line="240" w:lineRule="auto"/>
            </w:pPr>
            <w:r/>
            <w:r>
              <w:rPr>
                <w:rFonts w:ascii="Calibri" w:hAnsi="Calibri"/>
                <w:b/>
                <w:i w:val="0"/>
                <w:sz w:val="19"/>
              </w:rPr>
              <w:t>Type</w:t>
            </w:r>
          </w:p>
        </w:tc>
      </w:tr>
      <w:tr>
        <w:tc>
          <w:tcPr>
            <w:tcW w:type="dxa" w:w="2246"/>
          </w:tcPr>
          <w:p>
            <w:pPr>
              <w:spacing w:before="40" w:after="40" w:line="240" w:lineRule="auto"/>
            </w:pPr>
            <w:r/>
            <w:r>
              <w:rPr>
                <w:rFonts w:ascii="Calibri" w:hAnsi="Calibri"/>
                <w:b w:val="0"/>
                <w:i w:val="0"/>
                <w:sz w:val="19"/>
              </w:rPr>
              <w:t>Streambank with woody buffer at least 35 feet wide</w:t>
            </w:r>
          </w:p>
        </w:tc>
        <w:tc>
          <w:tcPr>
            <w:tcW w:type="dxa" w:w="1778"/>
          </w:tcPr>
          <w:p>
            <w:pPr>
              <w:spacing w:before="40" w:after="40" w:line="240" w:lineRule="auto"/>
            </w:pPr>
            <w:r/>
            <w:r>
              <w:rPr>
                <w:rFonts w:ascii="Calibri" w:hAnsi="Calibri"/>
                <w:b w:val="0"/>
                <w:i w:val="0"/>
                <w:sz w:val="19"/>
              </w:rPr>
              <w:t>1,100 of 9,240 linear feet</w:t>
            </w:r>
          </w:p>
        </w:tc>
        <w:tc>
          <w:tcPr>
            <w:tcW w:type="dxa" w:w="2153"/>
          </w:tcPr>
          <w:p>
            <w:pPr>
              <w:spacing w:before="40" w:after="40" w:line="240" w:lineRule="auto"/>
            </w:pPr>
            <w:r/>
            <w:r>
              <w:rPr>
                <w:rFonts w:ascii="Calibri" w:hAnsi="Calibri"/>
                <w:b w:val="0"/>
                <w:i w:val="0"/>
                <w:sz w:val="19"/>
              </w:rPr>
              <w:t>9,240 linear feet</w:t>
            </w:r>
          </w:p>
        </w:tc>
        <w:tc>
          <w:tcPr>
            <w:tcW w:type="dxa" w:w="2059"/>
          </w:tcPr>
          <w:p>
            <w:pPr>
              <w:spacing w:before="40" w:after="40" w:line="240" w:lineRule="auto"/>
            </w:pPr>
            <w:r/>
            <w:r>
              <w:rPr>
                <w:rFonts w:ascii="Calibri" w:hAnsi="Calibri"/>
                <w:b w:val="0"/>
                <w:i w:val="0"/>
                <w:sz w:val="19"/>
              </w:rPr>
              <w:t>GPS field survey plus GIS</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Native stems installed</w:t>
            </w:r>
          </w:p>
        </w:tc>
        <w:tc>
          <w:tcPr>
            <w:tcW w:type="dxa" w:w="1778"/>
          </w:tcPr>
          <w:p>
            <w:pPr>
              <w:spacing w:before="40" w:after="40" w:line="240" w:lineRule="auto"/>
            </w:pPr>
            <w:r/>
            <w:r>
              <w:rPr>
                <w:rFonts w:ascii="Calibri" w:hAnsi="Calibri"/>
                <w:b w:val="0"/>
                <w:i w:val="0"/>
                <w:sz w:val="19"/>
              </w:rPr>
              <w:t>0</w:t>
            </w:r>
          </w:p>
        </w:tc>
        <w:tc>
          <w:tcPr>
            <w:tcW w:type="dxa" w:w="2153"/>
          </w:tcPr>
          <w:p>
            <w:pPr>
              <w:spacing w:before="40" w:after="40" w:line="240" w:lineRule="auto"/>
            </w:pPr>
            <w:r/>
            <w:r>
              <w:rPr>
                <w:rFonts w:ascii="Calibri" w:hAnsi="Calibri"/>
                <w:b w:val="0"/>
                <w:i w:val="0"/>
                <w:sz w:val="19"/>
              </w:rPr>
              <w:t>4,400 across 18 species</w:t>
            </w:r>
          </w:p>
        </w:tc>
        <w:tc>
          <w:tcPr>
            <w:tcW w:type="dxa" w:w="2059"/>
          </w:tcPr>
          <w:p>
            <w:pPr>
              <w:spacing w:before="40" w:after="40" w:line="240" w:lineRule="auto"/>
            </w:pPr>
            <w:r/>
            <w:r>
              <w:rPr>
                <w:rFonts w:ascii="Calibri" w:hAnsi="Calibri"/>
                <w:b w:val="0"/>
                <w:i w:val="0"/>
                <w:sz w:val="19"/>
              </w:rPr>
              <w:t>Planting records by parcel</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Stem survival, round one</w:t>
            </w:r>
          </w:p>
        </w:tc>
        <w:tc>
          <w:tcPr>
            <w:tcW w:type="dxa" w:w="1778"/>
          </w:tcPr>
          <w:p>
            <w:pPr>
              <w:spacing w:before="40" w:after="40" w:line="240" w:lineRule="auto"/>
            </w:pPr>
            <w:r/>
            <w:r>
              <w:rPr>
                <w:rFonts w:ascii="Calibri" w:hAnsi="Calibri"/>
                <w:b w:val="0"/>
                <w:i w:val="0"/>
                <w:sz w:val="19"/>
              </w:rPr>
              <w:t>Not applicable</w:t>
            </w:r>
          </w:p>
        </w:tc>
        <w:tc>
          <w:tcPr>
            <w:tcW w:type="dxa" w:w="2153"/>
          </w:tcPr>
          <w:p>
            <w:pPr>
              <w:spacing w:before="40" w:after="40" w:line="240" w:lineRule="auto"/>
            </w:pPr>
            <w:r/>
            <w:r>
              <w:rPr>
                <w:rFonts w:ascii="Calibri" w:hAnsi="Calibri"/>
                <w:b w:val="0"/>
                <w:i w:val="0"/>
                <w:sz w:val="19"/>
              </w:rPr>
              <w:t>At least 80% at 12 months after planting</w:t>
            </w:r>
          </w:p>
        </w:tc>
        <w:tc>
          <w:tcPr>
            <w:tcW w:type="dxa" w:w="2059"/>
          </w:tcPr>
          <w:p>
            <w:pPr>
              <w:spacing w:before="40" w:after="40" w:line="240" w:lineRule="auto"/>
            </w:pPr>
            <w:r/>
            <w:r>
              <w:rPr>
                <w:rFonts w:ascii="Calibri" w:hAnsi="Calibri"/>
                <w:b w:val="0"/>
                <w:i w:val="0"/>
                <w:sz w:val="19"/>
              </w:rPr>
              <w:t>Count in 10% sample plots</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Invasive cover on treated acres</w:t>
            </w:r>
          </w:p>
        </w:tc>
        <w:tc>
          <w:tcPr>
            <w:tcW w:type="dxa" w:w="1778"/>
          </w:tcPr>
          <w:p>
            <w:pPr>
              <w:spacing w:before="40" w:after="40" w:line="240" w:lineRule="auto"/>
            </w:pPr>
            <w:r/>
            <w:r>
              <w:rPr>
                <w:rFonts w:ascii="Calibri" w:hAnsi="Calibri"/>
                <w:b w:val="0"/>
                <w:i w:val="0"/>
                <w:sz w:val="19"/>
              </w:rPr>
              <w:t>45% mean cover</w:t>
            </w:r>
          </w:p>
        </w:tc>
        <w:tc>
          <w:tcPr>
            <w:tcW w:type="dxa" w:w="2153"/>
          </w:tcPr>
          <w:p>
            <w:pPr>
              <w:spacing w:before="40" w:after="40" w:line="240" w:lineRule="auto"/>
            </w:pPr>
            <w:r/>
            <w:r>
              <w:rPr>
                <w:rFonts w:ascii="Calibri" w:hAnsi="Calibri"/>
                <w:b w:val="0"/>
                <w:i w:val="0"/>
                <w:sz w:val="19"/>
              </w:rPr>
              <w:t>10% or less mean cover</w:t>
            </w:r>
          </w:p>
        </w:tc>
        <w:tc>
          <w:tcPr>
            <w:tcW w:type="dxa" w:w="2059"/>
          </w:tcPr>
          <w:p>
            <w:pPr>
              <w:spacing w:before="40" w:after="40" w:line="240" w:lineRule="auto"/>
            </w:pPr>
            <w:r/>
            <w:r>
              <w:rPr>
                <w:rFonts w:ascii="Calibri" w:hAnsi="Calibri"/>
                <w:b w:val="0"/>
                <w:i w:val="0"/>
                <w:sz w:val="19"/>
              </w:rPr>
              <w:t>Line-intercept transects, same 20 transects as baseline</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Direct livestock access points</w:t>
            </w:r>
          </w:p>
        </w:tc>
        <w:tc>
          <w:tcPr>
            <w:tcW w:type="dxa" w:w="1778"/>
          </w:tcPr>
          <w:p>
            <w:pPr>
              <w:spacing w:before="40" w:after="40" w:line="240" w:lineRule="auto"/>
            </w:pPr>
            <w:r/>
            <w:r>
              <w:rPr>
                <w:rFonts w:ascii="Calibri" w:hAnsi="Calibri"/>
                <w:b w:val="0"/>
                <w:i w:val="0"/>
                <w:sz w:val="19"/>
              </w:rPr>
              <w:t>5</w:t>
            </w:r>
          </w:p>
        </w:tc>
        <w:tc>
          <w:tcPr>
            <w:tcW w:type="dxa" w:w="2153"/>
          </w:tcPr>
          <w:p>
            <w:pPr>
              <w:spacing w:before="40" w:after="40" w:line="240" w:lineRule="auto"/>
            </w:pPr>
            <w:r>
              <w:t>0, reached at project month 4 or project month 15 if the Section 404 decision is delayed as described in Section 7</w:t>
            </w:r>
            <w:r>
              <w:rPr>
                <w:rFonts w:ascii="Calibri" w:hAnsi="Calibri"/>
                <w:b w:val="0"/>
                <w:i w:val="0"/>
                <w:sz w:val="19"/>
              </w:rPr>
            </w:r>
          </w:p>
        </w:tc>
        <w:tc>
          <w:tcPr>
            <w:tcW w:type="dxa" w:w="2059"/>
          </w:tcPr>
          <w:p>
            <w:pPr>
              <w:spacing w:before="40" w:after="40" w:line="240" w:lineRule="auto"/>
            </w:pPr>
            <w:r/>
            <w:r>
              <w:rPr>
                <w:rFonts w:ascii="Calibri" w:hAnsi="Calibri"/>
                <w:b w:val="0"/>
                <w:i w:val="0"/>
                <w:sz w:val="19"/>
              </w:rPr>
              <w:t>Field inspection with conservation district</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Livestock exclusion fencing in place</w:t>
            </w:r>
          </w:p>
        </w:tc>
        <w:tc>
          <w:tcPr>
            <w:tcW w:type="dxa" w:w="1778"/>
          </w:tcPr>
          <w:p>
            <w:pPr>
              <w:spacing w:before="40" w:after="40" w:line="240" w:lineRule="auto"/>
            </w:pPr>
            <w:r/>
            <w:r>
              <w:rPr>
                <w:rFonts w:ascii="Calibri" w:hAnsi="Calibri"/>
                <w:b w:val="0"/>
                <w:i w:val="0"/>
                <w:sz w:val="19"/>
              </w:rPr>
              <w:t>0 linear feet</w:t>
            </w:r>
          </w:p>
        </w:tc>
        <w:tc>
          <w:tcPr>
            <w:tcW w:type="dxa" w:w="2153"/>
          </w:tcPr>
          <w:p>
            <w:pPr>
              <w:spacing w:before="40" w:after="40" w:line="240" w:lineRule="auto"/>
            </w:pPr>
            <w:r/>
            <w:r>
              <w:rPr>
                <w:rFonts w:ascii="Calibri" w:hAnsi="Calibri"/>
                <w:b w:val="0"/>
                <w:i w:val="0"/>
                <w:sz w:val="19"/>
              </w:rPr>
              <w:t>3,800 linear feet</w:t>
            </w:r>
          </w:p>
        </w:tc>
        <w:tc>
          <w:tcPr>
            <w:tcW w:type="dxa" w:w="2059"/>
          </w:tcPr>
          <w:p>
            <w:pPr>
              <w:spacing w:before="40" w:after="40" w:line="240" w:lineRule="auto"/>
            </w:pPr>
            <w:r/>
            <w:r>
              <w:rPr>
                <w:rFonts w:ascii="Calibri" w:hAnsi="Calibri"/>
                <w:b w:val="0"/>
                <w:i w:val="0"/>
                <w:sz w:val="19"/>
              </w:rPr>
              <w:t>As-built measurement and district inspection</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Acres of riparian buffer established</w:t>
            </w:r>
          </w:p>
        </w:tc>
        <w:tc>
          <w:tcPr>
            <w:tcW w:type="dxa" w:w="1778"/>
          </w:tcPr>
          <w:p>
            <w:pPr>
              <w:spacing w:before="40" w:after="40" w:line="240" w:lineRule="auto"/>
            </w:pPr>
            <w:r/>
            <w:r>
              <w:rPr>
                <w:rFonts w:ascii="Calibri" w:hAnsi="Calibri"/>
                <w:b w:val="0"/>
                <w:i w:val="0"/>
                <w:sz w:val="19"/>
              </w:rPr>
              <w:t>0</w:t>
            </w:r>
          </w:p>
        </w:tc>
        <w:tc>
          <w:tcPr>
            <w:tcW w:type="dxa" w:w="2153"/>
          </w:tcPr>
          <w:p>
            <w:pPr>
              <w:spacing w:before="40" w:after="40" w:line="240" w:lineRule="auto"/>
            </w:pPr>
            <w:r/>
            <w:r>
              <w:rPr>
                <w:rFonts w:ascii="Calibri" w:hAnsi="Calibri"/>
                <w:b w:val="0"/>
                <w:i w:val="0"/>
                <w:sz w:val="19"/>
              </w:rPr>
              <w:t>22.0 acres</w:t>
            </w:r>
          </w:p>
        </w:tc>
        <w:tc>
          <w:tcPr>
            <w:tcW w:type="dxa" w:w="2059"/>
          </w:tcPr>
          <w:p>
            <w:pPr>
              <w:spacing w:before="40" w:after="40" w:line="240" w:lineRule="auto"/>
            </w:pPr>
            <w:r/>
            <w:r>
              <w:rPr>
                <w:rFonts w:ascii="Calibri" w:hAnsi="Calibri"/>
                <w:b w:val="0"/>
                <w:i w:val="0"/>
                <w:sz w:val="19"/>
              </w:rPr>
              <w:t>GIS from as-built planting boundaries</w:t>
            </w:r>
          </w:p>
        </w:tc>
        <w:tc>
          <w:tcPr>
            <w:tcW w:type="dxa" w:w="1123"/>
          </w:tcPr>
          <w:p>
            <w:pPr>
              <w:spacing w:before="40" w:after="40" w:line="240" w:lineRule="auto"/>
            </w:pPr>
            <w:r/>
            <w:r>
              <w:rPr>
                <w:rFonts w:ascii="Calibri" w:hAnsi="Calibri"/>
                <w:b w:val="0"/>
                <w:i w:val="0"/>
                <w:sz w:val="19"/>
              </w:rPr>
              <w:t>Implementation</w:t>
            </w:r>
          </w:p>
        </w:tc>
      </w:tr>
      <w:tr>
        <w:tc>
          <w:tcPr>
            <w:tcW w:type="dxa" w:w="2246"/>
          </w:tcPr>
          <w:p>
            <w:pPr>
              <w:spacing w:before="40" w:after="40" w:line="240" w:lineRule="auto"/>
            </w:pPr>
            <w:r/>
            <w:r>
              <w:rPr>
                <w:rFonts w:ascii="Calibri" w:hAnsi="Calibri"/>
                <w:b w:val="0"/>
                <w:i w:val="0"/>
                <w:sz w:val="19"/>
              </w:rPr>
              <w:t>Macroinvertebrate condition</w:t>
            </w:r>
          </w:p>
        </w:tc>
        <w:tc>
          <w:tcPr>
            <w:tcW w:type="dxa" w:w="1778"/>
          </w:tcPr>
          <w:p>
            <w:pPr>
              <w:spacing w:before="40" w:after="40" w:line="240" w:lineRule="auto"/>
            </w:pPr>
            <w:r/>
            <w:r>
              <w:rPr>
                <w:rFonts w:ascii="Calibri" w:hAnsi="Calibri"/>
                <w:b w:val="0"/>
                <w:i w:val="0"/>
                <w:sz w:val="19"/>
              </w:rPr>
              <w:t>Spring baseline score at 4 stations</w:t>
            </w:r>
          </w:p>
        </w:tc>
        <w:tc>
          <w:tcPr>
            <w:tcW w:type="dxa" w:w="2153"/>
          </w:tcPr>
          <w:p>
            <w:pPr>
              <w:spacing w:before="40" w:after="40" w:line="240" w:lineRule="auto"/>
            </w:pPr>
            <w:r/>
            <w:r>
              <w:rPr>
                <w:rFonts w:ascii="Calibri" w:hAnsi="Calibri"/>
                <w:b w:val="0"/>
                <w:i w:val="0"/>
                <w:sz w:val="19"/>
              </w:rPr>
              <w:t>Reported, direction of change only</w:t>
            </w:r>
          </w:p>
        </w:tc>
        <w:tc>
          <w:tcPr>
            <w:tcW w:type="dxa" w:w="2059"/>
          </w:tcPr>
          <w:p>
            <w:pPr>
              <w:spacing w:before="40" w:after="40" w:line="240" w:lineRule="auto"/>
            </w:pPr>
            <w:r/>
            <w:r>
              <w:rPr>
                <w:rFonts w:ascii="Calibri" w:hAnsi="Calibri"/>
                <w:b w:val="0"/>
                <w:i w:val="0"/>
                <w:sz w:val="19"/>
              </w:rPr>
              <w:t>State volunteer monitoring protocol</w:t>
            </w:r>
          </w:p>
        </w:tc>
        <w:tc>
          <w:tcPr>
            <w:tcW w:type="dxa" w:w="1123"/>
          </w:tcPr>
          <w:p>
            <w:pPr>
              <w:spacing w:before="40" w:after="40" w:line="240" w:lineRule="auto"/>
            </w:pPr>
            <w:r/>
            <w:r>
              <w:rPr>
                <w:rFonts w:ascii="Calibri" w:hAnsi="Calibri"/>
                <w:b w:val="0"/>
                <w:i w:val="0"/>
                <w:sz w:val="19"/>
              </w:rPr>
              <w:t>Response</w:t>
            </w:r>
          </w:p>
        </w:tc>
      </w:tr>
      <w:tr>
        <w:tc>
          <w:tcPr>
            <w:tcW w:type="dxa" w:w="2246"/>
          </w:tcPr>
          <w:p>
            <w:pPr>
              <w:spacing w:before="40" w:after="40" w:line="240" w:lineRule="auto"/>
            </w:pPr>
            <w:r/>
            <w:r>
              <w:rPr>
                <w:rFonts w:ascii="Calibri" w:hAnsi="Calibri"/>
                <w:b w:val="0"/>
                <w:i w:val="0"/>
                <w:sz w:val="19"/>
              </w:rPr>
              <w:t>Turbidity and total suspended solids</w:t>
            </w:r>
          </w:p>
        </w:tc>
        <w:tc>
          <w:tcPr>
            <w:tcW w:type="dxa" w:w="1778"/>
          </w:tcPr>
          <w:p>
            <w:pPr>
              <w:spacing w:before="40" w:after="40" w:line="240" w:lineRule="auto"/>
            </w:pPr>
            <w:r/>
            <w:r>
              <w:rPr>
                <w:rFonts w:ascii="Calibri" w:hAnsi="Calibri"/>
                <w:b w:val="0"/>
                <w:i w:val="0"/>
                <w:sz w:val="19"/>
              </w:rPr>
              <w:t>3 baseline events at 4 stations</w:t>
            </w:r>
          </w:p>
        </w:tc>
        <w:tc>
          <w:tcPr>
            <w:tcW w:type="dxa" w:w="2153"/>
          </w:tcPr>
          <w:p>
            <w:pPr>
              <w:spacing w:before="40" w:after="40" w:line="240" w:lineRule="auto"/>
            </w:pPr>
            <w:r/>
            <w:r>
              <w:rPr>
                <w:rFonts w:ascii="Calibri" w:hAnsi="Calibri"/>
                <w:b w:val="0"/>
                <w:i w:val="0"/>
                <w:sz w:val="19"/>
              </w:rPr>
              <w:t>Reported after 3 post-implementation events at the same 4 stations</w:t>
            </w:r>
          </w:p>
        </w:tc>
        <w:tc>
          <w:tcPr>
            <w:tcW w:type="dxa" w:w="2059"/>
          </w:tcPr>
          <w:p>
            <w:pPr>
              <w:spacing w:before="40" w:after="40" w:line="240" w:lineRule="auto"/>
            </w:pPr>
            <w:r/>
            <w:r>
              <w:rPr>
                <w:rFonts w:ascii="Calibri" w:hAnsi="Calibri"/>
                <w:b w:val="0"/>
                <w:i w:val="0"/>
                <w:sz w:val="19"/>
              </w:rPr>
              <w:t>Certified laboratory</w:t>
            </w:r>
          </w:p>
        </w:tc>
        <w:tc>
          <w:tcPr>
            <w:tcW w:type="dxa" w:w="1123"/>
          </w:tcPr>
          <w:p>
            <w:pPr>
              <w:spacing w:before="40" w:after="40" w:line="240" w:lineRule="auto"/>
            </w:pPr>
            <w:r/>
            <w:r>
              <w:rPr>
                <w:rFonts w:ascii="Calibri" w:hAnsi="Calibri"/>
                <w:b w:val="0"/>
                <w:i w:val="0"/>
                <w:sz w:val="19"/>
              </w:rPr>
              <w:t>Response</w:t>
            </w:r>
          </w:p>
        </w:tc>
      </w:tr>
      <w:tr>
        <w:tc>
          <w:tcPr>
            <w:tcW w:type="dxa" w:w="2246"/>
          </w:tcPr>
          <w:p>
            <w:pPr>
              <w:spacing w:before="40" w:after="40" w:line="240" w:lineRule="auto"/>
            </w:pPr>
            <w:r/>
            <w:r>
              <w:rPr>
                <w:rFonts w:ascii="Calibri" w:hAnsi="Calibri"/>
                <w:b w:val="0"/>
                <w:i w:val="0"/>
                <w:sz w:val="19"/>
              </w:rPr>
              <w:t>Total nitrogen and total phosphorus</w:t>
            </w:r>
          </w:p>
        </w:tc>
        <w:tc>
          <w:tcPr>
            <w:tcW w:type="dxa" w:w="1778"/>
          </w:tcPr>
          <w:p>
            <w:pPr>
              <w:spacing w:before="40" w:after="40" w:line="240" w:lineRule="auto"/>
            </w:pPr>
            <w:r/>
            <w:r>
              <w:rPr>
                <w:rFonts w:ascii="Calibri" w:hAnsi="Calibri"/>
                <w:b w:val="0"/>
                <w:i w:val="0"/>
                <w:sz w:val="19"/>
              </w:rPr>
              <w:t>3 baseline events at 4 stations</w:t>
            </w:r>
          </w:p>
        </w:tc>
        <w:tc>
          <w:tcPr>
            <w:tcW w:type="dxa" w:w="2153"/>
          </w:tcPr>
          <w:p>
            <w:pPr>
              <w:spacing w:before="40" w:after="40" w:line="240" w:lineRule="auto"/>
            </w:pPr>
            <w:r/>
            <w:r>
              <w:rPr>
                <w:rFonts w:ascii="Calibri" w:hAnsi="Calibri"/>
                <w:b w:val="0"/>
                <w:i w:val="0"/>
                <w:sz w:val="19"/>
              </w:rPr>
              <w:t>Reported after 3 post-implementation events at the same 4 stations</w:t>
            </w:r>
          </w:p>
        </w:tc>
        <w:tc>
          <w:tcPr>
            <w:tcW w:type="dxa" w:w="2059"/>
          </w:tcPr>
          <w:p>
            <w:pPr>
              <w:spacing w:before="40" w:after="40" w:line="240" w:lineRule="auto"/>
            </w:pPr>
            <w:r/>
            <w:r>
              <w:rPr>
                <w:rFonts w:ascii="Calibri" w:hAnsi="Calibri"/>
                <w:b w:val="0"/>
                <w:i w:val="0"/>
                <w:sz w:val="19"/>
              </w:rPr>
              <w:t>Certified laboratory</w:t>
            </w:r>
          </w:p>
        </w:tc>
        <w:tc>
          <w:tcPr>
            <w:tcW w:type="dxa" w:w="1123"/>
          </w:tcPr>
          <w:p>
            <w:pPr>
              <w:spacing w:before="40" w:after="40" w:line="240" w:lineRule="auto"/>
            </w:pPr>
            <w:r/>
            <w:r>
              <w:rPr>
                <w:rFonts w:ascii="Calibri" w:hAnsi="Calibri"/>
                <w:b w:val="0"/>
                <w:i w:val="0"/>
                <w:sz w:val="19"/>
              </w:rPr>
              <w:t>Response</w:t>
            </w:r>
          </w:p>
        </w:tc>
      </w:tr>
    </w:tbl>
    <w:p>
      <w:pPr>
        <w:pStyle w:val="Caption"/>
      </w:pPr>
      <w:r>
        <w:t>Outcome measures. Label every row implementation or response. The implementation rows are your promises. The response rows are your monitoring obligation, and a funder who wants a water quality number will tell you so in review, which is a better conversation than a failed final report.</w:t>
      </w:r>
    </w:p>
    <w:p>
      <w:pPr>
        <w:pStyle w:val="Heading1"/>
      </w:pPr>
      <w:r>
        <w:t>9. Evaluation, Monitoring, and Data Management</w:t>
      </w:r>
    </w:p>
    <w:p>
      <w:pPr>
        <w:pStyle w:val="Heading2"/>
      </w:pPr>
      <w:r>
        <w:t>Survival monitoring</w:t>
      </w:r>
    </w:p>
    <w:p>
      <w:r>
        <w:t>Twelve months after each planting round, the field technician counts survival in randomly located sample plots covering 10 percent of installed stems, which is 260 stems for round one inside the grant period. The round-two count falls after closeout and is carried in the year-2 stewardship plan. Plot centers are GPS-marked at planting so the same plots are recounted in later years. A stem counts as surviving if it carries live tissue above the root collar. Results are reported by parcel and by zone, because a survival failure concentrated in Zone 1 means something different than one spread evenly, and the response differs too.</w:t>
      </w:r>
    </w:p>
    <w:p>
      <w:pPr>
        <w:pStyle w:val="Heading2"/>
      </w:pPr>
      <w:r>
        <w:t>Invasive cover monitoring</w:t>
      </w:r>
    </w:p>
    <w:p>
      <w:r>
        <w:t>The 20 line-intercept transects used for the May 2026 baseline are re-run in project month 15, after the second treatment pass has had a growing season to show effect. Transect endpoints are GPS-marked. Cover is recorded by species so the report can distinguish a knotweed failure from a stiltgrass flush.</w:t>
      </w:r>
    </w:p>
    <w:p>
      <w:pPr>
        <w:pStyle w:val="Heading2"/>
      </w:pPr>
      <w:r>
        <w:t>Water quality and biological monitoring</w:t>
      </w:r>
    </w:p>
    <w:p>
      <w:r>
        <w:t>Four stations are sampled: one upstream reference above the project reach, two mid-reach, and one immediately downstream of the reach. Three baseline events run in project months 1 through 4 and three post-implementation events run in project months 13, 17, and 18, for 24 sample suites in total. Each suite covers turbidity, total suspended solids, total nitrogen, and total phosphorus, analyzed by a certified laboratory under chain of custody. Macroinvertebrate sampling follows the state volunteer monitoring protocol with Alliance-trained volunteers and partner QA review, in the spring window.</w:t>
      </w:r>
    </w:p>
    <w:p>
      <w:r>
        <w:t>These results are reported as measured, with the direction of change described and the confounds named. Eighteen months of data at four stations on a headwater tributary will not establish a statistically defensible trend, and the report will say so. The value of the baseline is that it exists for whoever monitors this reach in year ten.</w:t>
      </w:r>
    </w:p>
    <w:p>
      <w:pPr>
        <w:pStyle w:val="Heading2"/>
      </w:pPr>
      <w:r>
        <w:t>Photo documentation</w:t>
      </w:r>
    </w:p>
    <w:p>
      <w:r>
        <w:t>Twelve fixed photo points, GPS-marked with recorded compass bearings, are photographed at baseline and in project months 6, 12, and 18. The photo set is the deliverable landowners and boards actually look at, and it is the fastest evidence for a future funder that the buffer is real.</w:t>
      </w:r>
    </w:p>
    <w:p>
      <w:pPr>
        <w:pStyle w:val="Heading2"/>
      </w:pPr>
      <w:r>
        <w:t>Data management and reporting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1498"/>
            <w:shd w:val="clear" w:color="auto" w:fill="DDE8E2"/>
          </w:tcPr>
          <w:p>
            <w:pPr>
              <w:spacing w:before="40" w:after="40" w:line="240" w:lineRule="auto"/>
            </w:pPr>
            <w:r/>
            <w:r>
              <w:rPr>
                <w:rFonts w:ascii="Calibri" w:hAnsi="Calibri"/>
                <w:b/>
                <w:i w:val="0"/>
                <w:sz w:val="19"/>
              </w:rPr>
              <w:t>When</w:t>
            </w:r>
          </w:p>
        </w:tc>
        <w:tc>
          <w:tcPr>
            <w:tcW w:type="dxa" w:w="1872"/>
            <w:shd w:val="clear" w:color="auto" w:fill="DDE8E2"/>
          </w:tcPr>
          <w:p>
            <w:pPr>
              <w:spacing w:before="40" w:after="40" w:line="240" w:lineRule="auto"/>
            </w:pPr>
            <w:r/>
            <w:r>
              <w:rPr>
                <w:rFonts w:ascii="Calibri" w:hAnsi="Calibri"/>
                <w:b/>
                <w:i w:val="0"/>
                <w:sz w:val="19"/>
              </w:rPr>
              <w:t>Deliverable</w:t>
            </w:r>
          </w:p>
        </w:tc>
        <w:tc>
          <w:tcPr>
            <w:tcW w:type="dxa" w:w="5990"/>
            <w:shd w:val="clear" w:color="auto" w:fill="DDE8E2"/>
          </w:tcPr>
          <w:p>
            <w:pPr>
              <w:spacing w:before="40" w:after="40" w:line="240" w:lineRule="auto"/>
            </w:pPr>
            <w:r/>
            <w:r>
              <w:rPr>
                <w:rFonts w:ascii="Calibri" w:hAnsi="Calibri"/>
                <w:b/>
                <w:i w:val="0"/>
                <w:sz w:val="19"/>
              </w:rPr>
              <w:t>Contents</w:t>
            </w:r>
          </w:p>
        </w:tc>
      </w:tr>
      <w:tr>
        <w:tc>
          <w:tcPr>
            <w:tcW w:type="dxa" w:w="1498"/>
          </w:tcPr>
          <w:p>
            <w:pPr>
              <w:spacing w:before="40" w:after="40" w:line="240" w:lineRule="auto"/>
            </w:pPr>
            <w:r/>
            <w:r>
              <w:rPr>
                <w:rFonts w:ascii="Calibri" w:hAnsi="Calibri"/>
                <w:b w:val="0"/>
                <w:i w:val="0"/>
                <w:sz w:val="19"/>
              </w:rPr>
              <w:t>Project month 6</w:t>
            </w:r>
          </w:p>
        </w:tc>
        <w:tc>
          <w:tcPr>
            <w:tcW w:type="dxa" w:w="1872"/>
          </w:tcPr>
          <w:p>
            <w:pPr>
              <w:spacing w:before="40" w:after="40" w:line="240" w:lineRule="auto"/>
            </w:pPr>
            <w:r/>
            <w:r>
              <w:rPr>
                <w:rFonts w:ascii="Calibri" w:hAnsi="Calibri"/>
                <w:b w:val="0"/>
                <w:i w:val="0"/>
                <w:sz w:val="19"/>
              </w:rPr>
              <w:t>Interim progress report</w:t>
            </w:r>
          </w:p>
        </w:tc>
        <w:tc>
          <w:tcPr>
            <w:tcW w:type="dxa" w:w="5990"/>
          </w:tcPr>
          <w:p>
            <w:pPr>
              <w:spacing w:before="40" w:after="40" w:line="240" w:lineRule="auto"/>
            </w:pPr>
            <w:r/>
            <w:r>
              <w:rPr>
                <w:rFonts w:ascii="Calibri" w:hAnsi="Calibri"/>
                <w:b w:val="0"/>
                <w:i w:val="0"/>
                <w:sz w:val="19"/>
              </w:rPr>
              <w:t>Fencing and crossing as-builts, invasive pass one results, planting round one counts by parcel, photo set, budget-to-actual</w:t>
            </w:r>
          </w:p>
        </w:tc>
      </w:tr>
      <w:tr>
        <w:tc>
          <w:tcPr>
            <w:tcW w:type="dxa" w:w="1498"/>
          </w:tcPr>
          <w:p>
            <w:pPr>
              <w:spacing w:before="40" w:after="40" w:line="240" w:lineRule="auto"/>
            </w:pPr>
            <w:r/>
            <w:r>
              <w:rPr>
                <w:rFonts w:ascii="Calibri" w:hAnsi="Calibri"/>
                <w:b w:val="0"/>
                <w:i w:val="0"/>
                <w:sz w:val="19"/>
              </w:rPr>
              <w:t>Project month 12</w:t>
            </w:r>
          </w:p>
        </w:tc>
        <w:tc>
          <w:tcPr>
            <w:tcW w:type="dxa" w:w="1872"/>
          </w:tcPr>
          <w:p>
            <w:pPr>
              <w:spacing w:before="40" w:after="40" w:line="240" w:lineRule="auto"/>
            </w:pPr>
            <w:r/>
            <w:r>
              <w:rPr>
                <w:rFonts w:ascii="Calibri" w:hAnsi="Calibri"/>
                <w:b w:val="0"/>
                <w:i w:val="0"/>
                <w:sz w:val="19"/>
              </w:rPr>
              <w:t>Interim progress report</w:t>
            </w:r>
          </w:p>
        </w:tc>
        <w:tc>
          <w:tcPr>
            <w:tcW w:type="dxa" w:w="5990"/>
          </w:tcPr>
          <w:p>
            <w:pPr>
              <w:spacing w:before="40" w:after="40" w:line="240" w:lineRule="auto"/>
            </w:pPr>
            <w:r/>
            <w:r>
              <w:rPr>
                <w:rFonts w:ascii="Calibri" w:hAnsi="Calibri"/>
                <w:b w:val="0"/>
                <w:i w:val="0"/>
                <w:sz w:val="19"/>
              </w:rPr>
              <w:t>Planting round two counts, invasive pass two, mowing and watering log, photo set, budget-to-actual</w:t>
            </w:r>
          </w:p>
        </w:tc>
      </w:tr>
      <w:tr>
        <w:tc>
          <w:tcPr>
            <w:tcW w:type="dxa" w:w="1498"/>
          </w:tcPr>
          <w:p>
            <w:pPr>
              <w:spacing w:before="40" w:after="40" w:line="240" w:lineRule="auto"/>
            </w:pPr>
            <w:r/>
            <w:r>
              <w:rPr>
                <w:rFonts w:ascii="Calibri" w:hAnsi="Calibri"/>
                <w:b w:val="0"/>
                <w:i w:val="0"/>
                <w:sz w:val="19"/>
              </w:rPr>
              <w:t>Project month 18</w:t>
            </w:r>
          </w:p>
        </w:tc>
        <w:tc>
          <w:tcPr>
            <w:tcW w:type="dxa" w:w="1872"/>
          </w:tcPr>
          <w:p>
            <w:pPr>
              <w:spacing w:before="40" w:after="40" w:line="240" w:lineRule="auto"/>
            </w:pPr>
            <w:r/>
            <w:r>
              <w:rPr>
                <w:rFonts w:ascii="Calibri" w:hAnsi="Calibri"/>
                <w:b w:val="0"/>
                <w:i w:val="0"/>
                <w:sz w:val="19"/>
              </w:rPr>
              <w:t>Final report</w:t>
            </w:r>
          </w:p>
        </w:tc>
        <w:tc>
          <w:tcPr>
            <w:tcW w:type="dxa" w:w="5990"/>
          </w:tcPr>
          <w:p>
            <w:pPr>
              <w:spacing w:before="40" w:after="40" w:line="240" w:lineRule="auto"/>
            </w:pPr>
            <w:r/>
            <w:r>
              <w:rPr>
                <w:rFonts w:ascii="Calibri" w:hAnsi="Calibri"/>
                <w:b w:val="0"/>
                <w:i w:val="0"/>
                <w:sz w:val="19"/>
              </w:rPr>
              <w:t>Final GPS buffer survey, survival count by parcel and zone, invasive transect results, all six water quality events, macroinvertebrate results, full photo set, final budget-to-actual, executed stewardship schedule</w:t>
            </w:r>
          </w:p>
        </w:tc>
      </w:tr>
      <w:tr>
        <w:tc>
          <w:tcPr>
            <w:tcW w:type="dxa" w:w="1498"/>
          </w:tcPr>
          <w:p>
            <w:pPr>
              <w:spacing w:before="40" w:after="40" w:line="240" w:lineRule="auto"/>
            </w:pPr>
            <w:r/>
            <w:r>
              <w:rPr>
                <w:rFonts w:ascii="Calibri" w:hAnsi="Calibri"/>
                <w:b w:val="0"/>
                <w:i w:val="0"/>
                <w:sz w:val="19"/>
              </w:rPr>
              <w:t>Years 2 through 5</w:t>
            </w:r>
          </w:p>
        </w:tc>
        <w:tc>
          <w:tcPr>
            <w:tcW w:type="dxa" w:w="1872"/>
          </w:tcPr>
          <w:p>
            <w:pPr>
              <w:spacing w:before="40" w:after="40" w:line="240" w:lineRule="auto"/>
            </w:pPr>
            <w:r/>
            <w:r>
              <w:rPr>
                <w:rFonts w:ascii="Calibri" w:hAnsi="Calibri"/>
                <w:b w:val="0"/>
                <w:i w:val="0"/>
                <w:sz w:val="19"/>
              </w:rPr>
              <w:t>Annual stewardship note</w:t>
            </w:r>
          </w:p>
        </w:tc>
        <w:tc>
          <w:tcPr>
            <w:tcW w:type="dxa" w:w="5990"/>
          </w:tcPr>
          <w:p>
            <w:pPr>
              <w:spacing w:before="40" w:after="40" w:line="240" w:lineRule="auto"/>
            </w:pPr>
            <w:r/>
            <w:r>
              <w:rPr>
                <w:rFonts w:ascii="Calibri" w:hAnsi="Calibri"/>
                <w:b w:val="0"/>
                <w:i w:val="0"/>
                <w:sz w:val="19"/>
              </w:rPr>
              <w:t>Fence and shelter inspection results, spot treatment log, survival audit in years 3 and 5, provided to the funder and all five landowners</w:t>
            </w:r>
          </w:p>
        </w:tc>
      </w:tr>
    </w:tbl>
    <w:p>
      <w:r>
        <w:t>Field data is recorded on standardized paper forms, entered into the Alliance's project database within five working days, and reviewed by the Restoration Program Manager against the paper record before any report uses it. Laboratory results arrive as signed PDFs with chain-of-custody forms attached. GIS layers, photo sets, and raw data are provided to the funder on request and to each landowner for their own parcel.</w:t>
      </w:r>
    </w:p>
    <w:p>
      <w:pPr>
        <w:pStyle w:val="Heading1"/>
      </w:pPr>
      <w:r>
        <w:t>10. Project Budget</w:t>
      </w:r>
    </w:p>
    <w:p>
      <w:r>
        <w:t>Every line is priced in units so the total can be recomputed. The unit prices below are illustrative figures for this composite example. Price stems, shelters, fencing, contracted treatment, and lab work against your own local quotes before using any of them.</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4399"/>
            <w:shd w:val="clear" w:color="auto" w:fill="DDE8E2"/>
          </w:tcPr>
          <w:p>
            <w:pPr>
              <w:spacing w:before="40" w:after="40" w:line="240" w:lineRule="auto"/>
            </w:pPr>
            <w:r/>
            <w:r>
              <w:rPr>
                <w:rFonts w:ascii="Calibri" w:hAnsi="Calibri"/>
                <w:b/>
                <w:i w:val="0"/>
                <w:sz w:val="19"/>
              </w:rPr>
              <w:t>Line item</w:t>
            </w:r>
          </w:p>
        </w:tc>
        <w:tc>
          <w:tcPr>
            <w:tcW w:type="dxa" w:w="1217"/>
            <w:shd w:val="clear" w:color="auto" w:fill="DDE8E2"/>
          </w:tcPr>
          <w:p>
            <w:pPr>
              <w:spacing w:before="40" w:after="40" w:line="240" w:lineRule="auto"/>
              <w:jc w:val="right"/>
            </w:pPr>
            <w:r/>
            <w:r>
              <w:rPr>
                <w:rFonts w:ascii="Calibri" w:hAnsi="Calibri"/>
                <w:b/>
                <w:i w:val="0"/>
                <w:sz w:val="19"/>
              </w:rPr>
              <w:t>Amount</w:t>
            </w:r>
          </w:p>
        </w:tc>
        <w:tc>
          <w:tcPr>
            <w:tcW w:type="dxa" w:w="3744"/>
            <w:shd w:val="clear" w:color="auto" w:fill="DDE8E2"/>
          </w:tcPr>
          <w:p>
            <w:pPr>
              <w:spacing w:before="40" w:after="40" w:line="240" w:lineRule="auto"/>
            </w:pPr>
            <w:r/>
            <w:r>
              <w:rPr>
                <w:rFonts w:ascii="Calibri" w:hAnsi="Calibri"/>
                <w:b/>
                <w:i w:val="0"/>
                <w:sz w:val="19"/>
              </w:rPr>
              <w:t>Basis</w:t>
            </w:r>
          </w:p>
        </w:tc>
      </w:tr>
      <w:tr>
        <w:tc>
          <w:tcPr>
            <w:tcW w:type="dxa" w:w="4399"/>
          </w:tcPr>
          <w:p>
            <w:pPr>
              <w:spacing w:before="40" w:after="40" w:line="240" w:lineRule="auto"/>
            </w:pPr>
            <w:r/>
            <w:r>
              <w:rPr>
                <w:rFonts w:ascii="Calibri" w:hAnsi="Calibri"/>
                <w:b w:val="0"/>
                <w:i w:val="0"/>
                <w:sz w:val="19"/>
              </w:rPr>
              <w:t>Native plant material: 4,400 bare-root stems, 18 species</w:t>
            </w:r>
          </w:p>
        </w:tc>
        <w:tc>
          <w:tcPr>
            <w:tcW w:type="dxa" w:w="1217"/>
          </w:tcPr>
          <w:p>
            <w:pPr>
              <w:spacing w:before="40" w:after="40" w:line="240" w:lineRule="auto"/>
              <w:jc w:val="right"/>
            </w:pPr>
            <w:r/>
            <w:r>
              <w:rPr>
                <w:rFonts w:ascii="Calibri" w:hAnsi="Calibri"/>
                <w:b w:val="0"/>
                <w:i w:val="0"/>
                <w:sz w:val="19"/>
              </w:rPr>
              <w:t>$15,400</w:t>
            </w:r>
          </w:p>
        </w:tc>
        <w:tc>
          <w:tcPr>
            <w:tcW w:type="dxa" w:w="3744"/>
          </w:tcPr>
          <w:p>
            <w:pPr>
              <w:spacing w:before="40" w:after="40" w:line="240" w:lineRule="auto"/>
            </w:pPr>
            <w:r/>
            <w:r>
              <w:rPr>
                <w:rFonts w:ascii="Calibri" w:hAnsi="Calibri"/>
                <w:b w:val="0"/>
                <w:i w:val="0"/>
                <w:sz w:val="19"/>
              </w:rPr>
              <w:t>$3.50 per stem, delivered</w:t>
            </w:r>
          </w:p>
        </w:tc>
      </w:tr>
      <w:tr>
        <w:tc>
          <w:tcPr>
            <w:tcW w:type="dxa" w:w="4399"/>
          </w:tcPr>
          <w:p>
            <w:pPr>
              <w:spacing w:before="40" w:after="40" w:line="240" w:lineRule="auto"/>
            </w:pPr>
            <w:r/>
            <w:r>
              <w:rPr>
                <w:rFonts w:ascii="Calibri" w:hAnsi="Calibri"/>
                <w:b w:val="0"/>
                <w:i w:val="0"/>
                <w:sz w:val="19"/>
              </w:rPr>
              <w:t>Tree shelters and stakes: 2,600 tree stems</w:t>
            </w:r>
          </w:p>
        </w:tc>
        <w:tc>
          <w:tcPr>
            <w:tcW w:type="dxa" w:w="1217"/>
          </w:tcPr>
          <w:p>
            <w:pPr>
              <w:spacing w:before="40" w:after="40" w:line="240" w:lineRule="auto"/>
              <w:jc w:val="right"/>
            </w:pPr>
            <w:r/>
            <w:r>
              <w:rPr>
                <w:rFonts w:ascii="Calibri" w:hAnsi="Calibri"/>
                <w:b w:val="0"/>
                <w:i w:val="0"/>
                <w:sz w:val="19"/>
              </w:rPr>
              <w:t>$5,200</w:t>
            </w:r>
          </w:p>
        </w:tc>
        <w:tc>
          <w:tcPr>
            <w:tcW w:type="dxa" w:w="3744"/>
          </w:tcPr>
          <w:p>
            <w:pPr>
              <w:spacing w:before="40" w:after="40" w:line="240" w:lineRule="auto"/>
            </w:pPr>
            <w:r/>
            <w:r>
              <w:rPr>
                <w:rFonts w:ascii="Calibri" w:hAnsi="Calibri"/>
                <w:b w:val="0"/>
                <w:i w:val="0"/>
                <w:sz w:val="19"/>
              </w:rPr>
              <w:t>$2.00 per sheltered stem; shrubs planted unsheltered</w:t>
            </w:r>
          </w:p>
        </w:tc>
      </w:tr>
      <w:tr>
        <w:tc>
          <w:tcPr>
            <w:tcW w:type="dxa" w:w="4399"/>
          </w:tcPr>
          <w:p>
            <w:pPr>
              <w:spacing w:before="40" w:after="40" w:line="240" w:lineRule="auto"/>
            </w:pPr>
            <w:r/>
            <w:r>
              <w:rPr>
                <w:rFonts w:ascii="Calibri" w:hAnsi="Calibri"/>
                <w:b w:val="0"/>
                <w:i w:val="0"/>
                <w:sz w:val="19"/>
              </w:rPr>
              <w:t>Invasive treatment: 9 acres, two passes</w:t>
            </w:r>
          </w:p>
        </w:tc>
        <w:tc>
          <w:tcPr>
            <w:tcW w:type="dxa" w:w="1217"/>
          </w:tcPr>
          <w:p>
            <w:pPr>
              <w:spacing w:before="40" w:after="40" w:line="240" w:lineRule="auto"/>
              <w:jc w:val="right"/>
            </w:pPr>
            <w:r/>
            <w:r>
              <w:rPr>
                <w:rFonts w:ascii="Calibri" w:hAnsi="Calibri"/>
                <w:b w:val="0"/>
                <w:i w:val="0"/>
                <w:sz w:val="19"/>
              </w:rPr>
              <w:t>$9,000</w:t>
            </w:r>
          </w:p>
        </w:tc>
        <w:tc>
          <w:tcPr>
            <w:tcW w:type="dxa" w:w="3744"/>
          </w:tcPr>
          <w:p>
            <w:pPr>
              <w:spacing w:before="40" w:after="40" w:line="240" w:lineRule="auto"/>
            </w:pPr>
            <w:r/>
            <w:r>
              <w:rPr>
                <w:rFonts w:ascii="Calibri" w:hAnsi="Calibri"/>
                <w:b w:val="0"/>
                <w:i w:val="0"/>
                <w:sz w:val="19"/>
              </w:rPr>
              <w:t>Contracted crew, $500 per acre per pass</w:t>
            </w:r>
          </w:p>
        </w:tc>
      </w:tr>
      <w:tr>
        <w:tc>
          <w:tcPr>
            <w:tcW w:type="dxa" w:w="4399"/>
          </w:tcPr>
          <w:p>
            <w:pPr>
              <w:spacing w:before="40" w:after="40" w:line="240" w:lineRule="auto"/>
            </w:pPr>
            <w:r/>
            <w:r>
              <w:rPr>
                <w:rFonts w:ascii="Calibri" w:hAnsi="Calibri"/>
                <w:b w:val="0"/>
                <w:i w:val="0"/>
                <w:sz w:val="19"/>
              </w:rPr>
              <w:t>Livestock exclusion fencing: 3,800 linear feet</w:t>
            </w:r>
          </w:p>
        </w:tc>
        <w:tc>
          <w:tcPr>
            <w:tcW w:type="dxa" w:w="1217"/>
          </w:tcPr>
          <w:p>
            <w:pPr>
              <w:spacing w:before="40" w:after="40" w:line="240" w:lineRule="auto"/>
              <w:jc w:val="right"/>
            </w:pPr>
            <w:r/>
            <w:r>
              <w:rPr>
                <w:rFonts w:ascii="Calibri" w:hAnsi="Calibri"/>
                <w:b w:val="0"/>
                <w:i w:val="0"/>
                <w:sz w:val="19"/>
              </w:rPr>
              <w:t>$7,600</w:t>
            </w:r>
          </w:p>
        </w:tc>
        <w:tc>
          <w:tcPr>
            <w:tcW w:type="dxa" w:w="3744"/>
          </w:tcPr>
          <w:p>
            <w:pPr>
              <w:spacing w:before="40" w:after="40" w:line="240" w:lineRule="auto"/>
            </w:pPr>
            <w:r/>
            <w:r>
              <w:rPr>
                <w:rFonts w:ascii="Calibri" w:hAnsi="Calibri"/>
                <w:b w:val="0"/>
                <w:i w:val="0"/>
                <w:sz w:val="19"/>
              </w:rPr>
              <w:t>$2.00 per foot, materials and installation</w:t>
            </w:r>
          </w:p>
        </w:tc>
      </w:tr>
      <w:tr>
        <w:tc>
          <w:tcPr>
            <w:tcW w:type="dxa" w:w="4399"/>
          </w:tcPr>
          <w:p>
            <w:pPr>
              <w:spacing w:before="40" w:after="40" w:line="240" w:lineRule="auto"/>
            </w:pPr>
            <w:r/>
            <w:r>
              <w:rPr>
                <w:rFonts w:ascii="Calibri" w:hAnsi="Calibri"/>
                <w:b w:val="0"/>
                <w:i w:val="0"/>
                <w:sz w:val="19"/>
              </w:rPr>
              <w:t>Two hardened crossings and two off-stream waterers</w:t>
            </w:r>
          </w:p>
        </w:tc>
        <w:tc>
          <w:tcPr>
            <w:tcW w:type="dxa" w:w="1217"/>
          </w:tcPr>
          <w:p>
            <w:pPr>
              <w:spacing w:before="40" w:after="40" w:line="240" w:lineRule="auto"/>
              <w:jc w:val="right"/>
            </w:pPr>
            <w:r/>
            <w:r>
              <w:rPr>
                <w:rFonts w:ascii="Calibri" w:hAnsi="Calibri"/>
                <w:b w:val="0"/>
                <w:i w:val="0"/>
                <w:sz w:val="19"/>
              </w:rPr>
              <w:t>$6,400</w:t>
            </w:r>
          </w:p>
        </w:tc>
        <w:tc>
          <w:tcPr>
            <w:tcW w:type="dxa" w:w="3744"/>
          </w:tcPr>
          <w:p>
            <w:pPr>
              <w:spacing w:before="40" w:after="40" w:line="240" w:lineRule="auto"/>
            </w:pPr>
            <w:r/>
            <w:r>
              <w:rPr>
                <w:rFonts w:ascii="Calibri" w:hAnsi="Calibri"/>
                <w:b w:val="0"/>
                <w:i w:val="0"/>
                <w:sz w:val="19"/>
              </w:rPr>
              <w:t>Fabricated units plus site preparation</w:t>
            </w:r>
          </w:p>
        </w:tc>
      </w:tr>
      <w:tr>
        <w:tc>
          <w:tcPr>
            <w:tcW w:type="dxa" w:w="4399"/>
          </w:tcPr>
          <w:p>
            <w:pPr>
              <w:spacing w:before="40" w:after="40" w:line="240" w:lineRule="auto"/>
            </w:pPr>
            <w:r/>
            <w:r>
              <w:rPr>
                <w:rFonts w:ascii="Calibri" w:hAnsi="Calibri"/>
                <w:b w:val="0"/>
                <w:i w:val="0"/>
                <w:sz w:val="19"/>
              </w:rPr>
              <w:t>Water quality monitoring: 3 baseline plus 3 post events at 4 stations</w:t>
            </w:r>
          </w:p>
        </w:tc>
        <w:tc>
          <w:tcPr>
            <w:tcW w:type="dxa" w:w="1217"/>
          </w:tcPr>
          <w:p>
            <w:pPr>
              <w:spacing w:before="40" w:after="40" w:line="240" w:lineRule="auto"/>
              <w:jc w:val="right"/>
            </w:pPr>
            <w:r/>
            <w:r>
              <w:rPr>
                <w:rFonts w:ascii="Calibri" w:hAnsi="Calibri"/>
                <w:b w:val="0"/>
                <w:i w:val="0"/>
                <w:sz w:val="19"/>
              </w:rPr>
              <w:t>$4,320</w:t>
            </w:r>
          </w:p>
        </w:tc>
        <w:tc>
          <w:tcPr>
            <w:tcW w:type="dxa" w:w="3744"/>
          </w:tcPr>
          <w:p>
            <w:pPr>
              <w:spacing w:before="40" w:after="40" w:line="240" w:lineRule="auto"/>
            </w:pPr>
            <w:r/>
            <w:r>
              <w:rPr>
                <w:rFonts w:ascii="Calibri" w:hAnsi="Calibri"/>
                <w:b w:val="0"/>
                <w:i w:val="0"/>
                <w:sz w:val="19"/>
              </w:rPr>
              <w:t>24 sample suites at $180, certified laboratory</w:t>
            </w:r>
          </w:p>
        </w:tc>
      </w:tr>
      <w:tr>
        <w:tc>
          <w:tcPr>
            <w:tcW w:type="dxa" w:w="4399"/>
          </w:tcPr>
          <w:p>
            <w:pPr>
              <w:spacing w:before="40" w:after="40" w:line="240" w:lineRule="auto"/>
            </w:pPr>
            <w:r/>
            <w:r>
              <w:rPr>
                <w:rFonts w:ascii="Calibri" w:hAnsi="Calibri"/>
                <w:b w:val="0"/>
                <w:i w:val="0"/>
                <w:sz w:val="19"/>
              </w:rPr>
              <w:t>Establishment materials, months 6 to 18</w:t>
            </w:r>
          </w:p>
        </w:tc>
        <w:tc>
          <w:tcPr>
            <w:tcW w:type="dxa" w:w="1217"/>
          </w:tcPr>
          <w:p>
            <w:pPr>
              <w:spacing w:before="40" w:after="40" w:line="240" w:lineRule="auto"/>
              <w:jc w:val="right"/>
            </w:pPr>
            <w:r/>
            <w:r>
              <w:rPr>
                <w:rFonts w:ascii="Calibri" w:hAnsi="Calibri"/>
                <w:b w:val="0"/>
                <w:i w:val="0"/>
                <w:sz w:val="19"/>
              </w:rPr>
              <w:t>$3,500</w:t>
            </w:r>
          </w:p>
        </w:tc>
        <w:tc>
          <w:tcPr>
            <w:tcW w:type="dxa" w:w="3744"/>
          </w:tcPr>
          <w:p>
            <w:pPr>
              <w:spacing w:before="40" w:after="40" w:line="240" w:lineRule="auto"/>
            </w:pPr>
            <w:r/>
            <w:r>
              <w:rPr>
                <w:rFonts w:ascii="Calibri" w:hAnsi="Calibri"/>
                <w:b w:val="0"/>
                <w:i w:val="0"/>
                <w:sz w:val="19"/>
              </w:rPr>
              <w:t>400 replacement stems, shelter repairs, two contracted mowing passes</w:t>
            </w:r>
          </w:p>
        </w:tc>
      </w:tr>
      <w:tr>
        <w:tc>
          <w:tcPr>
            <w:tcW w:type="dxa" w:w="4399"/>
          </w:tcPr>
          <w:p>
            <w:pPr>
              <w:spacing w:before="40" w:after="40" w:line="240" w:lineRule="auto"/>
            </w:pPr>
            <w:r/>
            <w:r>
              <w:rPr>
                <w:rFonts w:ascii="Calibri" w:hAnsi="Calibri"/>
                <w:b w:val="0"/>
                <w:i w:val="0"/>
                <w:sz w:val="19"/>
              </w:rPr>
              <w:t>Project manager: 0.15 FTE for 18 months</w:t>
            </w:r>
          </w:p>
        </w:tc>
        <w:tc>
          <w:tcPr>
            <w:tcW w:type="dxa" w:w="1217"/>
          </w:tcPr>
          <w:p>
            <w:pPr>
              <w:spacing w:before="40" w:after="40" w:line="240" w:lineRule="auto"/>
              <w:jc w:val="right"/>
            </w:pPr>
            <w:r/>
            <w:r>
              <w:rPr>
                <w:rFonts w:ascii="Calibri" w:hAnsi="Calibri"/>
                <w:b w:val="0"/>
                <w:i w:val="0"/>
                <w:sz w:val="19"/>
              </w:rPr>
              <w:t>$13,500</w:t>
            </w:r>
          </w:p>
        </w:tc>
        <w:tc>
          <w:tcPr>
            <w:tcW w:type="dxa" w:w="3744"/>
          </w:tcPr>
          <w:p>
            <w:pPr>
              <w:spacing w:before="40" w:after="40" w:line="240" w:lineRule="auto"/>
            </w:pPr>
            <w:r/>
            <w:r>
              <w:rPr>
                <w:rFonts w:ascii="Calibri" w:hAnsi="Calibri"/>
                <w:b w:val="0"/>
                <w:i w:val="0"/>
                <w:sz w:val="19"/>
              </w:rPr>
              <w:t>0.225 FTE-years at a $60,000 fully loaded salary</w:t>
            </w:r>
          </w:p>
        </w:tc>
      </w:tr>
      <w:tr>
        <w:tc>
          <w:tcPr>
            <w:tcW w:type="dxa" w:w="4399"/>
          </w:tcPr>
          <w:p>
            <w:pPr>
              <w:spacing w:before="40" w:after="40" w:line="240" w:lineRule="auto"/>
            </w:pPr>
            <w:r/>
            <w:r>
              <w:rPr>
                <w:rFonts w:ascii="Calibri" w:hAnsi="Calibri"/>
                <w:b w:val="0"/>
                <w:i w:val="0"/>
                <w:sz w:val="19"/>
              </w:rPr>
              <w:t>Seasonal field technician: 0.2 FTE for 12 months</w:t>
            </w:r>
          </w:p>
        </w:tc>
        <w:tc>
          <w:tcPr>
            <w:tcW w:type="dxa" w:w="1217"/>
          </w:tcPr>
          <w:p>
            <w:pPr>
              <w:spacing w:before="40" w:after="40" w:line="240" w:lineRule="auto"/>
              <w:jc w:val="right"/>
            </w:pPr>
            <w:r/>
            <w:r>
              <w:rPr>
                <w:rFonts w:ascii="Calibri" w:hAnsi="Calibri"/>
                <w:b w:val="0"/>
                <w:i w:val="0"/>
                <w:sz w:val="19"/>
              </w:rPr>
              <w:t>$8,400</w:t>
            </w:r>
          </w:p>
        </w:tc>
        <w:tc>
          <w:tcPr>
            <w:tcW w:type="dxa" w:w="3744"/>
          </w:tcPr>
          <w:p>
            <w:pPr>
              <w:spacing w:before="40" w:after="40" w:line="240" w:lineRule="auto"/>
            </w:pPr>
            <w:r/>
            <w:r>
              <w:rPr>
                <w:rFonts w:ascii="Calibri" w:hAnsi="Calibri"/>
                <w:b w:val="0"/>
                <w:i w:val="0"/>
                <w:sz w:val="19"/>
              </w:rPr>
              <w:t>0.2 FTE-years at a $42,000 fully loaded rate</w:t>
            </w:r>
          </w:p>
        </w:tc>
      </w:tr>
      <w:tr>
        <w:tc>
          <w:tcPr>
            <w:tcW w:type="dxa" w:w="4399"/>
          </w:tcPr>
          <w:p>
            <w:pPr>
              <w:spacing w:before="40" w:after="40" w:line="240" w:lineRule="auto"/>
            </w:pPr>
            <w:r/>
            <w:r>
              <w:rPr>
                <w:rFonts w:ascii="Calibri" w:hAnsi="Calibri"/>
                <w:b w:val="0"/>
                <w:i w:val="0"/>
                <w:sz w:val="19"/>
              </w:rPr>
              <w:t>Vehicle mileage and small equipment</w:t>
            </w:r>
          </w:p>
        </w:tc>
        <w:tc>
          <w:tcPr>
            <w:tcW w:type="dxa" w:w="1217"/>
          </w:tcPr>
          <w:p>
            <w:pPr>
              <w:spacing w:before="40" w:after="40" w:line="240" w:lineRule="auto"/>
              <w:jc w:val="right"/>
            </w:pPr>
            <w:r/>
            <w:r>
              <w:rPr>
                <w:rFonts w:ascii="Calibri" w:hAnsi="Calibri"/>
                <w:b w:val="0"/>
                <w:i w:val="0"/>
                <w:sz w:val="19"/>
              </w:rPr>
              <w:t>$1,680</w:t>
            </w:r>
          </w:p>
        </w:tc>
        <w:tc>
          <w:tcPr>
            <w:tcW w:type="dxa" w:w="3744"/>
          </w:tcPr>
          <w:p>
            <w:pPr>
              <w:spacing w:before="40" w:after="40" w:line="240" w:lineRule="auto"/>
            </w:pPr>
            <w:r/>
            <w:r>
              <w:rPr>
                <w:rFonts w:ascii="Calibri" w:hAnsi="Calibri"/>
                <w:b w:val="0"/>
                <w:i w:val="0"/>
                <w:sz w:val="19"/>
              </w:rPr>
              <w:t>Field travel across five parcels</w:t>
            </w:r>
          </w:p>
        </w:tc>
      </w:tr>
      <w:tr>
        <w:tc>
          <w:tcPr>
            <w:tcW w:type="dxa" w:w="4399"/>
            <w:shd w:val="clear" w:color="auto" w:fill="EFF4F1"/>
          </w:tcPr>
          <w:p>
            <w:pPr>
              <w:spacing w:before="40" w:after="40" w:line="240" w:lineRule="auto"/>
            </w:pPr>
            <w:r/>
            <w:r>
              <w:rPr>
                <w:rFonts w:ascii="Calibri" w:hAnsi="Calibri"/>
                <w:b/>
                <w:i w:val="0"/>
                <w:sz w:val="19"/>
              </w:rPr>
              <w:t>Total request</w:t>
            </w:r>
          </w:p>
        </w:tc>
        <w:tc>
          <w:tcPr>
            <w:tcW w:type="dxa" w:w="1217"/>
            <w:shd w:val="clear" w:color="auto" w:fill="EFF4F1"/>
          </w:tcPr>
          <w:p>
            <w:pPr>
              <w:spacing w:before="40" w:after="40" w:line="240" w:lineRule="auto"/>
              <w:jc w:val="right"/>
            </w:pPr>
            <w:r/>
            <w:r>
              <w:rPr>
                <w:rFonts w:ascii="Calibri" w:hAnsi="Calibri"/>
                <w:b/>
                <w:i w:val="0"/>
                <w:sz w:val="19"/>
              </w:rPr>
              <w:t>$75,000</w:t>
            </w:r>
          </w:p>
        </w:tc>
        <w:tc>
          <w:tcPr>
            <w:tcW w:type="dxa" w:w="3744"/>
            <w:shd w:val="clear" w:color="auto" w:fill="EFF4F1"/>
          </w:tcPr>
          <w:p>
            <w:pPr>
              <w:spacing w:before="40" w:after="40" w:line="240" w:lineRule="auto"/>
            </w:pPr>
            <w:r/>
            <w:r>
              <w:rPr>
                <w:rFonts w:ascii="Calibri" w:hAnsi="Calibri"/>
                <w:b/>
                <w:i w:val="0"/>
                <w:sz w:val="19"/>
              </w:rPr>
              <w:t>All direct costs</w:t>
            </w:r>
          </w:p>
        </w:tc>
      </w:tr>
    </w:tbl>
    <w:p>
      <w:pPr>
        <w:pStyle w:val="Caption"/>
      </w:pPr>
      <w:r>
        <w:t>Budget. A reviewer divides $75,000 by 9,240 linear feet, gets $8.12 per foot, and compares that against the other restoration proposals on the desk. Lump sums like 'restoration: $40,000' remove the reviewer's ability to defend you in committee.</w:t>
      </w:r>
    </w:p>
    <w:p>
      <w:pPr>
        <w:pStyle w:val="Heading1"/>
      </w:pPr>
      <w:r>
        <w:t>11. Budget Narrative</w:t>
      </w:r>
    </w:p>
    <w:p>
      <w:r>
        <w:rPr>
          <w:b/>
        </w:rPr>
        <w:t>Native plant material, $15,400.</w:t>
      </w:r>
      <w:r>
        <w:t xml:space="preserve"> 4,400 bare-root stems across 18 species at $3.50 per stem delivered, quoted by a regional native plant nursery for a dormant-season order placed in project month 2. Bare-root stock is used rather than containerized stock because it costs roughly a fifth as much per stem at this scale and establishes as well or better in a riparian setting when planted dormant. The nursery quote is attached.</w:t>
      </w:r>
    </w:p>
    <w:p>
      <w:r>
        <w:rPr>
          <w:b/>
        </w:rPr>
        <w:t>Tree shelters and stakes, $5,200.</w:t>
      </w:r>
      <w:r>
        <w:t xml:space="preserve"> 2,600 five-foot tree shelters with oak stakes at $2.00 per sheltered stem. Every tree stem is sheltered because deer browse is the single largest survival risk on this reach. The 1,800 shrub stems are planted unsheltered in dense clusters, which is both cheaper and better suited to their growth habit. Shelter count equals tree count exactly, and that identity is worth checking after any change to the species table.</w:t>
      </w:r>
    </w:p>
    <w:p>
      <w:r>
        <w:rPr>
          <w:b/>
        </w:rPr>
        <w:t>Invasive treatment, $9,000.</w:t>
      </w:r>
      <w:r>
        <w:t xml:space="preserve"> Nine acres at $500 per acre per pass, two passes, from the low of three contracted quotes. Pass one is late-summer foliar and cut-stump work plus stem injection on the two knotweed stands. Pass two the following spring catches resprout and stiltgrass. Treating before planting rather than after is what keeps a crew from cutting rose canes off tree shelters in year three.</w:t>
      </w:r>
    </w:p>
    <w:p>
      <w:r>
        <w:rPr>
          <w:b/>
        </w:rPr>
        <w:t>Livestock exclusion fencing, $7,600.</w:t>
      </w:r>
      <w:r>
        <w:t xml:space="preserve"> 3,800 linear feet of four-strand high-tensile fence at $2.00 per foot installed, covering materials, posts, bracing, and contracted installation. Landowners on Parcels A and B have committed in-kind equipment hours for fence line clearing, which is why the per-foot price sits at the low end of the quoted range. That in-kind contribution appears in Section 12.</w:t>
      </w:r>
    </w:p>
    <w:p>
      <w:r>
        <w:rPr>
          <w:b/>
        </w:rPr>
        <w:t>Hardened crossings and off-stream watering systems, $6,400.</w:t>
      </w:r>
      <w:r>
        <w:t xml:space="preserve"> Two fabricated crossing structures with approach stabilization and two off-stream watering systems, quoted with the conservation district's design specification. The quote is held firm for 18 months, which protects the budget if the Section 404 decision moves the construction window.</w:t>
      </w:r>
    </w:p>
    <w:p>
      <w:r>
        <w:rPr>
          <w:b/>
        </w:rPr>
        <w:t>Water quality monitoring, $4,320.</w:t>
      </w:r>
      <w:r>
        <w:t xml:space="preserve"> Twenty-four sample suites at $180 each: four stations across six events, three baseline and three post-implementation. The suite covers turbidity, total suspended solids, total nitrogen, and total phosphorus. Every outcome measure in Section 8 has a budget line paying for its measurement, and this is that line for the response measures.</w:t>
      </w:r>
    </w:p>
    <w:p>
      <w:r>
        <w:rPr>
          <w:b/>
        </w:rPr>
        <w:t>Establishment materials, $3,500.</w:t>
      </w:r>
      <w:r>
        <w:t xml:space="preserve"> Four hundred replacement stems, shelter and stake repair stock, and two contracted mowing passes across the 22 acres in project months 12 and 15. This is the line that stands behind the 80 percent survival commitment. A proposal that promises a survival rate without budgeting replacement stock is promising something it has no means to deliver.</w:t>
      </w:r>
    </w:p>
    <w:p>
      <w:r>
        <w:rPr>
          <w:b/>
        </w:rPr>
        <w:t>Restoration Program Manager, $13,500.</w:t>
      </w:r>
      <w:r>
        <w:t xml:space="preserve"> 0.15 FTE across 18 months, which is 0.225 FTE-years at a $60,000 fully loaded annual cost including salary, payroll taxes, and benefits. This position handles landowner agreements, permit filings, contractor procurement and oversight, planting layout, monitoring quality assurance, and all reporting.</w:t>
      </w:r>
    </w:p>
    <w:p>
      <w:r>
        <w:rPr>
          <w:b/>
        </w:rPr>
        <w:t>Seasonal Field Technician, $8,400.</w:t>
      </w:r>
      <w:r>
        <w:t xml:space="preserve"> 0.2 FTE across 12 months, which is 0.2 FTE-years at a $42,000 fully loaded annual rate. This is the establishment labor budget: watering through the first dry summer, mowing supervision, shelter straightening after ice, survival counts, and photo points. Planting is the cheap part of restoration. Keeping the planting alive is the part that gets cut from budgets and then shows up as a 40 percent survival rate in year two.</w:t>
      </w:r>
    </w:p>
    <w:p>
      <w:r>
        <w:rPr>
          <w:b/>
        </w:rPr>
        <w:t>Vehicle mileage and small equipment, $1,680.</w:t>
      </w:r>
      <w:r>
        <w:t xml:space="preserve"> Field travel across five parcels over 18 months plus consumable field equipment: planting bars, flagging, transect tape, GPS batteries, and safety gear. Mileage is reimbursed at the organization's board-approved rate, which follows the federal standard business rate in effect.</w:t>
      </w:r>
    </w:p>
    <w:p>
      <w:pPr>
        <w:pStyle w:val="Heading2"/>
      </w:pPr>
      <w:r>
        <w:t>Indirect costs</w:t>
      </w:r>
    </w:p>
    <w:p>
      <w:r>
        <w:t>This request carries direct costs only. The Alliance's indirect costs for this project, principally accounting, insurance, and audit, are absorbed as organizational match rather than charged to the award. If [Foundation Name]'s written policy permits an indirect rate, we would apply the organization's federally negotiated rate to the modified total direct cost base and reduce the match accordingly. On a federal award, the cost principles at 2 CFR Part 200 Subpart E govern which costs are allowable and how an indirect rate is applied. Ask the program officer before assuming a rate, and never assume the de minimis rate applies to a private foundation award.</w:t>
      </w:r>
    </w:p>
    <w:p>
      <w:pPr>
        <w:pStyle w:val="Heading1"/>
      </w:pPr>
      <w:r>
        <w:t>12. Match and Leverage</w:t>
      </w:r>
    </w:p>
    <w:p>
      <w:r>
        <w:t>Conservation work has match sources other sectors do not, and showing them as a separate column with a named source for each entry demonstrates that a foundation dollar here moves more than a dollar of work. Every entry below is either committed in writing or clearly labeled as pending.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3370"/>
            <w:shd w:val="clear" w:color="auto" w:fill="DDE8E2"/>
          </w:tcPr>
          <w:p>
            <w:pPr>
              <w:spacing w:before="40" w:after="40" w:line="240" w:lineRule="auto"/>
            </w:pPr>
            <w:r/>
            <w:r>
              <w:rPr>
                <w:rFonts w:ascii="Calibri" w:hAnsi="Calibri"/>
                <w:b/>
                <w:i w:val="0"/>
                <w:sz w:val="19"/>
              </w:rPr>
              <w:t>Source</w:t>
            </w:r>
          </w:p>
        </w:tc>
        <w:tc>
          <w:tcPr>
            <w:tcW w:type="dxa" w:w="1030"/>
            <w:shd w:val="clear" w:color="auto" w:fill="DDE8E2"/>
          </w:tcPr>
          <w:p>
            <w:pPr>
              <w:spacing w:before="40" w:after="40" w:line="240" w:lineRule="auto"/>
              <w:jc w:val="right"/>
            </w:pPr>
            <w:r/>
            <w:r>
              <w:rPr>
                <w:rFonts w:ascii="Calibri" w:hAnsi="Calibri"/>
                <w:b/>
                <w:i w:val="0"/>
                <w:sz w:val="19"/>
              </w:rPr>
              <w:t>Value</w:t>
            </w:r>
          </w:p>
        </w:tc>
        <w:tc>
          <w:tcPr>
            <w:tcW w:type="dxa" w:w="2246"/>
            <w:shd w:val="clear" w:color="auto" w:fill="DDE8E2"/>
          </w:tcPr>
          <w:p>
            <w:pPr>
              <w:spacing w:before="40" w:after="40" w:line="240" w:lineRule="auto"/>
            </w:pPr>
            <w:r/>
            <w:r>
              <w:rPr>
                <w:rFonts w:ascii="Calibri" w:hAnsi="Calibri"/>
                <w:b/>
                <w:i w:val="0"/>
                <w:sz w:val="19"/>
              </w:rPr>
              <w:t>Provider</w:t>
            </w:r>
          </w:p>
        </w:tc>
        <w:tc>
          <w:tcPr>
            <w:tcW w:type="dxa" w:w="2714"/>
            <w:shd w:val="clear" w:color="auto" w:fill="DDE8E2"/>
          </w:tcPr>
          <w:p>
            <w:pPr>
              <w:spacing w:before="40" w:after="40" w:line="240" w:lineRule="auto"/>
            </w:pPr>
            <w:r/>
            <w:r>
              <w:rPr>
                <w:rFonts w:ascii="Calibri" w:hAnsi="Calibri"/>
                <w:b/>
                <w:i w:val="0"/>
                <w:sz w:val="19"/>
              </w:rPr>
              <w:t>Status</w:t>
            </w:r>
          </w:p>
        </w:tc>
      </w:tr>
      <w:tr>
        <w:tc>
          <w:tcPr>
            <w:tcW w:type="dxa" w:w="3370"/>
          </w:tcPr>
          <w:p>
            <w:pPr>
              <w:spacing w:before="40" w:after="40" w:line="240" w:lineRule="auto"/>
            </w:pPr>
            <w:r/>
            <w:r>
              <w:rPr>
                <w:rFonts w:ascii="Calibri" w:hAnsi="Calibri"/>
                <w:b w:val="0"/>
                <w:i w:val="0"/>
                <w:sz w:val="19"/>
              </w:rPr>
              <w:t>Landowner in-kind: fence line clearing, equipment hours, access road maintenance</w:t>
            </w:r>
          </w:p>
        </w:tc>
        <w:tc>
          <w:tcPr>
            <w:tcW w:type="dxa" w:w="1030"/>
          </w:tcPr>
          <w:p>
            <w:pPr>
              <w:spacing w:before="40" w:after="40" w:line="240" w:lineRule="auto"/>
              <w:jc w:val="right"/>
            </w:pPr>
            <w:r/>
            <w:r>
              <w:rPr>
                <w:rFonts w:ascii="Calibri" w:hAnsi="Calibri"/>
                <w:b w:val="0"/>
                <w:i w:val="0"/>
                <w:sz w:val="19"/>
              </w:rPr>
              <w:t>$12,400</w:t>
            </w:r>
          </w:p>
        </w:tc>
        <w:tc>
          <w:tcPr>
            <w:tcW w:type="dxa" w:w="2246"/>
          </w:tcPr>
          <w:p>
            <w:pPr>
              <w:spacing w:before="40" w:after="40" w:line="240" w:lineRule="auto"/>
            </w:pPr>
            <w:r/>
            <w:r>
              <w:rPr>
                <w:rFonts w:ascii="Calibri" w:hAnsi="Calibri"/>
                <w:b w:val="0"/>
                <w:i w:val="0"/>
                <w:sz w:val="19"/>
              </w:rPr>
              <w:t>Parcels A, B, and D landowners</w:t>
            </w:r>
          </w:p>
        </w:tc>
        <w:tc>
          <w:tcPr>
            <w:tcW w:type="dxa" w:w="2714"/>
          </w:tcPr>
          <w:p>
            <w:pPr>
              <w:spacing w:before="40" w:after="40" w:line="240" w:lineRule="auto"/>
            </w:pPr>
            <w:r/>
            <w:r>
              <w:rPr>
                <w:rFonts w:ascii="Calibri" w:hAnsi="Calibri"/>
                <w:b w:val="0"/>
                <w:i w:val="0"/>
                <w:sz w:val="19"/>
              </w:rPr>
              <w:t>Committed in writing in the executed agreements</w:t>
            </w:r>
          </w:p>
        </w:tc>
      </w:tr>
      <w:tr>
        <w:tc>
          <w:tcPr>
            <w:tcW w:type="dxa" w:w="3370"/>
          </w:tcPr>
          <w:p>
            <w:pPr>
              <w:spacing w:before="40" w:after="40" w:line="240" w:lineRule="auto"/>
            </w:pPr>
            <w:r/>
            <w:r>
              <w:rPr>
                <w:rFonts w:ascii="Calibri" w:hAnsi="Calibri"/>
                <w:b w:val="0"/>
                <w:i w:val="0"/>
                <w:sz w:val="19"/>
              </w:rPr>
              <w:t>Volunteer planting labor: 640 hours across four planting days</w:t>
            </w:r>
          </w:p>
        </w:tc>
        <w:tc>
          <w:tcPr>
            <w:tcW w:type="dxa" w:w="1030"/>
          </w:tcPr>
          <w:p>
            <w:pPr>
              <w:spacing w:before="40" w:after="40" w:line="240" w:lineRule="auto"/>
              <w:jc w:val="right"/>
            </w:pPr>
            <w:r/>
            <w:r>
              <w:rPr>
                <w:rFonts w:ascii="Calibri" w:hAnsi="Calibri"/>
                <w:b w:val="0"/>
                <w:i w:val="0"/>
                <w:sz w:val="19"/>
              </w:rPr>
              <w:t>$19,200</w:t>
            </w:r>
          </w:p>
        </w:tc>
        <w:tc>
          <w:tcPr>
            <w:tcW w:type="dxa" w:w="2246"/>
          </w:tcPr>
          <w:p>
            <w:pPr>
              <w:spacing w:before="40" w:after="40" w:line="240" w:lineRule="auto"/>
            </w:pPr>
            <w:r/>
            <w:r>
              <w:rPr>
                <w:rFonts w:ascii="Calibri" w:hAnsi="Calibri"/>
                <w:b w:val="0"/>
                <w:i w:val="0"/>
                <w:sz w:val="19"/>
              </w:rPr>
              <w:t>Alliance volunteer base and a local watershed association</w:t>
            </w:r>
          </w:p>
        </w:tc>
        <w:tc>
          <w:tcPr>
            <w:tcW w:type="dxa" w:w="2714"/>
          </w:tcPr>
          <w:p>
            <w:pPr>
              <w:spacing w:before="40" w:after="40" w:line="240" w:lineRule="auto"/>
            </w:pPr>
            <w:r/>
            <w:r>
              <w:rPr>
                <w:rFonts w:ascii="Calibri" w:hAnsi="Calibri"/>
                <w:b w:val="0"/>
                <w:i w:val="0"/>
                <w:sz w:val="19"/>
              </w:rPr>
              <w:t>Illustrative valuation at $30.00 per hour; use the rate [Foundation Name] permits</w:t>
            </w:r>
          </w:p>
        </w:tc>
      </w:tr>
      <w:tr>
        <w:tc>
          <w:tcPr>
            <w:tcW w:type="dxa" w:w="3370"/>
          </w:tcPr>
          <w:p>
            <w:pPr>
              <w:spacing w:before="40" w:after="40" w:line="240" w:lineRule="auto"/>
            </w:pPr>
            <w:r/>
            <w:r>
              <w:rPr>
                <w:rFonts w:ascii="Calibri" w:hAnsi="Calibri"/>
                <w:b w:val="0"/>
                <w:i w:val="0"/>
                <w:sz w:val="19"/>
              </w:rPr>
              <w:t>Federal agricultural cost-share on fencing and watering infrastructure, two operations</w:t>
            </w:r>
          </w:p>
        </w:tc>
        <w:tc>
          <w:tcPr>
            <w:tcW w:type="dxa" w:w="1030"/>
          </w:tcPr>
          <w:p>
            <w:pPr>
              <w:spacing w:before="40" w:after="40" w:line="240" w:lineRule="auto"/>
              <w:jc w:val="right"/>
            </w:pPr>
            <w:r/>
            <w:r>
              <w:rPr>
                <w:rFonts w:ascii="Calibri" w:hAnsi="Calibri"/>
                <w:b w:val="0"/>
                <w:i w:val="0"/>
                <w:sz w:val="19"/>
              </w:rPr>
              <w:t>$18,000</w:t>
            </w:r>
          </w:p>
        </w:tc>
        <w:tc>
          <w:tcPr>
            <w:tcW w:type="dxa" w:w="2246"/>
          </w:tcPr>
          <w:p>
            <w:pPr>
              <w:spacing w:before="40" w:after="40" w:line="240" w:lineRule="auto"/>
            </w:pPr>
            <w:r/>
            <w:r>
              <w:rPr>
                <w:rFonts w:ascii="Calibri" w:hAnsi="Calibri"/>
                <w:b w:val="0"/>
                <w:i w:val="0"/>
                <w:sz w:val="19"/>
              </w:rPr>
              <w:t>USDA NRCS Environmental Quality Incentives Program (EQIP)</w:t>
            </w:r>
          </w:p>
        </w:tc>
        <w:tc>
          <w:tcPr>
            <w:tcW w:type="dxa" w:w="2714"/>
          </w:tcPr>
          <w:p>
            <w:pPr>
              <w:spacing w:before="40" w:after="40" w:line="240" w:lineRule="auto"/>
            </w:pPr>
            <w:r/>
            <w:r>
              <w:rPr>
                <w:rFonts w:ascii="Calibri" w:hAnsi="Calibri"/>
                <w:b w:val="0"/>
                <w:i w:val="0"/>
                <w:sz w:val="19"/>
              </w:rPr>
              <w:t>Applications submitted with NRCS field office support; pending, not counted as secured</w:t>
            </w:r>
          </w:p>
        </w:tc>
      </w:tr>
      <w:tr>
        <w:tc>
          <w:tcPr>
            <w:tcW w:type="dxa" w:w="3370"/>
          </w:tcPr>
          <w:p>
            <w:pPr>
              <w:spacing w:before="40" w:after="40" w:line="240" w:lineRule="auto"/>
            </w:pPr>
            <w:r/>
            <w:r>
              <w:rPr>
                <w:rFonts w:ascii="Calibri" w:hAnsi="Calibri"/>
                <w:b w:val="0"/>
                <w:i w:val="0"/>
                <w:sz w:val="19"/>
              </w:rPr>
              <w:t>Conservation district technical assistance: crossing design, inspection, annual inspection years 2 to 5</w:t>
            </w:r>
          </w:p>
        </w:tc>
        <w:tc>
          <w:tcPr>
            <w:tcW w:type="dxa" w:w="1030"/>
          </w:tcPr>
          <w:p>
            <w:pPr>
              <w:spacing w:before="40" w:after="40" w:line="240" w:lineRule="auto"/>
              <w:jc w:val="right"/>
            </w:pPr>
            <w:r/>
            <w:r>
              <w:rPr>
                <w:rFonts w:ascii="Calibri" w:hAnsi="Calibri"/>
                <w:b w:val="0"/>
                <w:i w:val="0"/>
                <w:sz w:val="19"/>
              </w:rPr>
              <w:t>$6,500</w:t>
            </w:r>
          </w:p>
        </w:tc>
        <w:tc>
          <w:tcPr>
            <w:tcW w:type="dxa" w:w="2246"/>
          </w:tcPr>
          <w:p>
            <w:pPr>
              <w:spacing w:before="40" w:after="40" w:line="240" w:lineRule="auto"/>
            </w:pPr>
            <w:r/>
            <w:r>
              <w:rPr>
                <w:rFonts w:ascii="Calibri" w:hAnsi="Calibri"/>
                <w:b w:val="0"/>
                <w:i w:val="0"/>
                <w:sz w:val="19"/>
              </w:rPr>
              <w:t>County conservation district</w:t>
            </w:r>
          </w:p>
        </w:tc>
        <w:tc>
          <w:tcPr>
            <w:tcW w:type="dxa" w:w="2714"/>
          </w:tcPr>
          <w:p>
            <w:pPr>
              <w:spacing w:before="40" w:after="40" w:line="240" w:lineRule="auto"/>
            </w:pPr>
            <w:r/>
            <w:r>
              <w:rPr>
                <w:rFonts w:ascii="Calibri" w:hAnsi="Calibri"/>
                <w:b w:val="0"/>
                <w:i w:val="0"/>
                <w:sz w:val="19"/>
              </w:rPr>
              <w:t>Committed in a signed memorandum of understanding, attached</w:t>
            </w:r>
          </w:p>
        </w:tc>
      </w:tr>
      <w:tr>
        <w:tc>
          <w:tcPr>
            <w:tcW w:type="dxa" w:w="3370"/>
          </w:tcPr>
          <w:p>
            <w:pPr>
              <w:spacing w:before="40" w:after="40" w:line="240" w:lineRule="auto"/>
            </w:pPr>
            <w:r/>
            <w:r>
              <w:rPr>
                <w:rFonts w:ascii="Calibri" w:hAnsi="Calibri"/>
                <w:b w:val="0"/>
                <w:i w:val="0"/>
                <w:sz w:val="19"/>
              </w:rPr>
              <w:t>Organizational stewardship reserve, years 2 through 5</w:t>
            </w:r>
          </w:p>
        </w:tc>
        <w:tc>
          <w:tcPr>
            <w:tcW w:type="dxa" w:w="1030"/>
          </w:tcPr>
          <w:p>
            <w:pPr>
              <w:spacing w:before="40" w:after="40" w:line="240" w:lineRule="auto"/>
              <w:jc w:val="right"/>
            </w:pPr>
            <w:r/>
            <w:r>
              <w:rPr>
                <w:rFonts w:ascii="Calibri" w:hAnsi="Calibri"/>
                <w:b w:val="0"/>
                <w:i w:val="0"/>
                <w:sz w:val="19"/>
              </w:rPr>
              <w:t>$9,000</w:t>
            </w:r>
          </w:p>
        </w:tc>
        <w:tc>
          <w:tcPr>
            <w:tcW w:type="dxa" w:w="2246"/>
          </w:tcPr>
          <w:p>
            <w:pPr>
              <w:spacing w:before="40" w:after="40" w:line="240" w:lineRule="auto"/>
            </w:pPr>
            <w:r/>
            <w:r>
              <w:rPr>
                <w:rFonts w:ascii="Calibri" w:hAnsi="Calibri"/>
                <w:b w:val="0"/>
                <w:i w:val="0"/>
                <w:sz w:val="19"/>
              </w:rPr>
              <w:t>Headwaters Stewardship Alliance board-designated reserve</w:t>
            </w:r>
          </w:p>
        </w:tc>
        <w:tc>
          <w:tcPr>
            <w:tcW w:type="dxa" w:w="2714"/>
          </w:tcPr>
          <w:p>
            <w:pPr>
              <w:spacing w:before="40" w:after="40" w:line="240" w:lineRule="auto"/>
            </w:pPr>
            <w:r/>
            <w:r>
              <w:rPr>
                <w:rFonts w:ascii="Calibri" w:hAnsi="Calibri"/>
                <w:b w:val="0"/>
                <w:i w:val="0"/>
                <w:sz w:val="19"/>
              </w:rPr>
              <w:t>Board resolution attached; funds the stewardship schedule in Section 13</w:t>
            </w:r>
          </w:p>
        </w:tc>
      </w:tr>
      <w:tr>
        <w:tc>
          <w:tcPr>
            <w:tcW w:type="dxa" w:w="3370"/>
            <w:shd w:val="clear" w:color="auto" w:fill="EFF4F1"/>
          </w:tcPr>
          <w:p>
            <w:pPr>
              <w:spacing w:before="40" w:after="40" w:line="240" w:lineRule="auto"/>
            </w:pPr>
            <w:r/>
            <w:r>
              <w:rPr>
                <w:rFonts w:ascii="Calibri" w:hAnsi="Calibri"/>
                <w:b/>
                <w:i w:val="0"/>
                <w:sz w:val="19"/>
              </w:rPr>
              <w:t>Total match and leverage</w:t>
            </w:r>
          </w:p>
        </w:tc>
        <w:tc>
          <w:tcPr>
            <w:tcW w:type="dxa" w:w="1030"/>
            <w:shd w:val="clear" w:color="auto" w:fill="EFF4F1"/>
          </w:tcPr>
          <w:p>
            <w:pPr>
              <w:spacing w:before="40" w:after="40" w:line="240" w:lineRule="auto"/>
              <w:jc w:val="right"/>
            </w:pPr>
            <w:r/>
            <w:r>
              <w:rPr>
                <w:rFonts w:ascii="Calibri" w:hAnsi="Calibri"/>
                <w:b/>
                <w:i w:val="0"/>
                <w:sz w:val="19"/>
              </w:rPr>
              <w:t>$65,100</w:t>
            </w:r>
          </w:p>
        </w:tc>
        <w:tc>
          <w:tcPr>
            <w:tcW w:type="dxa" w:w="2246"/>
            <w:shd w:val="clear" w:color="auto" w:fill="EFF4F1"/>
          </w:tcPr>
          <w:p>
            <w:pPr>
              <w:spacing w:before="40" w:after="40" w:line="240" w:lineRule="auto"/>
            </w:pPr>
            <w:r/>
            <w:r>
              <w:rPr>
                <w:rFonts w:ascii="Calibri" w:hAnsi="Calibri"/>
                <w:b/>
                <w:i w:val="0"/>
                <w:sz w:val="19"/>
              </w:rPr>
            </w:r>
          </w:p>
        </w:tc>
        <w:tc>
          <w:tcPr>
            <w:tcW w:type="dxa" w:w="2714"/>
            <w:shd w:val="clear" w:color="auto" w:fill="EFF4F1"/>
          </w:tcPr>
          <w:p>
            <w:pPr>
              <w:spacing w:before="40" w:after="40" w:line="240" w:lineRule="auto"/>
            </w:pPr>
            <w:r/>
            <w:r>
              <w:rPr>
                <w:rFonts w:ascii="Calibri" w:hAnsi="Calibri"/>
                <w:b/>
                <w:i w:val="0"/>
                <w:sz w:val="19"/>
              </w:rPr>
              <w:t>Total project value: $140,100</w:t>
            </w:r>
          </w:p>
        </w:tc>
      </w:tr>
    </w:tbl>
    <w:p>
      <w:pPr>
        <w:pStyle w:val="Caption"/>
      </w:pPr>
      <w:r>
        <w:t>Match and leverage. Cost-share that has been applied for is labeled pending, not counted as secured. A funder that discovers an overstated match in a progress report will remember it at the next application.</w:t>
      </w:r>
    </w:p>
    <w:p>
      <w:r>
        <w:t>The Environmental Quality Incentives Program, administered by the USDA Natural Resources Conservation Service, provides technical and financial assistance to agricultural producers and forest landowners for conservation practices, and fencing and alternative watering are common practices under it. If the two EQIP applications are approved, the corresponding fencing and watering costs shift off this award, and we would return to [Foundation Name] with a written request to reallocate those funds to additional buffer acreage on Parcel C rather than treating the reduction as savings. We would not move a dollar without that conversation first.</w:t>
      </w:r>
    </w:p>
    <w:p>
      <w:pPr>
        <w:pStyle w:val="Heading1"/>
      </w:pPr>
      <w:r>
        <w:t>13. Stewardship Plan After the Grant Period</w:t>
      </w:r>
    </w:p>
    <w:p>
      <w:r>
        <w:t>A stewardship plan names the responsible party, the tasks, the years those tasks run, and the money that pays for them. A plan that ends the day the grant does is not a plan. The schedule below is attached to each landowner agreement and reviewed at the project month 18 handoff meeting.</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030"/>
            <w:shd w:val="clear" w:color="auto" w:fill="DDE8E2"/>
          </w:tcPr>
          <w:p>
            <w:pPr>
              <w:spacing w:before="40" w:after="40" w:line="240" w:lineRule="auto"/>
            </w:pPr>
            <w:r/>
            <w:r>
              <w:rPr>
                <w:rFonts w:ascii="Calibri" w:hAnsi="Calibri"/>
                <w:b/>
                <w:i w:val="0"/>
                <w:sz w:val="19"/>
              </w:rPr>
              <w:t>Year</w:t>
            </w:r>
          </w:p>
        </w:tc>
        <w:tc>
          <w:tcPr>
            <w:tcW w:type="dxa" w:w="3370"/>
            <w:shd w:val="clear" w:color="auto" w:fill="DDE8E2"/>
          </w:tcPr>
          <w:p>
            <w:pPr>
              <w:spacing w:before="40" w:after="40" w:line="240" w:lineRule="auto"/>
            </w:pPr>
            <w:r/>
            <w:r>
              <w:rPr>
                <w:rFonts w:ascii="Calibri" w:hAnsi="Calibri"/>
                <w:b/>
                <w:i w:val="0"/>
                <w:sz w:val="19"/>
              </w:rPr>
              <w:t>Maintenance tasks</w:t>
            </w:r>
          </w:p>
        </w:tc>
        <w:tc>
          <w:tcPr>
            <w:tcW w:type="dxa" w:w="1966"/>
            <w:shd w:val="clear" w:color="auto" w:fill="DDE8E2"/>
          </w:tcPr>
          <w:p>
            <w:pPr>
              <w:spacing w:before="40" w:after="40" w:line="240" w:lineRule="auto"/>
            </w:pPr>
            <w:r/>
            <w:r>
              <w:rPr>
                <w:rFonts w:ascii="Calibri" w:hAnsi="Calibri"/>
                <w:b/>
                <w:i w:val="0"/>
                <w:sz w:val="19"/>
              </w:rPr>
              <w:t>Responsible party</w:t>
            </w:r>
          </w:p>
        </w:tc>
        <w:tc>
          <w:tcPr>
            <w:tcW w:type="dxa" w:w="1872"/>
            <w:shd w:val="clear" w:color="auto" w:fill="DDE8E2"/>
          </w:tcPr>
          <w:p>
            <w:pPr>
              <w:spacing w:before="40" w:after="40" w:line="240" w:lineRule="auto"/>
            </w:pPr>
            <w:r/>
            <w:r>
              <w:rPr>
                <w:rFonts w:ascii="Calibri" w:hAnsi="Calibri"/>
                <w:b/>
                <w:i w:val="0"/>
                <w:sz w:val="19"/>
              </w:rPr>
              <w:t>Funding source</w:t>
            </w:r>
          </w:p>
        </w:tc>
        <w:tc>
          <w:tcPr>
            <w:tcW w:type="dxa" w:w="1123"/>
            <w:shd w:val="clear" w:color="auto" w:fill="DDE8E2"/>
          </w:tcPr>
          <w:p>
            <w:pPr>
              <w:spacing w:before="40" w:after="40" w:line="240" w:lineRule="auto"/>
              <w:jc w:val="right"/>
            </w:pPr>
            <w:r/>
            <w:r>
              <w:rPr>
                <w:rFonts w:ascii="Calibri" w:hAnsi="Calibri"/>
                <w:b/>
                <w:i w:val="0"/>
                <w:sz w:val="19"/>
              </w:rPr>
              <w:t>Cost</w:t>
            </w:r>
          </w:p>
        </w:tc>
      </w:tr>
      <w:tr>
        <w:tc>
          <w:tcPr>
            <w:tcW w:type="dxa" w:w="1030"/>
          </w:tcPr>
          <w:p>
            <w:pPr>
              <w:spacing w:before="40" w:after="40" w:line="240" w:lineRule="auto"/>
            </w:pPr>
            <w:r/>
            <w:r>
              <w:rPr>
                <w:rFonts w:ascii="Calibri" w:hAnsi="Calibri"/>
                <w:b w:val="0"/>
                <w:i w:val="0"/>
                <w:sz w:val="19"/>
              </w:rPr>
              <w:t>1 (grant period)</w:t>
            </w:r>
          </w:p>
        </w:tc>
        <w:tc>
          <w:tcPr>
            <w:tcW w:type="dxa" w:w="3370"/>
          </w:tcPr>
          <w:p>
            <w:pPr>
              <w:spacing w:before="40" w:after="40" w:line="240" w:lineRule="auto"/>
            </w:pPr>
            <w:r/>
            <w:r>
              <w:rPr>
                <w:rFonts w:ascii="Calibri" w:hAnsi="Calibri"/>
                <w:b w:val="0"/>
                <w:i w:val="0"/>
                <w:sz w:val="19"/>
              </w:rPr>
              <w:t>Watering through the dry period; two contracted mowing passes; shelter straightening; 12-month survival count; replacement planting up to 400 stems</w:t>
            </w:r>
          </w:p>
        </w:tc>
        <w:tc>
          <w:tcPr>
            <w:tcW w:type="dxa" w:w="1966"/>
          </w:tcPr>
          <w:p>
            <w:pPr>
              <w:spacing w:before="40" w:after="40" w:line="240" w:lineRule="auto"/>
            </w:pPr>
            <w:r/>
            <w:r>
              <w:rPr>
                <w:rFonts w:ascii="Calibri" w:hAnsi="Calibri"/>
                <w:b w:val="0"/>
                <w:i w:val="0"/>
                <w:sz w:val="19"/>
              </w:rPr>
              <w:t>Alliance field technician and Restoration Program Manager</w:t>
            </w:r>
          </w:p>
        </w:tc>
        <w:tc>
          <w:tcPr>
            <w:tcW w:type="dxa" w:w="1872"/>
          </w:tcPr>
          <w:p>
            <w:pPr>
              <w:spacing w:before="40" w:after="40" w:line="240" w:lineRule="auto"/>
            </w:pPr>
            <w:r/>
            <w:r>
              <w:rPr>
                <w:rFonts w:ascii="Calibri" w:hAnsi="Calibri"/>
                <w:b w:val="0"/>
                <w:i w:val="0"/>
                <w:sz w:val="19"/>
              </w:rPr>
              <w:t>This grant (establishment lines)</w:t>
            </w:r>
          </w:p>
        </w:tc>
        <w:tc>
          <w:tcPr>
            <w:tcW w:type="dxa" w:w="1123"/>
          </w:tcPr>
          <w:p>
            <w:pPr>
              <w:spacing w:before="40" w:after="40" w:line="240" w:lineRule="auto"/>
              <w:jc w:val="right"/>
            </w:pPr>
            <w:r/>
            <w:r>
              <w:rPr>
                <w:rFonts w:ascii="Calibri" w:hAnsi="Calibri"/>
                <w:b w:val="0"/>
                <w:i w:val="0"/>
                <w:sz w:val="19"/>
              </w:rPr>
              <w:t>In grant budget</w:t>
            </w:r>
          </w:p>
        </w:tc>
      </w:tr>
      <w:tr>
        <w:tc>
          <w:tcPr>
            <w:tcW w:type="dxa" w:w="1030"/>
          </w:tcPr>
          <w:p>
            <w:pPr>
              <w:spacing w:before="40" w:after="40" w:line="240" w:lineRule="auto"/>
            </w:pPr>
            <w:r/>
            <w:r>
              <w:rPr>
                <w:rFonts w:ascii="Calibri" w:hAnsi="Calibri"/>
                <w:b w:val="0"/>
                <w:i w:val="0"/>
                <w:sz w:val="19"/>
              </w:rPr>
              <w:t>2</w:t>
            </w:r>
          </w:p>
        </w:tc>
        <w:tc>
          <w:tcPr>
            <w:tcW w:type="dxa" w:w="3370"/>
          </w:tcPr>
          <w:p>
            <w:pPr>
              <w:spacing w:before="40" w:after="40" w:line="240" w:lineRule="auto"/>
            </w:pPr>
            <w:r/>
            <w:r>
              <w:rPr>
                <w:rFonts w:ascii="Calibri" w:hAnsi="Calibri"/>
                <w:b w:val="0"/>
                <w:i w:val="0"/>
                <w:sz w:val="19"/>
              </w:rPr>
              <w:t>Two mowing passes; shelter and stake inspection; spot invasive treatment; fence inspection</w:t>
            </w:r>
          </w:p>
        </w:tc>
        <w:tc>
          <w:tcPr>
            <w:tcW w:type="dxa" w:w="1966"/>
          </w:tcPr>
          <w:p>
            <w:pPr>
              <w:spacing w:before="40" w:after="40" w:line="240" w:lineRule="auto"/>
            </w:pPr>
            <w:r/>
            <w:r>
              <w:rPr>
                <w:rFonts w:ascii="Calibri" w:hAnsi="Calibri"/>
                <w:b w:val="0"/>
                <w:i w:val="0"/>
                <w:sz w:val="19"/>
              </w:rPr>
              <w:t>Alliance staff, with landowners maintaining fence</w:t>
            </w:r>
          </w:p>
        </w:tc>
        <w:tc>
          <w:tcPr>
            <w:tcW w:type="dxa" w:w="1872"/>
          </w:tcPr>
          <w:p>
            <w:pPr>
              <w:spacing w:before="40" w:after="40" w:line="240" w:lineRule="auto"/>
            </w:pPr>
            <w:r/>
            <w:r>
              <w:rPr>
                <w:rFonts w:ascii="Calibri" w:hAnsi="Calibri"/>
                <w:b w:val="0"/>
                <w:i w:val="0"/>
                <w:sz w:val="19"/>
              </w:rPr>
              <w:t>Alliance stewardship reserve</w:t>
            </w:r>
          </w:p>
        </w:tc>
        <w:tc>
          <w:tcPr>
            <w:tcW w:type="dxa" w:w="1123"/>
          </w:tcPr>
          <w:p>
            <w:pPr>
              <w:spacing w:before="40" w:after="40" w:line="240" w:lineRule="auto"/>
              <w:jc w:val="right"/>
            </w:pPr>
            <w:r/>
            <w:r>
              <w:rPr>
                <w:rFonts w:ascii="Calibri" w:hAnsi="Calibri"/>
                <w:b w:val="0"/>
                <w:i w:val="0"/>
                <w:sz w:val="19"/>
              </w:rPr>
              <w:t>$2,400</w:t>
            </w:r>
          </w:p>
        </w:tc>
      </w:tr>
      <w:tr>
        <w:tc>
          <w:tcPr>
            <w:tcW w:type="dxa" w:w="1030"/>
          </w:tcPr>
          <w:p>
            <w:pPr>
              <w:spacing w:before="40" w:after="40" w:line="240" w:lineRule="auto"/>
            </w:pPr>
            <w:r/>
            <w:r>
              <w:rPr>
                <w:rFonts w:ascii="Calibri" w:hAnsi="Calibri"/>
                <w:b w:val="0"/>
                <w:i w:val="0"/>
                <w:sz w:val="19"/>
              </w:rPr>
              <w:t>3</w:t>
            </w:r>
          </w:p>
        </w:tc>
        <w:tc>
          <w:tcPr>
            <w:tcW w:type="dxa" w:w="3370"/>
          </w:tcPr>
          <w:p>
            <w:pPr>
              <w:spacing w:before="40" w:after="40" w:line="240" w:lineRule="auto"/>
            </w:pPr>
            <w:r/>
            <w:r>
              <w:rPr>
                <w:rFonts w:ascii="Calibri" w:hAnsi="Calibri"/>
                <w:b w:val="0"/>
                <w:i w:val="0"/>
                <w:sz w:val="19"/>
              </w:rPr>
              <w:t>One mowing pass; spot invasive treatment; survival audit in the same GPS-marked plots; photo points</w:t>
            </w:r>
          </w:p>
        </w:tc>
        <w:tc>
          <w:tcPr>
            <w:tcW w:type="dxa" w:w="1966"/>
          </w:tcPr>
          <w:p>
            <w:pPr>
              <w:spacing w:before="40" w:after="40" w:line="240" w:lineRule="auto"/>
            </w:pPr>
            <w:r/>
            <w:r>
              <w:rPr>
                <w:rFonts w:ascii="Calibri" w:hAnsi="Calibri"/>
                <w:b w:val="0"/>
                <w:i w:val="0"/>
                <w:sz w:val="19"/>
              </w:rPr>
              <w:t>Alliance staff with conservation district inspection</w:t>
            </w:r>
          </w:p>
        </w:tc>
        <w:tc>
          <w:tcPr>
            <w:tcW w:type="dxa" w:w="1872"/>
          </w:tcPr>
          <w:p>
            <w:pPr>
              <w:spacing w:before="40" w:after="40" w:line="240" w:lineRule="auto"/>
            </w:pPr>
            <w:r/>
            <w:r>
              <w:rPr>
                <w:rFonts w:ascii="Calibri" w:hAnsi="Calibri"/>
                <w:b w:val="0"/>
                <w:i w:val="0"/>
                <w:sz w:val="19"/>
              </w:rPr>
              <w:t>Alliance stewardship reserve</w:t>
            </w:r>
          </w:p>
        </w:tc>
        <w:tc>
          <w:tcPr>
            <w:tcW w:type="dxa" w:w="1123"/>
          </w:tcPr>
          <w:p>
            <w:pPr>
              <w:spacing w:before="40" w:after="40" w:line="240" w:lineRule="auto"/>
              <w:jc w:val="right"/>
            </w:pPr>
            <w:r/>
            <w:r>
              <w:rPr>
                <w:rFonts w:ascii="Calibri" w:hAnsi="Calibri"/>
                <w:b w:val="0"/>
                <w:i w:val="0"/>
                <w:sz w:val="19"/>
              </w:rPr>
              <w:t>$2,000</w:t>
            </w:r>
          </w:p>
        </w:tc>
      </w:tr>
      <w:tr>
        <w:tc>
          <w:tcPr>
            <w:tcW w:type="dxa" w:w="1030"/>
          </w:tcPr>
          <w:p>
            <w:pPr>
              <w:spacing w:before="40" w:after="40" w:line="240" w:lineRule="auto"/>
            </w:pPr>
            <w:r/>
            <w:r>
              <w:rPr>
                <w:rFonts w:ascii="Calibri" w:hAnsi="Calibri"/>
                <w:b w:val="0"/>
                <w:i w:val="0"/>
                <w:sz w:val="19"/>
              </w:rPr>
              <w:t>4</w:t>
            </w:r>
          </w:p>
        </w:tc>
        <w:tc>
          <w:tcPr>
            <w:tcW w:type="dxa" w:w="3370"/>
          </w:tcPr>
          <w:p>
            <w:pPr>
              <w:spacing w:before="40" w:after="40" w:line="240" w:lineRule="auto"/>
            </w:pPr>
            <w:r/>
            <w:r>
              <w:rPr>
                <w:rFonts w:ascii="Calibri" w:hAnsi="Calibri"/>
                <w:b w:val="0"/>
                <w:i w:val="0"/>
                <w:sz w:val="19"/>
              </w:rPr>
              <w:t>Shelter removal on 2,600 stems; spot invasive treatment; fence inspection</w:t>
            </w:r>
          </w:p>
        </w:tc>
        <w:tc>
          <w:tcPr>
            <w:tcW w:type="dxa" w:w="1966"/>
          </w:tcPr>
          <w:p>
            <w:pPr>
              <w:spacing w:before="40" w:after="40" w:line="240" w:lineRule="auto"/>
            </w:pPr>
            <w:r/>
            <w:r>
              <w:rPr>
                <w:rFonts w:ascii="Calibri" w:hAnsi="Calibri"/>
                <w:b w:val="0"/>
                <w:i w:val="0"/>
                <w:sz w:val="19"/>
              </w:rPr>
              <w:t>Alliance staff and volunteers</w:t>
            </w:r>
          </w:p>
        </w:tc>
        <w:tc>
          <w:tcPr>
            <w:tcW w:type="dxa" w:w="1872"/>
          </w:tcPr>
          <w:p>
            <w:pPr>
              <w:spacing w:before="40" w:after="40" w:line="240" w:lineRule="auto"/>
            </w:pPr>
            <w:r/>
            <w:r>
              <w:rPr>
                <w:rFonts w:ascii="Calibri" w:hAnsi="Calibri"/>
                <w:b w:val="0"/>
                <w:i w:val="0"/>
                <w:sz w:val="19"/>
              </w:rPr>
              <w:t>Alliance stewardship reserve</w:t>
            </w:r>
          </w:p>
        </w:tc>
        <w:tc>
          <w:tcPr>
            <w:tcW w:type="dxa" w:w="1123"/>
          </w:tcPr>
          <w:p>
            <w:pPr>
              <w:spacing w:before="40" w:after="40" w:line="240" w:lineRule="auto"/>
              <w:jc w:val="right"/>
            </w:pPr>
            <w:r/>
            <w:r>
              <w:rPr>
                <w:rFonts w:ascii="Calibri" w:hAnsi="Calibri"/>
                <w:b w:val="0"/>
                <w:i w:val="0"/>
                <w:sz w:val="19"/>
              </w:rPr>
              <w:t>$2,600</w:t>
            </w:r>
          </w:p>
        </w:tc>
      </w:tr>
      <w:tr>
        <w:tc>
          <w:tcPr>
            <w:tcW w:type="dxa" w:w="1030"/>
          </w:tcPr>
          <w:p>
            <w:pPr>
              <w:spacing w:before="40" w:after="40" w:line="240" w:lineRule="auto"/>
            </w:pPr>
            <w:r/>
            <w:r>
              <w:rPr>
                <w:rFonts w:ascii="Calibri" w:hAnsi="Calibri"/>
                <w:b w:val="0"/>
                <w:i w:val="0"/>
                <w:sz w:val="19"/>
              </w:rPr>
              <w:t>5</w:t>
            </w:r>
          </w:p>
        </w:tc>
        <w:tc>
          <w:tcPr>
            <w:tcW w:type="dxa" w:w="3370"/>
          </w:tcPr>
          <w:p>
            <w:pPr>
              <w:spacing w:before="40" w:after="40" w:line="240" w:lineRule="auto"/>
            </w:pPr>
            <w:r/>
            <w:r>
              <w:rPr>
                <w:rFonts w:ascii="Calibri" w:hAnsi="Calibri"/>
                <w:b w:val="0"/>
                <w:i w:val="0"/>
                <w:sz w:val="19"/>
              </w:rPr>
              <w:t>Final survival audit; invasive transect re-run; fence and crossing inspection; closeout report to funder and landowners</w:t>
            </w:r>
          </w:p>
        </w:tc>
        <w:tc>
          <w:tcPr>
            <w:tcW w:type="dxa" w:w="1966"/>
          </w:tcPr>
          <w:p>
            <w:pPr>
              <w:spacing w:before="40" w:after="40" w:line="240" w:lineRule="auto"/>
            </w:pPr>
            <w:r/>
            <w:r>
              <w:rPr>
                <w:rFonts w:ascii="Calibri" w:hAnsi="Calibri"/>
                <w:b w:val="0"/>
                <w:i w:val="0"/>
                <w:sz w:val="19"/>
              </w:rPr>
              <w:t>Alliance staff with conservation district</w:t>
            </w:r>
          </w:p>
        </w:tc>
        <w:tc>
          <w:tcPr>
            <w:tcW w:type="dxa" w:w="1872"/>
          </w:tcPr>
          <w:p>
            <w:pPr>
              <w:spacing w:before="40" w:after="40" w:line="240" w:lineRule="auto"/>
            </w:pPr>
            <w:r/>
            <w:r>
              <w:rPr>
                <w:rFonts w:ascii="Calibri" w:hAnsi="Calibri"/>
                <w:b w:val="0"/>
                <w:i w:val="0"/>
                <w:sz w:val="19"/>
              </w:rPr>
              <w:t>Alliance stewardship reserve</w:t>
            </w:r>
          </w:p>
        </w:tc>
        <w:tc>
          <w:tcPr>
            <w:tcW w:type="dxa" w:w="1123"/>
          </w:tcPr>
          <w:p>
            <w:pPr>
              <w:spacing w:before="40" w:after="40" w:line="240" w:lineRule="auto"/>
              <w:jc w:val="right"/>
            </w:pPr>
            <w:r/>
            <w:r>
              <w:rPr>
                <w:rFonts w:ascii="Calibri" w:hAnsi="Calibri"/>
                <w:b w:val="0"/>
                <w:i w:val="0"/>
                <w:sz w:val="19"/>
              </w:rPr>
              <w:t>$2,000</w:t>
            </w:r>
          </w:p>
        </w:tc>
      </w:tr>
      <w:tr>
        <w:tc>
          <w:tcPr>
            <w:tcW w:type="dxa" w:w="1030"/>
            <w:shd w:val="clear" w:color="auto" w:fill="EFF4F1"/>
          </w:tcPr>
          <w:p>
            <w:pPr>
              <w:spacing w:before="40" w:after="40" w:line="240" w:lineRule="auto"/>
            </w:pPr>
            <w:r/>
            <w:r>
              <w:rPr>
                <w:rFonts w:ascii="Calibri" w:hAnsi="Calibri"/>
                <w:b/>
                <w:i w:val="0"/>
                <w:sz w:val="19"/>
              </w:rPr>
              <w:t>Total, years 2 through 5</w:t>
            </w:r>
          </w:p>
        </w:tc>
        <w:tc>
          <w:tcPr>
            <w:tcW w:type="dxa" w:w="3370"/>
            <w:shd w:val="clear" w:color="auto" w:fill="EFF4F1"/>
          </w:tcPr>
          <w:p>
            <w:pPr>
              <w:spacing w:before="40" w:after="40" w:line="240" w:lineRule="auto"/>
            </w:pPr>
            <w:r/>
            <w:r>
              <w:rPr>
                <w:rFonts w:ascii="Calibri" w:hAnsi="Calibri"/>
                <w:b/>
                <w:i w:val="0"/>
                <w:sz w:val="19"/>
              </w:rPr>
            </w:r>
          </w:p>
        </w:tc>
        <w:tc>
          <w:tcPr>
            <w:tcW w:type="dxa" w:w="1966"/>
            <w:shd w:val="clear" w:color="auto" w:fill="EFF4F1"/>
          </w:tcPr>
          <w:p>
            <w:pPr>
              <w:spacing w:before="40" w:after="40" w:line="240" w:lineRule="auto"/>
            </w:pPr>
            <w:r/>
            <w:r>
              <w:rPr>
                <w:rFonts w:ascii="Calibri" w:hAnsi="Calibri"/>
                <w:b/>
                <w:i w:val="0"/>
                <w:sz w:val="19"/>
              </w:rPr>
            </w:r>
          </w:p>
        </w:tc>
        <w:tc>
          <w:tcPr>
            <w:tcW w:type="dxa" w:w="1872"/>
            <w:shd w:val="clear" w:color="auto" w:fill="EFF4F1"/>
          </w:tcPr>
          <w:p>
            <w:pPr>
              <w:spacing w:before="40" w:after="40" w:line="240" w:lineRule="auto"/>
            </w:pPr>
            <w:r/>
            <w:r>
              <w:rPr>
                <w:rFonts w:ascii="Calibri" w:hAnsi="Calibri"/>
                <w:b/>
                <w:i w:val="0"/>
                <w:sz w:val="19"/>
              </w:rPr>
            </w:r>
          </w:p>
        </w:tc>
        <w:tc>
          <w:tcPr>
            <w:tcW w:type="dxa" w:w="1123"/>
            <w:shd w:val="clear" w:color="auto" w:fill="EFF4F1"/>
          </w:tcPr>
          <w:p>
            <w:pPr>
              <w:spacing w:before="40" w:after="40" w:line="240" w:lineRule="auto"/>
              <w:jc w:val="right"/>
            </w:pPr>
            <w:r/>
            <w:r>
              <w:rPr>
                <w:rFonts w:ascii="Calibri" w:hAnsi="Calibri"/>
                <w:b/>
                <w:i w:val="0"/>
                <w:sz w:val="19"/>
              </w:rPr>
              <w:t>$9,000</w:t>
            </w:r>
          </w:p>
        </w:tc>
      </w:tr>
    </w:tbl>
    <w:p>
      <w:pPr>
        <w:pStyle w:val="Caption"/>
      </w:pPr>
      <w:r>
        <w:t>Five-year stewardship schedule. Year one is watering and mowing. Year four is shelter removal, which is a real cost most proposals forget: 2,600 shelters do not remove themselves and left in place they girdle the trees they protected.</w:t>
      </w:r>
    </w:p>
    <w:p>
      <w:pPr>
        <w:pStyle w:val="Heading2"/>
      </w:pPr>
      <w:r>
        <w:t>Replanting trigger</w:t>
      </w:r>
    </w:p>
    <w:p>
      <w:r>
        <w:t>If the 12-month survival count returns below 80 percent on any parcel, the Alliance replants that parcel in the next dormant season using the 400 replacement stems in the establishment materials line. If the shortfall exceeds 400 stems, the stewardship reserve funds the balance up to $2,000, and beyond that the Alliance returns to the funder with a written explanation of cause, the corrective plan, and the cost, before spending anything. Stating the trigger, the threshold, the source of funds, and the escalation path is what separates a stewardship plan from a stewardship paragraph.</w:t>
      </w:r>
    </w:p>
    <w:p>
      <w:pPr>
        <w:pStyle w:val="Heading2"/>
      </w:pPr>
      <w:r>
        <w:t>Fence and infrastructure maintenance</w:t>
      </w:r>
    </w:p>
    <w:p>
      <w:r>
        <w:t>Each landowner agreement assigns routine fence maintenance to the landowner for the agreement term, including repair after storms and keeping the exclusion line intact during rotational grazing. The Alliance inspects annually through year five and reports findings to the landowner in writing. The county conservation district inspects the two crossings annually through year five under the signed memorandum of understanding. If a landowner allows the fence to fail, the agreement provides for written notice, a 60-day cure period, and Alliance repair at landowner cost.</w:t>
      </w:r>
    </w:p>
    <w:p>
      <w:pPr>
        <w:pStyle w:val="Heading1"/>
      </w:pPr>
      <w:r>
        <w:t>14. Partners and Roles</w:t>
      </w:r>
    </w:p>
    <w:p>
      <w:r>
        <w:t>Every partner listed below has a described responsibility and a signed document behind it. A logo with no described role is worse than no logo, because it tells a reviewer the partnership was assembled for the application.</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1685"/>
            <w:shd w:val="clear" w:color="auto" w:fill="DDE8E2"/>
          </w:tcPr>
          <w:p>
            <w:pPr>
              <w:spacing w:before="40" w:after="40" w:line="240" w:lineRule="auto"/>
            </w:pPr>
            <w:r/>
            <w:r>
              <w:rPr>
                <w:rFonts w:ascii="Calibri" w:hAnsi="Calibri"/>
                <w:b/>
                <w:i w:val="0"/>
                <w:sz w:val="19"/>
              </w:rPr>
              <w:t>Partner</w:t>
            </w:r>
          </w:p>
        </w:tc>
        <w:tc>
          <w:tcPr>
            <w:tcW w:type="dxa" w:w="3744"/>
            <w:shd w:val="clear" w:color="auto" w:fill="DDE8E2"/>
          </w:tcPr>
          <w:p>
            <w:pPr>
              <w:spacing w:before="40" w:after="40" w:line="240" w:lineRule="auto"/>
            </w:pPr>
            <w:r/>
            <w:r>
              <w:rPr>
                <w:rFonts w:ascii="Calibri" w:hAnsi="Calibri"/>
                <w:b/>
                <w:i w:val="0"/>
                <w:sz w:val="19"/>
              </w:rPr>
              <w:t>Responsibility on this project</w:t>
            </w:r>
          </w:p>
        </w:tc>
        <w:tc>
          <w:tcPr>
            <w:tcW w:type="dxa" w:w="1778"/>
            <w:shd w:val="clear" w:color="auto" w:fill="DDE8E2"/>
          </w:tcPr>
          <w:p>
            <w:pPr>
              <w:spacing w:before="40" w:after="40" w:line="240" w:lineRule="auto"/>
            </w:pPr>
            <w:r/>
            <w:r>
              <w:rPr>
                <w:rFonts w:ascii="Calibri" w:hAnsi="Calibri"/>
                <w:b/>
                <w:i w:val="0"/>
                <w:sz w:val="19"/>
              </w:rPr>
              <w:t>Documentation</w:t>
            </w:r>
          </w:p>
        </w:tc>
        <w:tc>
          <w:tcPr>
            <w:tcW w:type="dxa" w:w="2153"/>
            <w:shd w:val="clear" w:color="auto" w:fill="DDE8E2"/>
          </w:tcPr>
          <w:p>
            <w:pPr>
              <w:spacing w:before="40" w:after="40" w:line="240" w:lineRule="auto"/>
            </w:pPr>
            <w:r/>
            <w:r>
              <w:rPr>
                <w:rFonts w:ascii="Calibri" w:hAnsi="Calibri"/>
                <w:b/>
                <w:i w:val="0"/>
                <w:sz w:val="19"/>
              </w:rPr>
              <w:t>Contribution</w:t>
            </w:r>
          </w:p>
        </w:tc>
      </w:tr>
      <w:tr>
        <w:tc>
          <w:tcPr>
            <w:tcW w:type="dxa" w:w="1685"/>
          </w:tcPr>
          <w:p>
            <w:pPr>
              <w:spacing w:before="40" w:after="40" w:line="240" w:lineRule="auto"/>
            </w:pPr>
            <w:r/>
            <w:r>
              <w:rPr>
                <w:rFonts w:ascii="Calibri" w:hAnsi="Calibri"/>
                <w:b w:val="0"/>
                <w:i w:val="0"/>
                <w:sz w:val="19"/>
              </w:rPr>
              <w:t>County conservation district</w:t>
            </w:r>
          </w:p>
        </w:tc>
        <w:tc>
          <w:tcPr>
            <w:tcW w:type="dxa" w:w="3744"/>
          </w:tcPr>
          <w:p>
            <w:pPr>
              <w:spacing w:before="40" w:after="40" w:line="240" w:lineRule="auto"/>
            </w:pPr>
            <w:r/>
            <w:r>
              <w:rPr>
                <w:rFonts w:ascii="Calibri" w:hAnsi="Calibri"/>
                <w:b w:val="0"/>
                <w:i w:val="0"/>
                <w:sz w:val="19"/>
              </w:rPr>
              <w:t>Crossing design and specification, construction inspection, E&amp;S plan approval, annual site inspection years 2 through 5</w:t>
            </w:r>
          </w:p>
        </w:tc>
        <w:tc>
          <w:tcPr>
            <w:tcW w:type="dxa" w:w="1778"/>
          </w:tcPr>
          <w:p>
            <w:pPr>
              <w:spacing w:before="40" w:after="40" w:line="240" w:lineRule="auto"/>
            </w:pPr>
            <w:r/>
            <w:r>
              <w:rPr>
                <w:rFonts w:ascii="Calibri" w:hAnsi="Calibri"/>
                <w:b w:val="0"/>
                <w:i w:val="0"/>
                <w:sz w:val="19"/>
              </w:rPr>
              <w:t>Signed memorandum of understanding</w:t>
            </w:r>
          </w:p>
        </w:tc>
        <w:tc>
          <w:tcPr>
            <w:tcW w:type="dxa" w:w="2153"/>
          </w:tcPr>
          <w:p>
            <w:pPr>
              <w:spacing w:before="40" w:after="40" w:line="240" w:lineRule="auto"/>
            </w:pPr>
            <w:r/>
            <w:r>
              <w:rPr>
                <w:rFonts w:ascii="Calibri" w:hAnsi="Calibri"/>
                <w:b w:val="0"/>
                <w:i w:val="0"/>
                <w:sz w:val="19"/>
              </w:rPr>
              <w:t>$6,500 in-kind technical assistance</w:t>
            </w:r>
          </w:p>
        </w:tc>
      </w:tr>
      <w:tr>
        <w:tc>
          <w:tcPr>
            <w:tcW w:type="dxa" w:w="1685"/>
          </w:tcPr>
          <w:p>
            <w:pPr>
              <w:spacing w:before="40" w:after="40" w:line="240" w:lineRule="auto"/>
            </w:pPr>
            <w:r/>
            <w:r>
              <w:rPr>
                <w:rFonts w:ascii="Calibri" w:hAnsi="Calibri"/>
                <w:b w:val="0"/>
                <w:i w:val="0"/>
                <w:sz w:val="19"/>
              </w:rPr>
              <w:t>Regional land trust</w:t>
            </w:r>
          </w:p>
        </w:tc>
        <w:tc>
          <w:tcPr>
            <w:tcW w:type="dxa" w:w="3744"/>
          </w:tcPr>
          <w:p>
            <w:pPr>
              <w:spacing w:before="40" w:after="40" w:line="240" w:lineRule="auto"/>
            </w:pPr>
            <w:r/>
            <w:r>
              <w:rPr>
                <w:rFonts w:ascii="Calibri" w:hAnsi="Calibri"/>
                <w:b w:val="0"/>
                <w:i w:val="0"/>
                <w:sz w:val="19"/>
              </w:rPr>
              <w:t>Easement conversion conversations with Parcel A and Parcel B landowners; holds monitoring responsibility on Parcel C</w:t>
            </w:r>
          </w:p>
        </w:tc>
        <w:tc>
          <w:tcPr>
            <w:tcW w:type="dxa" w:w="1778"/>
          </w:tcPr>
          <w:p>
            <w:pPr>
              <w:spacing w:before="40" w:after="40" w:line="240" w:lineRule="auto"/>
            </w:pPr>
            <w:r/>
            <w:r>
              <w:rPr>
                <w:rFonts w:ascii="Calibri" w:hAnsi="Calibri"/>
                <w:b w:val="0"/>
                <w:i w:val="0"/>
                <w:sz w:val="19"/>
              </w:rPr>
              <w:t>Letter of commitment</w:t>
            </w:r>
          </w:p>
        </w:tc>
        <w:tc>
          <w:tcPr>
            <w:tcW w:type="dxa" w:w="2153"/>
          </w:tcPr>
          <w:p>
            <w:pPr>
              <w:spacing w:before="40" w:after="40" w:line="240" w:lineRule="auto"/>
            </w:pPr>
            <w:r/>
            <w:r>
              <w:rPr>
                <w:rFonts w:ascii="Calibri" w:hAnsi="Calibri"/>
                <w:b w:val="0"/>
                <w:i w:val="0"/>
                <w:sz w:val="19"/>
              </w:rPr>
              <w:t>Staff time, not valued</w:t>
            </w:r>
          </w:p>
        </w:tc>
      </w:tr>
      <w:tr>
        <w:tc>
          <w:tcPr>
            <w:tcW w:type="dxa" w:w="1685"/>
          </w:tcPr>
          <w:p>
            <w:pPr>
              <w:spacing w:before="40" w:after="40" w:line="240" w:lineRule="auto"/>
            </w:pPr>
            <w:r/>
            <w:r>
              <w:rPr>
                <w:rFonts w:ascii="Calibri" w:hAnsi="Calibri"/>
                <w:b w:val="0"/>
                <w:i w:val="0"/>
                <w:sz w:val="19"/>
              </w:rPr>
              <w:t>USDA NRCS field office</w:t>
            </w:r>
          </w:p>
        </w:tc>
        <w:tc>
          <w:tcPr>
            <w:tcW w:type="dxa" w:w="3744"/>
          </w:tcPr>
          <w:p>
            <w:pPr>
              <w:spacing w:before="40" w:after="40" w:line="240" w:lineRule="auto"/>
            </w:pPr>
            <w:r/>
            <w:r>
              <w:rPr>
                <w:rFonts w:ascii="Calibri" w:hAnsi="Calibri"/>
                <w:b w:val="0"/>
                <w:i w:val="0"/>
                <w:sz w:val="19"/>
              </w:rPr>
              <w:t>Technical assistance and EQIP application support for the two agricultural operations</w:t>
            </w:r>
          </w:p>
        </w:tc>
        <w:tc>
          <w:tcPr>
            <w:tcW w:type="dxa" w:w="1778"/>
          </w:tcPr>
          <w:p>
            <w:pPr>
              <w:spacing w:before="40" w:after="40" w:line="240" w:lineRule="auto"/>
            </w:pPr>
            <w:r/>
            <w:r>
              <w:rPr>
                <w:rFonts w:ascii="Calibri" w:hAnsi="Calibri"/>
                <w:b w:val="0"/>
                <w:i w:val="0"/>
                <w:sz w:val="19"/>
              </w:rPr>
              <w:t>Letter of support</w:t>
            </w:r>
          </w:p>
        </w:tc>
        <w:tc>
          <w:tcPr>
            <w:tcW w:type="dxa" w:w="2153"/>
          </w:tcPr>
          <w:p>
            <w:pPr>
              <w:spacing w:before="40" w:after="40" w:line="240" w:lineRule="auto"/>
            </w:pPr>
            <w:r/>
            <w:r>
              <w:rPr>
                <w:rFonts w:ascii="Calibri" w:hAnsi="Calibri"/>
                <w:b w:val="0"/>
                <w:i w:val="0"/>
                <w:sz w:val="19"/>
              </w:rPr>
              <w:t>$18,000 anticipated cost-share, pending</w:t>
            </w:r>
          </w:p>
        </w:tc>
      </w:tr>
      <w:tr>
        <w:tc>
          <w:tcPr>
            <w:tcW w:type="dxa" w:w="1685"/>
          </w:tcPr>
          <w:p>
            <w:pPr>
              <w:spacing w:before="40" w:after="40" w:line="240" w:lineRule="auto"/>
            </w:pPr>
            <w:r/>
            <w:r>
              <w:rPr>
                <w:rFonts w:ascii="Calibri" w:hAnsi="Calibri"/>
                <w:b w:val="0"/>
                <w:i w:val="0"/>
                <w:sz w:val="19"/>
              </w:rPr>
              <w:t>State volunteer stream monitoring program</w:t>
            </w:r>
          </w:p>
        </w:tc>
        <w:tc>
          <w:tcPr>
            <w:tcW w:type="dxa" w:w="3744"/>
          </w:tcPr>
          <w:p>
            <w:pPr>
              <w:spacing w:before="40" w:after="40" w:line="240" w:lineRule="auto"/>
            </w:pPr>
            <w:r/>
            <w:r>
              <w:rPr>
                <w:rFonts w:ascii="Calibri" w:hAnsi="Calibri"/>
                <w:b w:val="0"/>
                <w:i w:val="0"/>
                <w:sz w:val="19"/>
              </w:rPr>
              <w:t>Macroinvertebrate protocol training, sampling QA, data acceptance into the state database</w:t>
            </w:r>
          </w:p>
        </w:tc>
        <w:tc>
          <w:tcPr>
            <w:tcW w:type="dxa" w:w="1778"/>
          </w:tcPr>
          <w:p>
            <w:pPr>
              <w:spacing w:before="40" w:after="40" w:line="240" w:lineRule="auto"/>
            </w:pPr>
            <w:r/>
            <w:r>
              <w:rPr>
                <w:rFonts w:ascii="Calibri" w:hAnsi="Calibri"/>
                <w:b w:val="0"/>
                <w:i w:val="0"/>
                <w:sz w:val="19"/>
              </w:rPr>
              <w:t>Letter of commitment</w:t>
            </w:r>
          </w:p>
        </w:tc>
        <w:tc>
          <w:tcPr>
            <w:tcW w:type="dxa" w:w="2153"/>
          </w:tcPr>
          <w:p>
            <w:pPr>
              <w:spacing w:before="40" w:after="40" w:line="240" w:lineRule="auto"/>
            </w:pPr>
            <w:r/>
            <w:r>
              <w:rPr>
                <w:rFonts w:ascii="Calibri" w:hAnsi="Calibri"/>
                <w:b w:val="0"/>
                <w:i w:val="0"/>
                <w:sz w:val="19"/>
              </w:rPr>
              <w:t>Training and QA, not valued</w:t>
            </w:r>
          </w:p>
        </w:tc>
      </w:tr>
      <w:tr>
        <w:tc>
          <w:tcPr>
            <w:tcW w:type="dxa" w:w="1685"/>
          </w:tcPr>
          <w:p>
            <w:pPr>
              <w:spacing w:before="40" w:after="40" w:line="240" w:lineRule="auto"/>
            </w:pPr>
            <w:r/>
            <w:r>
              <w:rPr>
                <w:rFonts w:ascii="Calibri" w:hAnsi="Calibri"/>
                <w:b w:val="0"/>
                <w:i w:val="0"/>
                <w:sz w:val="19"/>
              </w:rPr>
              <w:t>Certified environmental laboratory</w:t>
            </w:r>
          </w:p>
        </w:tc>
        <w:tc>
          <w:tcPr>
            <w:tcW w:type="dxa" w:w="3744"/>
          </w:tcPr>
          <w:p>
            <w:pPr>
              <w:spacing w:before="40" w:after="40" w:line="240" w:lineRule="auto"/>
            </w:pPr>
            <w:r/>
            <w:r>
              <w:rPr>
                <w:rFonts w:ascii="Calibri" w:hAnsi="Calibri"/>
                <w:b w:val="0"/>
                <w:i w:val="0"/>
                <w:sz w:val="19"/>
              </w:rPr>
              <w:t>Analysis of 24 sample suites with chain of custody</w:t>
            </w:r>
          </w:p>
        </w:tc>
        <w:tc>
          <w:tcPr>
            <w:tcW w:type="dxa" w:w="1778"/>
          </w:tcPr>
          <w:p>
            <w:pPr>
              <w:spacing w:before="40" w:after="40" w:line="240" w:lineRule="auto"/>
            </w:pPr>
            <w:r/>
            <w:r>
              <w:rPr>
                <w:rFonts w:ascii="Calibri" w:hAnsi="Calibri"/>
                <w:b w:val="0"/>
                <w:i w:val="0"/>
                <w:sz w:val="19"/>
              </w:rPr>
              <w:t>Written quote, attached</w:t>
            </w:r>
          </w:p>
        </w:tc>
        <w:tc>
          <w:tcPr>
            <w:tcW w:type="dxa" w:w="2153"/>
          </w:tcPr>
          <w:p>
            <w:pPr>
              <w:spacing w:before="40" w:after="40" w:line="240" w:lineRule="auto"/>
            </w:pPr>
            <w:r/>
            <w:r>
              <w:rPr>
                <w:rFonts w:ascii="Calibri" w:hAnsi="Calibri"/>
                <w:b w:val="0"/>
                <w:i w:val="0"/>
                <w:sz w:val="19"/>
              </w:rPr>
              <w:t>Paid contractor, $4,320</w:t>
            </w:r>
          </w:p>
        </w:tc>
      </w:tr>
      <w:tr>
        <w:tc>
          <w:tcPr>
            <w:tcW w:type="dxa" w:w="1685"/>
          </w:tcPr>
          <w:p>
            <w:pPr>
              <w:spacing w:before="40" w:after="40" w:line="240" w:lineRule="auto"/>
            </w:pPr>
            <w:r/>
            <w:r>
              <w:rPr>
                <w:rFonts w:ascii="Calibri" w:hAnsi="Calibri"/>
                <w:b w:val="0"/>
                <w:i w:val="0"/>
                <w:sz w:val="19"/>
              </w:rPr>
              <w:t>Local watershed association</w:t>
            </w:r>
          </w:p>
        </w:tc>
        <w:tc>
          <w:tcPr>
            <w:tcW w:type="dxa" w:w="3744"/>
          </w:tcPr>
          <w:p>
            <w:pPr>
              <w:spacing w:before="40" w:after="40" w:line="240" w:lineRule="auto"/>
            </w:pPr>
            <w:r/>
            <w:r>
              <w:rPr>
                <w:rFonts w:ascii="Calibri" w:hAnsi="Calibri"/>
                <w:b w:val="0"/>
                <w:i w:val="0"/>
                <w:sz w:val="19"/>
              </w:rPr>
              <w:t>Volunteer recruitment and supervision for four planting days</w:t>
            </w:r>
          </w:p>
        </w:tc>
        <w:tc>
          <w:tcPr>
            <w:tcW w:type="dxa" w:w="1778"/>
          </w:tcPr>
          <w:p>
            <w:pPr>
              <w:spacing w:before="40" w:after="40" w:line="240" w:lineRule="auto"/>
            </w:pPr>
            <w:r/>
            <w:r>
              <w:rPr>
                <w:rFonts w:ascii="Calibri" w:hAnsi="Calibri"/>
                <w:b w:val="0"/>
                <w:i w:val="0"/>
                <w:sz w:val="19"/>
              </w:rPr>
              <w:t>Letter of commitment</w:t>
            </w:r>
          </w:p>
        </w:tc>
        <w:tc>
          <w:tcPr>
            <w:tcW w:type="dxa" w:w="2153"/>
          </w:tcPr>
          <w:p>
            <w:pPr>
              <w:spacing w:before="40" w:after="40" w:line="240" w:lineRule="auto"/>
            </w:pPr>
            <w:r/>
            <w:r>
              <w:rPr>
                <w:rFonts w:ascii="Calibri" w:hAnsi="Calibri"/>
                <w:b w:val="0"/>
                <w:i w:val="0"/>
                <w:sz w:val="19"/>
              </w:rPr>
              <w:t>Included in 640 volunteer hours</w:t>
            </w:r>
          </w:p>
        </w:tc>
      </w:tr>
    </w:tbl>
    <w:p>
      <w:pPr>
        <w:pStyle w:val="Heading1"/>
      </w:pPr>
      <w:r>
        <w:t>15. Risks and Mitigation</w:t>
      </w:r>
    </w:p>
    <w:p>
      <w:r>
        <w:t>Naming the risks a reviewer will think of anyway, and pairing each with a mitigation already in the budget or the schedule, is more persuasive than a proposal that reads as though nothing can go wrong.</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246"/>
            <w:shd w:val="clear" w:color="auto" w:fill="DDE8E2"/>
          </w:tcPr>
          <w:p>
            <w:pPr>
              <w:spacing w:before="40" w:after="40" w:line="240" w:lineRule="auto"/>
            </w:pPr>
            <w:r/>
            <w:r>
              <w:rPr>
                <w:rFonts w:ascii="Calibri" w:hAnsi="Calibri"/>
                <w:b/>
                <w:i w:val="0"/>
                <w:sz w:val="19"/>
              </w:rPr>
              <w:t>Risk</w:t>
            </w:r>
          </w:p>
        </w:tc>
        <w:tc>
          <w:tcPr>
            <w:tcW w:type="dxa" w:w="1123"/>
            <w:shd w:val="clear" w:color="auto" w:fill="DDE8E2"/>
          </w:tcPr>
          <w:p>
            <w:pPr>
              <w:spacing w:before="40" w:after="40" w:line="240" w:lineRule="auto"/>
            </w:pPr>
            <w:r/>
            <w:r>
              <w:rPr>
                <w:rFonts w:ascii="Calibri" w:hAnsi="Calibri"/>
                <w:b/>
                <w:i w:val="0"/>
                <w:sz w:val="19"/>
              </w:rPr>
              <w:t>Likelihood</w:t>
            </w:r>
          </w:p>
        </w:tc>
        <w:tc>
          <w:tcPr>
            <w:tcW w:type="dxa" w:w="2434"/>
            <w:shd w:val="clear" w:color="auto" w:fill="DDE8E2"/>
          </w:tcPr>
          <w:p>
            <w:pPr>
              <w:spacing w:before="40" w:after="40" w:line="240" w:lineRule="auto"/>
            </w:pPr>
            <w:r/>
            <w:r>
              <w:rPr>
                <w:rFonts w:ascii="Calibri" w:hAnsi="Calibri"/>
                <w:b/>
                <w:i w:val="0"/>
                <w:sz w:val="19"/>
              </w:rPr>
              <w:t>Consequence if unmitigated</w:t>
            </w:r>
          </w:p>
        </w:tc>
        <w:tc>
          <w:tcPr>
            <w:tcW w:type="dxa" w:w="3557"/>
            <w:shd w:val="clear" w:color="auto" w:fill="DDE8E2"/>
          </w:tcPr>
          <w:p>
            <w:pPr>
              <w:spacing w:before="40" w:after="40" w:line="240" w:lineRule="auto"/>
            </w:pPr>
            <w:r/>
            <w:r>
              <w:rPr>
                <w:rFonts w:ascii="Calibri" w:hAnsi="Calibri"/>
                <w:b/>
                <w:i w:val="0"/>
                <w:sz w:val="19"/>
              </w:rPr>
              <w:t>Mitigation</w:t>
            </w:r>
          </w:p>
        </w:tc>
      </w:tr>
      <w:tr>
        <w:tc>
          <w:tcPr>
            <w:tcW w:type="dxa" w:w="2246"/>
          </w:tcPr>
          <w:p>
            <w:pPr>
              <w:spacing w:before="40" w:after="40" w:line="240" w:lineRule="auto"/>
            </w:pPr>
            <w:r/>
            <w:r>
              <w:rPr>
                <w:rFonts w:ascii="Calibri" w:hAnsi="Calibri"/>
                <w:b w:val="0"/>
                <w:i w:val="0"/>
                <w:sz w:val="19"/>
              </w:rPr>
              <w:t>Drought during the first establishment summer</w:t>
            </w:r>
          </w:p>
        </w:tc>
        <w:tc>
          <w:tcPr>
            <w:tcW w:type="dxa" w:w="1123"/>
          </w:tcPr>
          <w:p>
            <w:pPr>
              <w:spacing w:before="40" w:after="40" w:line="240" w:lineRule="auto"/>
            </w:pPr>
            <w:r/>
            <w:r>
              <w:rPr>
                <w:rFonts w:ascii="Calibri" w:hAnsi="Calibri"/>
                <w:b w:val="0"/>
                <w:i w:val="0"/>
                <w:sz w:val="19"/>
              </w:rPr>
              <w:t>Moderate</w:t>
            </w:r>
          </w:p>
        </w:tc>
        <w:tc>
          <w:tcPr>
            <w:tcW w:type="dxa" w:w="2434"/>
          </w:tcPr>
          <w:p>
            <w:pPr>
              <w:spacing w:before="40" w:after="40" w:line="240" w:lineRule="auto"/>
            </w:pPr>
            <w:r/>
            <w:r>
              <w:rPr>
                <w:rFonts w:ascii="Calibri" w:hAnsi="Calibri"/>
                <w:b w:val="0"/>
                <w:i w:val="0"/>
                <w:sz w:val="19"/>
              </w:rPr>
              <w:t>Survival falls below the 80 percent commitment</w:t>
            </w:r>
          </w:p>
        </w:tc>
        <w:tc>
          <w:tcPr>
            <w:tcW w:type="dxa" w:w="3557"/>
          </w:tcPr>
          <w:p>
            <w:pPr>
              <w:spacing w:before="40" w:after="40" w:line="240" w:lineRule="auto"/>
            </w:pPr>
            <w:r/>
            <w:r>
              <w:rPr>
                <w:rFonts w:ascii="Calibri" w:hAnsi="Calibri"/>
                <w:b w:val="0"/>
                <w:i w:val="0"/>
                <w:sz w:val="19"/>
              </w:rPr>
              <w:t>Field technician watering budgeted at 0.2 FTE; 400 replacement stems in the establishment line; drought-tolerant species weighted into Zone 3</w:t>
            </w:r>
          </w:p>
        </w:tc>
      </w:tr>
      <w:tr>
        <w:tc>
          <w:tcPr>
            <w:tcW w:type="dxa" w:w="2246"/>
          </w:tcPr>
          <w:p>
            <w:pPr>
              <w:spacing w:before="40" w:after="40" w:line="240" w:lineRule="auto"/>
            </w:pPr>
            <w:r/>
            <w:r>
              <w:rPr>
                <w:rFonts w:ascii="Calibri" w:hAnsi="Calibri"/>
                <w:b w:val="0"/>
                <w:i w:val="0"/>
                <w:sz w:val="19"/>
              </w:rPr>
              <w:t>Deer browse</w:t>
            </w:r>
          </w:p>
        </w:tc>
        <w:tc>
          <w:tcPr>
            <w:tcW w:type="dxa" w:w="1123"/>
          </w:tcPr>
          <w:p>
            <w:pPr>
              <w:spacing w:before="40" w:after="40" w:line="240" w:lineRule="auto"/>
            </w:pPr>
            <w:r/>
            <w:r>
              <w:rPr>
                <w:rFonts w:ascii="Calibri" w:hAnsi="Calibri"/>
                <w:b w:val="0"/>
                <w:i w:val="0"/>
                <w:sz w:val="19"/>
              </w:rPr>
              <w:t>High</w:t>
            </w:r>
          </w:p>
        </w:tc>
        <w:tc>
          <w:tcPr>
            <w:tcW w:type="dxa" w:w="2434"/>
          </w:tcPr>
          <w:p>
            <w:pPr>
              <w:spacing w:before="40" w:after="40" w:line="240" w:lineRule="auto"/>
            </w:pPr>
            <w:r/>
            <w:r>
              <w:rPr>
                <w:rFonts w:ascii="Calibri" w:hAnsi="Calibri"/>
                <w:b w:val="0"/>
                <w:i w:val="0"/>
                <w:sz w:val="19"/>
              </w:rPr>
              <w:t>Leader damage and stem loss on unprotected trees</w:t>
            </w:r>
          </w:p>
        </w:tc>
        <w:tc>
          <w:tcPr>
            <w:tcW w:type="dxa" w:w="3557"/>
          </w:tcPr>
          <w:p>
            <w:pPr>
              <w:spacing w:before="40" w:after="40" w:line="240" w:lineRule="auto"/>
            </w:pPr>
            <w:r/>
            <w:r>
              <w:rPr>
                <w:rFonts w:ascii="Calibri" w:hAnsi="Calibri"/>
                <w:b w:val="0"/>
                <w:i w:val="0"/>
                <w:sz w:val="19"/>
              </w:rPr>
              <w:t>Five-foot shelters on all 2,600 tree stems; shrubs planted in dense clusters; browse noted at every site visit</w:t>
            </w:r>
          </w:p>
        </w:tc>
      </w:tr>
      <w:tr>
        <w:tc>
          <w:tcPr>
            <w:tcW w:type="dxa" w:w="2246"/>
          </w:tcPr>
          <w:p>
            <w:pPr>
              <w:spacing w:before="40" w:after="40" w:line="240" w:lineRule="auto"/>
            </w:pPr>
            <w:r/>
            <w:r>
              <w:rPr>
                <w:rFonts w:ascii="Calibri" w:hAnsi="Calibri"/>
                <w:b w:val="0"/>
                <w:i w:val="0"/>
                <w:sz w:val="19"/>
              </w:rPr>
              <w:t>Flood scour on Zone 1 plantings</w:t>
            </w:r>
          </w:p>
        </w:tc>
        <w:tc>
          <w:tcPr>
            <w:tcW w:type="dxa" w:w="1123"/>
          </w:tcPr>
          <w:p>
            <w:pPr>
              <w:spacing w:before="40" w:after="40" w:line="240" w:lineRule="auto"/>
            </w:pPr>
            <w:r/>
            <w:r>
              <w:rPr>
                <w:rFonts w:ascii="Calibri" w:hAnsi="Calibri"/>
                <w:b w:val="0"/>
                <w:i w:val="0"/>
                <w:sz w:val="19"/>
              </w:rPr>
              <w:t>Moderate</w:t>
            </w:r>
          </w:p>
        </w:tc>
        <w:tc>
          <w:tcPr>
            <w:tcW w:type="dxa" w:w="2434"/>
          </w:tcPr>
          <w:p>
            <w:pPr>
              <w:spacing w:before="40" w:after="40" w:line="240" w:lineRule="auto"/>
            </w:pPr>
            <w:r/>
            <w:r>
              <w:rPr>
                <w:rFonts w:ascii="Calibri" w:hAnsi="Calibri"/>
                <w:b w:val="0"/>
                <w:i w:val="0"/>
                <w:sz w:val="19"/>
              </w:rPr>
              <w:t>Loss of streamside stems in a high-flow event</w:t>
            </w:r>
          </w:p>
        </w:tc>
        <w:tc>
          <w:tcPr>
            <w:tcW w:type="dxa" w:w="3557"/>
          </w:tcPr>
          <w:p>
            <w:pPr>
              <w:spacing w:before="40" w:after="40" w:line="240" w:lineRule="auto"/>
            </w:pPr>
            <w:r/>
            <w:r>
              <w:rPr>
                <w:rFonts w:ascii="Calibri" w:hAnsi="Calibri"/>
                <w:b w:val="0"/>
                <w:i w:val="0"/>
                <w:sz w:val="19"/>
              </w:rPr>
              <w:t>Zone 1 stocked with flood-tolerant willow and dogwood; plantings set back from active scour lines identified in the April survey; replacement stock budgeted</w:t>
            </w:r>
          </w:p>
        </w:tc>
      </w:tr>
      <w:tr>
        <w:tc>
          <w:tcPr>
            <w:tcW w:type="dxa" w:w="2246"/>
          </w:tcPr>
          <w:p>
            <w:pPr>
              <w:spacing w:before="40" w:after="40" w:line="240" w:lineRule="auto"/>
            </w:pPr>
            <w:r/>
            <w:r>
              <w:rPr>
                <w:rFonts w:ascii="Calibri" w:hAnsi="Calibri"/>
                <w:b w:val="0"/>
                <w:i w:val="0"/>
                <w:sz w:val="19"/>
              </w:rPr>
              <w:t>Section 404 or state permit decision delay</w:t>
            </w:r>
          </w:p>
        </w:tc>
        <w:tc>
          <w:tcPr>
            <w:tcW w:type="dxa" w:w="1123"/>
          </w:tcPr>
          <w:p>
            <w:pPr>
              <w:spacing w:before="40" w:after="40" w:line="240" w:lineRule="auto"/>
            </w:pPr>
            <w:r/>
            <w:r>
              <w:rPr>
                <w:rFonts w:ascii="Calibri" w:hAnsi="Calibri"/>
                <w:b w:val="0"/>
                <w:i w:val="0"/>
                <w:sz w:val="19"/>
              </w:rPr>
              <w:t>Moderate</w:t>
            </w:r>
          </w:p>
        </w:tc>
        <w:tc>
          <w:tcPr>
            <w:tcW w:type="dxa" w:w="2434"/>
          </w:tcPr>
          <w:p>
            <w:pPr>
              <w:spacing w:before="40" w:after="40" w:line="240" w:lineRule="auto"/>
            </w:pPr>
            <w:r/>
            <w:r>
              <w:rPr>
                <w:rFonts w:ascii="Calibri" w:hAnsi="Calibri"/>
                <w:b w:val="0"/>
                <w:i w:val="0"/>
                <w:sz w:val="19"/>
              </w:rPr>
              <w:t>Crossings slip past the construction window</w:t>
            </w:r>
          </w:p>
        </w:tc>
        <w:tc>
          <w:tcPr>
            <w:tcW w:type="dxa" w:w="3557"/>
          </w:tcPr>
          <w:p>
            <w:pPr>
              <w:spacing w:before="40" w:after="40" w:line="240" w:lineRule="auto"/>
            </w:pPr>
            <w:r/>
            <w:r>
              <w:rPr>
                <w:rFonts w:ascii="Calibri" w:hAnsi="Calibri"/>
                <w:b w:val="0"/>
                <w:i w:val="0"/>
                <w:sz w:val="19"/>
              </w:rPr>
              <w:t>Fencing and planting sequenced to proceed independently; crossings can shift to project months 13 through 15; crossing quote held firm 18 months</w:t>
            </w:r>
          </w:p>
        </w:tc>
      </w:tr>
      <w:tr>
        <w:tc>
          <w:tcPr>
            <w:tcW w:type="dxa" w:w="2246"/>
          </w:tcPr>
          <w:p>
            <w:pPr>
              <w:spacing w:before="40" w:after="40" w:line="240" w:lineRule="auto"/>
            </w:pPr>
            <w:r/>
            <w:r>
              <w:rPr>
                <w:rFonts w:ascii="Calibri" w:hAnsi="Calibri"/>
                <w:b w:val="0"/>
                <w:i w:val="0"/>
                <w:sz w:val="19"/>
              </w:rPr>
              <w:t>Parcel E agreement is not executed</w:t>
            </w:r>
          </w:p>
        </w:tc>
        <w:tc>
          <w:tcPr>
            <w:tcW w:type="dxa" w:w="1123"/>
          </w:tcPr>
          <w:p>
            <w:pPr>
              <w:spacing w:before="40" w:after="40" w:line="240" w:lineRule="auto"/>
            </w:pPr>
            <w:r/>
            <w:r>
              <w:rPr>
                <w:rFonts w:ascii="Calibri" w:hAnsi="Calibri"/>
                <w:b w:val="0"/>
                <w:i w:val="0"/>
                <w:sz w:val="19"/>
              </w:rPr>
              <w:t>Low</w:t>
            </w:r>
          </w:p>
        </w:tc>
        <w:tc>
          <w:tcPr>
            <w:tcW w:type="dxa" w:w="2434"/>
          </w:tcPr>
          <w:p>
            <w:pPr>
              <w:spacing w:before="40" w:after="40" w:line="240" w:lineRule="auto"/>
            </w:pPr>
            <w:r/>
            <w:r>
              <w:rPr>
                <w:rFonts w:ascii="Calibri" w:hAnsi="Calibri"/>
                <w:b w:val="0"/>
                <w:i w:val="0"/>
                <w:sz w:val="19"/>
              </w:rPr>
              <w:t>1,050 linear feet and 500 stems drop from scope</w:t>
            </w:r>
          </w:p>
        </w:tc>
        <w:tc>
          <w:tcPr>
            <w:tcW w:type="dxa" w:w="3557"/>
          </w:tcPr>
          <w:p>
            <w:pPr>
              <w:spacing w:before="40" w:after="40" w:line="240" w:lineRule="auto"/>
            </w:pPr>
            <w:r/>
            <w:r>
              <w:rPr>
                <w:rFonts w:ascii="Calibri" w:hAnsi="Calibri"/>
                <w:b w:val="0"/>
                <w:i w:val="0"/>
                <w:sz w:val="19"/>
              </w:rPr>
              <w:t>Parcel E scope and $6,800 held in reserve until signature; if it fails, funds are redirected to additional acreage on Parcel C with written funder approval</w:t>
            </w:r>
          </w:p>
        </w:tc>
      </w:tr>
      <w:tr>
        <w:tc>
          <w:tcPr>
            <w:tcW w:type="dxa" w:w="2246"/>
          </w:tcPr>
          <w:p>
            <w:pPr>
              <w:spacing w:before="40" w:after="40" w:line="240" w:lineRule="auto"/>
            </w:pPr>
            <w:r/>
            <w:r>
              <w:rPr>
                <w:rFonts w:ascii="Calibri" w:hAnsi="Calibri"/>
                <w:b w:val="0"/>
                <w:i w:val="0"/>
                <w:sz w:val="19"/>
              </w:rPr>
              <w:t>Landowner sale or transfer during the term</w:t>
            </w:r>
          </w:p>
        </w:tc>
        <w:tc>
          <w:tcPr>
            <w:tcW w:type="dxa" w:w="1123"/>
          </w:tcPr>
          <w:p>
            <w:pPr>
              <w:spacing w:before="40" w:after="40" w:line="240" w:lineRule="auto"/>
            </w:pPr>
            <w:r/>
            <w:r>
              <w:rPr>
                <w:rFonts w:ascii="Calibri" w:hAnsi="Calibri"/>
                <w:b w:val="0"/>
                <w:i w:val="0"/>
                <w:sz w:val="19"/>
              </w:rPr>
              <w:t>Low in any single year</w:t>
            </w:r>
          </w:p>
        </w:tc>
        <w:tc>
          <w:tcPr>
            <w:tcW w:type="dxa" w:w="2434"/>
          </w:tcPr>
          <w:p>
            <w:pPr>
              <w:spacing w:before="40" w:after="40" w:line="240" w:lineRule="auto"/>
            </w:pPr>
            <w:r/>
            <w:r>
              <w:rPr>
                <w:rFonts w:ascii="Calibri" w:hAnsi="Calibri"/>
                <w:b w:val="0"/>
                <w:i w:val="0"/>
                <w:sz w:val="19"/>
              </w:rPr>
              <w:t>Loss of site control on a parcel</w:t>
            </w:r>
          </w:p>
        </w:tc>
        <w:tc>
          <w:tcPr>
            <w:tcW w:type="dxa" w:w="3557"/>
          </w:tcPr>
          <w:p>
            <w:pPr>
              <w:spacing w:before="40" w:after="40" w:line="240" w:lineRule="auto"/>
            </w:pPr>
            <w:r/>
            <w:r>
              <w:rPr>
                <w:rFonts w:ascii="Calibri" w:hAnsi="Calibri"/>
                <w:b w:val="0"/>
                <w:i w:val="0"/>
                <w:sz w:val="19"/>
              </w:rPr>
              <w:t>Two agreements recorded and running with the land; notice-of-transfer clause on the other three; land trust engaged on easement conversion</w:t>
            </w:r>
          </w:p>
        </w:tc>
      </w:tr>
      <w:tr>
        <w:tc>
          <w:tcPr>
            <w:tcW w:type="dxa" w:w="2246"/>
          </w:tcPr>
          <w:p>
            <w:pPr>
              <w:spacing w:before="40" w:after="40" w:line="240" w:lineRule="auto"/>
            </w:pPr>
            <w:r/>
            <w:r>
              <w:rPr>
                <w:rFonts w:ascii="Calibri" w:hAnsi="Calibri"/>
                <w:b w:val="0"/>
                <w:i w:val="0"/>
                <w:sz w:val="19"/>
              </w:rPr>
              <w:t>Invasive re-infestation from upstream seed source</w:t>
            </w:r>
          </w:p>
        </w:tc>
        <w:tc>
          <w:tcPr>
            <w:tcW w:type="dxa" w:w="1123"/>
          </w:tcPr>
          <w:p>
            <w:pPr>
              <w:spacing w:before="40" w:after="40" w:line="240" w:lineRule="auto"/>
            </w:pPr>
            <w:r/>
            <w:r>
              <w:rPr>
                <w:rFonts w:ascii="Calibri" w:hAnsi="Calibri"/>
                <w:b w:val="0"/>
                <w:i w:val="0"/>
                <w:sz w:val="19"/>
              </w:rPr>
              <w:t>High over five years</w:t>
            </w:r>
          </w:p>
        </w:tc>
        <w:tc>
          <w:tcPr>
            <w:tcW w:type="dxa" w:w="2434"/>
          </w:tcPr>
          <w:p>
            <w:pPr>
              <w:spacing w:before="40" w:after="40" w:line="240" w:lineRule="auto"/>
            </w:pPr>
            <w:r/>
            <w:r>
              <w:rPr>
                <w:rFonts w:ascii="Calibri" w:hAnsi="Calibri"/>
                <w:b w:val="0"/>
                <w:i w:val="0"/>
                <w:sz w:val="19"/>
              </w:rPr>
              <w:t>Cover creeps back above the 10 percent target</w:t>
            </w:r>
          </w:p>
        </w:tc>
        <w:tc>
          <w:tcPr>
            <w:tcW w:type="dxa" w:w="3557"/>
          </w:tcPr>
          <w:p>
            <w:pPr>
              <w:spacing w:before="40" w:after="40" w:line="240" w:lineRule="auto"/>
            </w:pPr>
            <w:r/>
            <w:r>
              <w:rPr>
                <w:rFonts w:ascii="Calibri" w:hAnsi="Calibri"/>
                <w:b w:val="0"/>
                <w:i w:val="0"/>
                <w:sz w:val="19"/>
              </w:rPr>
              <w:t>Spot treatment funded in stewardship years 2 through 5; upstream landowner outreach already underway through the neighboring association</w:t>
            </w:r>
          </w:p>
        </w:tc>
      </w:tr>
      <w:tr>
        <w:tc>
          <w:tcPr>
            <w:tcW w:type="dxa" w:w="2246"/>
          </w:tcPr>
          <w:p>
            <w:pPr>
              <w:spacing w:before="40" w:after="40" w:line="240" w:lineRule="auto"/>
            </w:pPr>
            <w:r/>
            <w:r>
              <w:rPr>
                <w:rFonts w:ascii="Calibri" w:hAnsi="Calibri"/>
                <w:b w:val="0"/>
                <w:i w:val="0"/>
                <w:sz w:val="19"/>
              </w:rPr>
              <w:t>Contractor availability for the second treatment pass</w:t>
            </w:r>
          </w:p>
        </w:tc>
        <w:tc>
          <w:tcPr>
            <w:tcW w:type="dxa" w:w="1123"/>
          </w:tcPr>
          <w:p>
            <w:pPr>
              <w:spacing w:before="40" w:after="40" w:line="240" w:lineRule="auto"/>
            </w:pPr>
            <w:r/>
            <w:r>
              <w:rPr>
                <w:rFonts w:ascii="Calibri" w:hAnsi="Calibri"/>
                <w:b w:val="0"/>
                <w:i w:val="0"/>
                <w:sz w:val="19"/>
              </w:rPr>
              <w:t>Moderate</w:t>
            </w:r>
          </w:p>
        </w:tc>
        <w:tc>
          <w:tcPr>
            <w:tcW w:type="dxa" w:w="2434"/>
          </w:tcPr>
          <w:p>
            <w:pPr>
              <w:spacing w:before="40" w:after="40" w:line="240" w:lineRule="auto"/>
            </w:pPr>
            <w:r/>
            <w:r>
              <w:rPr>
                <w:rFonts w:ascii="Calibri" w:hAnsi="Calibri"/>
                <w:b w:val="0"/>
                <w:i w:val="0"/>
                <w:sz w:val="19"/>
              </w:rPr>
              <w:t>Pass two slips past the seed-set window</w:t>
            </w:r>
          </w:p>
        </w:tc>
        <w:tc>
          <w:tcPr>
            <w:tcW w:type="dxa" w:w="3557"/>
          </w:tcPr>
          <w:p>
            <w:pPr>
              <w:spacing w:before="40" w:after="40" w:line="240" w:lineRule="auto"/>
            </w:pPr>
            <w:r/>
            <w:r>
              <w:rPr>
                <w:rFonts w:ascii="Calibri" w:hAnsi="Calibri"/>
                <w:b w:val="0"/>
                <w:i w:val="0"/>
                <w:sz w:val="19"/>
              </w:rPr>
              <w:t>Two additional quotes held; Alliance holds an in-house certified applicator who can cover 3 of the 9 acres if needed</w:t>
            </w:r>
          </w:p>
        </w:tc>
      </w:tr>
    </w:tbl>
    <w:p>
      <w:pPr>
        <w:pStyle w:val="Heading1"/>
      </w:pPr>
      <w:r>
        <w:t>16. Organizational Sustainability and Future Funding</w:t>
      </w:r>
    </w:p>
    <w:p>
      <w:r>
        <w:t>The physical work funded here is designed to become self-sustaining. A closed-canopy riparian buffer at year eight needs inspection and occasional spot treatment, not annual investment. The costs that persist past year five are inspection visits and the occasional fence repair, both of which sit inside the Alliance's existing operating budget and the landowner agreements.</w:t>
      </w:r>
    </w:p>
    <w:p>
      <w:r>
        <w:t>The organizational capacity funded here persists too. The Restoration Program Manager position is supported across three concurrent awards and a state restoration contract, so this grant funds a share of an established role rather than creating a position that disappears at closeout. The seasonal field technician role is rehired each year across the Alliance's project portfolio.</w:t>
      </w:r>
    </w:p>
    <w:p>
      <w:r>
        <w:t>For the next phase, the Alliance is pursuing three sources: continued EQIP and state agricultural cost-share for practices on working land, a state watershed restoration program that funds implementation in listed watersheds, and the easement conversion work with the regional land trust, which would move two parcels from a 15-year agreement to permanent protection. The stewardship reserve is board-designated and replenished annually from unrestricted revenue, which is the piece that does not depend on the next grant landing.</w:t>
      </w:r>
    </w:p>
    <w:p>
      <w:pPr>
        <w:pStyle w:val="Heading1"/>
      </w:pPr>
      <w:r>
        <w:t>17. Attachments</w:t>
      </w:r>
    </w:p>
    <w:p>
      <w:r>
        <w:t>Conservation reviewers verify claims against attachments more than most funders do, because the claims are physical and checkable. Attach the evidence, and reference the attachment number in the narrative paragraph that makes each claim.</w:t>
      </w:r>
    </w:p>
    <w:p>
      <w:pPr>
        <w:pStyle w:val="ListNumber"/>
      </w:pPr>
      <w:r>
        <w:t>Project location map with the 9,240-foot reach, all five parcel boundaries, and the two crossing locations.</w:t>
      </w:r>
    </w:p>
    <w:p>
      <w:pPr>
        <w:pStyle w:val="ListNumber"/>
      </w:pPr>
      <w:r>
        <w:t>Parcel maps with GPS-surveyed existing buffer, planting zones, fence alignment, and the four water quality station locations.</w:t>
      </w:r>
    </w:p>
    <w:p>
      <w:pPr>
        <w:pStyle w:val="ListNumber"/>
      </w:pPr>
      <w:r>
        <w:t>Executed landowner restoration agreements for Parcels A, B, C, and D, with the Parcel E draft and a status letter.</w:t>
      </w:r>
    </w:p>
    <w:p>
      <w:pPr>
        <w:pStyle w:val="ListNumber"/>
      </w:pPr>
      <w:r>
        <w:t>Section 404 pre-construction notification and the joint state application, with agency receipt confirmations.</w:t>
      </w:r>
    </w:p>
    <w:p>
      <w:pPr>
        <w:pStyle w:val="ListNumber"/>
      </w:pPr>
      <w:r>
        <w:t>Approved erosion and sediment control plan and the county floodplain application.</w:t>
      </w:r>
    </w:p>
    <w:p>
      <w:pPr>
        <w:pStyle w:val="ListNumber"/>
      </w:pPr>
      <w:r>
        <w:t>Native plant species list with zone assignments, stem counts, and the nursery quote.</w:t>
      </w:r>
    </w:p>
    <w:p>
      <w:pPr>
        <w:pStyle w:val="ListNumber"/>
      </w:pPr>
      <w:r>
        <w:t>Three contractor quotes each for invasive treatment, fencing, and crossing construction.</w:t>
      </w:r>
    </w:p>
    <w:p>
      <w:pPr>
        <w:pStyle w:val="ListNumber"/>
      </w:pPr>
      <w:r>
        <w:t>Certified pesticide applicator credential for the treatment contractor, aquatic category.</w:t>
      </w:r>
    </w:p>
    <w:p>
      <w:pPr>
        <w:pStyle w:val="ListNumber"/>
      </w:pPr>
      <w:r>
        <w:t>Signed memorandum of understanding with the county conservation district and letters of commitment from all partners.</w:t>
      </w:r>
    </w:p>
    <w:p>
      <w:pPr>
        <w:pStyle w:val="ListNumber"/>
      </w:pPr>
      <w:r>
        <w:t>Monitoring protocol, including sample plot method, transect method, and the certified laboratory quote.</w:t>
      </w:r>
    </w:p>
    <w:p>
      <w:pPr>
        <w:pStyle w:val="ListNumber"/>
      </w:pPr>
      <w:r>
        <w:t>Five-year stewardship schedule and the board resolution designating the $9,000 stewardship reserve.</w:t>
      </w:r>
    </w:p>
    <w:p>
      <w:pPr>
        <w:pStyle w:val="ListNumber"/>
      </w:pPr>
      <w:r>
        <w:t>Baseline photo point set, 12 points, with GPS coordinates and bearings.</w:t>
      </w:r>
    </w:p>
    <w:p>
      <w:pPr>
        <w:pStyle w:val="ListNumber"/>
      </w:pPr>
      <w:r>
        <w:t>IRS determination letter, most recent Form 990, reviewed financial statements, board roster, and current organizational budget.</w:t>
      </w:r>
    </w:p>
    <w:p>
      <w:pPr>
        <w:pStyle w:val="Heading1"/>
      </w:pPr>
      <w:r>
        <w:t>18. Adapting This Proposal to Your Site</w:t>
      </w:r>
    </w:p>
    <w:p>
      <w:r>
        <w:t>Work in this order. Scope numbers first, because everything downstream is derived from them, then prices, then narrative, then the stewardship plan. Writing the narrative first and retrofitting numbers to it is how proposals end up with a budget that does not match the project description.</w:t>
      </w:r>
    </w:p>
    <w:p>
      <w:pPr>
        <w:pStyle w:val="ListNumber"/>
      </w:pPr>
      <w:r>
        <w:t>Measure the site. Walk the reach with GPS and record linear feet, existing buffer width, eroding bank, and access points. This is your baseline table in Section 4 and it becomes the number your final report is judged against, so measure it properly once.</w:t>
      </w:r>
    </w:p>
    <w:p>
      <w:pPr>
        <w:pStyle w:val="ListNumber"/>
      </w:pPr>
      <w:r>
        <w:t>Set the buffer acreage. Multiply channel linear feet by planted width per side by the number of banks you control, then divide by 43,560. In this example: 9,240 feet times 52 feet times 2 banks equals 960,960 square feet, or 22.06 acres, rounded to 22.0.</w:t>
      </w:r>
    </w:p>
    <w:p>
      <w:pPr>
        <w:pStyle w:val="ListNumber"/>
      </w:pPr>
      <w:r>
        <w:t>Set the stem count from your own planting density. This example uses 200 stems per acre. Multiply acres by density and split the result between trees and shrubs, then confirm the tree count equals the shelter count in your budget.</w:t>
      </w:r>
    </w:p>
    <w:p>
      <w:pPr>
        <w:pStyle w:val="ListNumber"/>
      </w:pPr>
      <w:r>
        <w:t>Build the species list from a regional native plant list or your state forestry agency's recommendations, assigned to zones by flood tolerance. Substitute freely; keep the species count high enough that one bad nursery lot does not take the project.</w:t>
      </w:r>
    </w:p>
    <w:p>
      <w:pPr>
        <w:pStyle w:val="ListNumber"/>
      </w:pPr>
      <w:r>
        <w:t>Get three local quotes for stems, shelters, fencing, contracted treatment, and laboratory work. Every unit price in Section 10 is illustrative and none of them should survive into your submission.</w:t>
      </w:r>
    </w:p>
    <w:p>
      <w:pPr>
        <w:pStyle w:val="ListNumber"/>
      </w:pPr>
      <w:r>
        <w:t>Name your permits. Call the Corps district and your state environmental agency, ask which authorizations your specific practices trigger, and record the answer with a date and the name of the program, not the person.</w:t>
      </w:r>
    </w:p>
    <w:p>
      <w:pPr>
        <w:pStyle w:val="ListNumber"/>
      </w:pPr>
      <w:r>
        <w:t>Name your plan. Find the watershed, county, or regional conservation plan that covers your reach and cite it with a page number. Many conservation programs award points for it, so read the scoring rubric before you write.</w:t>
      </w:r>
    </w:p>
    <w:p>
      <w:pPr>
        <w:pStyle w:val="ListNumber"/>
      </w:pPr>
      <w:r>
        <w:t>Write the stewardship plan before the narrative. The answer to who mows the buffer in year three usually changes what the budget has to cover, and finding that out after the budget is locked is expensive.</w:t>
      </w:r>
    </w:p>
    <w:p>
      <w:pPr>
        <w:pStyle w:val="ListNumber"/>
      </w:pPr>
      <w:r>
        <w:t>Run the reconciliation in Section 19 last, after every other edit, and run it again after any change to scope.</w:t>
      </w:r>
    </w:p>
    <w:p>
      <w:pPr>
        <w:pStyle w:val="Heading2"/>
      </w:pPr>
      <w:r>
        <w:t>Fields to replace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276"/>
            <w:shd w:val="clear" w:color="auto" w:fill="DDE8E2"/>
          </w:tcPr>
          <w:p>
            <w:pPr>
              <w:spacing w:before="40" w:after="40" w:line="240" w:lineRule="auto"/>
            </w:pPr>
            <w:r/>
            <w:r>
              <w:rPr>
                <w:rFonts w:ascii="Calibri" w:hAnsi="Calibri"/>
                <w:b/>
                <w:i w:val="0"/>
                <w:sz w:val="19"/>
              </w:rPr>
              <w:t>What to replace</w:t>
            </w:r>
          </w:p>
        </w:tc>
        <w:tc>
          <w:tcPr>
            <w:tcW w:type="dxa" w:w="2246"/>
            <w:shd w:val="clear" w:color="auto" w:fill="DDE8E2"/>
          </w:tcPr>
          <w:p>
            <w:pPr>
              <w:spacing w:before="40" w:after="40" w:line="240" w:lineRule="auto"/>
            </w:pPr>
            <w:r/>
            <w:r>
              <w:rPr>
                <w:rFonts w:ascii="Calibri" w:hAnsi="Calibri"/>
                <w:b/>
                <w:i w:val="0"/>
                <w:sz w:val="19"/>
              </w:rPr>
              <w:t>Where it appears</w:t>
            </w:r>
          </w:p>
        </w:tc>
        <w:tc>
          <w:tcPr>
            <w:tcW w:type="dxa" w:w="3838"/>
            <w:shd w:val="clear" w:color="auto" w:fill="DDE8E2"/>
          </w:tcPr>
          <w:p>
            <w:pPr>
              <w:spacing w:before="40" w:after="40" w:line="240" w:lineRule="auto"/>
            </w:pPr>
            <w:r/>
            <w:r>
              <w:rPr>
                <w:rFonts w:ascii="Calibri" w:hAnsi="Calibri"/>
                <w:b/>
                <w:i w:val="0"/>
                <w:sz w:val="19"/>
              </w:rPr>
              <w:t>How to source it</w:t>
            </w:r>
          </w:p>
        </w:tc>
      </w:tr>
      <w:tr>
        <w:tc>
          <w:tcPr>
            <w:tcW w:type="dxa" w:w="3276"/>
          </w:tcPr>
          <w:p>
            <w:pPr>
              <w:spacing w:before="40" w:after="40" w:line="240" w:lineRule="auto"/>
            </w:pPr>
            <w:r/>
            <w:r>
              <w:rPr>
                <w:rFonts w:ascii="Calibri" w:hAnsi="Calibri"/>
                <w:b w:val="0"/>
                <w:i w:val="0"/>
                <w:sz w:val="19"/>
              </w:rPr>
              <w:t>Organization name, history, capacity figures, track record</w:t>
            </w:r>
          </w:p>
        </w:tc>
        <w:tc>
          <w:tcPr>
            <w:tcW w:type="dxa" w:w="2246"/>
          </w:tcPr>
          <w:p>
            <w:pPr>
              <w:spacing w:before="40" w:after="40" w:line="240" w:lineRule="auto"/>
            </w:pPr>
            <w:r/>
            <w:r>
              <w:rPr>
                <w:rFonts w:ascii="Calibri" w:hAnsi="Calibri"/>
                <w:b w:val="0"/>
                <w:i w:val="0"/>
                <w:sz w:val="19"/>
              </w:rPr>
              <w:t>Sections 1, 2, 3, throughout</w:t>
            </w:r>
          </w:p>
        </w:tc>
        <w:tc>
          <w:tcPr>
            <w:tcW w:type="dxa" w:w="3838"/>
          </w:tcPr>
          <w:p>
            <w:pPr>
              <w:spacing w:before="40" w:after="40" w:line="240" w:lineRule="auto"/>
            </w:pPr>
            <w:r/>
            <w:r>
              <w:rPr>
                <w:rFonts w:ascii="Calibri" w:hAnsi="Calibri"/>
                <w:b w:val="0"/>
                <w:i w:val="0"/>
                <w:sz w:val="19"/>
              </w:rPr>
              <w:t>Your own records and prior project reports</w:t>
            </w:r>
          </w:p>
        </w:tc>
      </w:tr>
      <w:tr>
        <w:tc>
          <w:tcPr>
            <w:tcW w:type="dxa" w:w="3276"/>
          </w:tcPr>
          <w:p>
            <w:pPr>
              <w:spacing w:before="40" w:after="40" w:line="240" w:lineRule="auto"/>
            </w:pPr>
            <w:r/>
            <w:r>
              <w:rPr>
                <w:rFonts w:ascii="Calibri" w:hAnsi="Calibri"/>
                <w:b w:val="0"/>
                <w:i w:val="0"/>
                <w:sz w:val="19"/>
              </w:rPr>
              <w:t>[Foundation Name] and [Program Name]</w:t>
            </w:r>
          </w:p>
        </w:tc>
        <w:tc>
          <w:tcPr>
            <w:tcW w:type="dxa" w:w="2246"/>
          </w:tcPr>
          <w:p>
            <w:pPr>
              <w:spacing w:before="40" w:after="40" w:line="240" w:lineRule="auto"/>
            </w:pPr>
            <w:r/>
            <w:r>
              <w:rPr>
                <w:rFonts w:ascii="Calibri" w:hAnsi="Calibri"/>
                <w:b w:val="0"/>
                <w:i w:val="0"/>
                <w:sz w:val="19"/>
              </w:rPr>
              <w:t>Sections 1, 11, 12</w:t>
            </w:r>
          </w:p>
        </w:tc>
        <w:tc>
          <w:tcPr>
            <w:tcW w:type="dxa" w:w="3838"/>
          </w:tcPr>
          <w:p>
            <w:pPr>
              <w:spacing w:before="40" w:after="40" w:line="240" w:lineRule="auto"/>
            </w:pPr>
            <w:r/>
            <w:r>
              <w:rPr>
                <w:rFonts w:ascii="Calibri" w:hAnsi="Calibri"/>
                <w:b w:val="0"/>
                <w:i w:val="0"/>
                <w:sz w:val="19"/>
              </w:rPr>
              <w:t>The funder's guidelines and program page</w:t>
            </w:r>
          </w:p>
        </w:tc>
      </w:tr>
      <w:tr>
        <w:tc>
          <w:tcPr>
            <w:tcW w:type="dxa" w:w="3276"/>
          </w:tcPr>
          <w:p>
            <w:pPr>
              <w:spacing w:before="40" w:after="40" w:line="240" w:lineRule="auto"/>
            </w:pPr>
            <w:r/>
            <w:r>
              <w:rPr>
                <w:rFonts w:ascii="Calibri" w:hAnsi="Calibri"/>
                <w:b w:val="0"/>
                <w:i w:val="0"/>
                <w:sz w:val="19"/>
              </w:rPr>
              <w:t>Stream name, parcel letters, land use, acreage, linear feet</w:t>
            </w:r>
          </w:p>
        </w:tc>
        <w:tc>
          <w:tcPr>
            <w:tcW w:type="dxa" w:w="2246"/>
          </w:tcPr>
          <w:p>
            <w:pPr>
              <w:spacing w:before="40" w:after="40" w:line="240" w:lineRule="auto"/>
            </w:pPr>
            <w:r/>
            <w:r>
              <w:rPr>
                <w:rFonts w:ascii="Calibri" w:hAnsi="Calibri"/>
                <w:b w:val="0"/>
                <w:i w:val="0"/>
                <w:sz w:val="19"/>
              </w:rPr>
              <w:t>Sections 4, 5, 6</w:t>
            </w:r>
          </w:p>
        </w:tc>
        <w:tc>
          <w:tcPr>
            <w:tcW w:type="dxa" w:w="3838"/>
          </w:tcPr>
          <w:p>
            <w:pPr>
              <w:spacing w:before="40" w:after="40" w:line="240" w:lineRule="auto"/>
            </w:pPr>
            <w:r/>
            <w:r>
              <w:rPr>
                <w:rFonts w:ascii="Calibri" w:hAnsi="Calibri"/>
                <w:b w:val="0"/>
                <w:i w:val="0"/>
                <w:sz w:val="19"/>
              </w:rPr>
              <w:t>GPS field survey plus county parcel records</w:t>
            </w:r>
          </w:p>
        </w:tc>
      </w:tr>
      <w:tr>
        <w:tc>
          <w:tcPr>
            <w:tcW w:type="dxa" w:w="3276"/>
          </w:tcPr>
          <w:p>
            <w:pPr>
              <w:spacing w:before="40" w:after="40" w:line="240" w:lineRule="auto"/>
            </w:pPr>
            <w:r/>
            <w:r>
              <w:rPr>
                <w:rFonts w:ascii="Calibri" w:hAnsi="Calibri"/>
                <w:b w:val="0"/>
                <w:i w:val="0"/>
                <w:sz w:val="19"/>
              </w:rPr>
              <w:t>Baseline measurements and dates</w:t>
            </w:r>
          </w:p>
        </w:tc>
        <w:tc>
          <w:tcPr>
            <w:tcW w:type="dxa" w:w="2246"/>
          </w:tcPr>
          <w:p>
            <w:pPr>
              <w:spacing w:before="40" w:after="40" w:line="240" w:lineRule="auto"/>
            </w:pPr>
            <w:r/>
            <w:r>
              <w:rPr>
                <w:rFonts w:ascii="Calibri" w:hAnsi="Calibri"/>
                <w:b w:val="0"/>
                <w:i w:val="0"/>
                <w:sz w:val="19"/>
              </w:rPr>
              <w:t>Section 4</w:t>
            </w:r>
          </w:p>
        </w:tc>
        <w:tc>
          <w:tcPr>
            <w:tcW w:type="dxa" w:w="3838"/>
          </w:tcPr>
          <w:p>
            <w:pPr>
              <w:spacing w:before="40" w:after="40" w:line="240" w:lineRule="auto"/>
            </w:pPr>
            <w:r/>
            <w:r>
              <w:rPr>
                <w:rFonts w:ascii="Calibri" w:hAnsi="Calibri"/>
                <w:b w:val="0"/>
                <w:i w:val="0"/>
                <w:sz w:val="19"/>
              </w:rPr>
              <w:t>Your own field survey and transect work; keep the dates honest</w:t>
            </w:r>
          </w:p>
        </w:tc>
      </w:tr>
      <w:tr>
        <w:tc>
          <w:tcPr>
            <w:tcW w:type="dxa" w:w="3276"/>
          </w:tcPr>
          <w:p>
            <w:pPr>
              <w:spacing w:before="40" w:after="40" w:line="240" w:lineRule="auto"/>
            </w:pPr>
            <w:r/>
            <w:r>
              <w:rPr>
                <w:rFonts w:ascii="Calibri" w:hAnsi="Calibri"/>
                <w:b w:val="0"/>
                <w:i w:val="0"/>
                <w:sz w:val="19"/>
              </w:rPr>
              <w:t>Species list, zone assignments, stem counts, planting density</w:t>
            </w:r>
          </w:p>
        </w:tc>
        <w:tc>
          <w:tcPr>
            <w:tcW w:type="dxa" w:w="2246"/>
          </w:tcPr>
          <w:p>
            <w:pPr>
              <w:spacing w:before="40" w:after="40" w:line="240" w:lineRule="auto"/>
            </w:pPr>
            <w:r/>
            <w:r>
              <w:rPr>
                <w:rFonts w:ascii="Calibri" w:hAnsi="Calibri"/>
                <w:b w:val="0"/>
                <w:i w:val="0"/>
                <w:sz w:val="19"/>
              </w:rPr>
              <w:t>Section 5</w:t>
            </w:r>
          </w:p>
        </w:tc>
        <w:tc>
          <w:tcPr>
            <w:tcW w:type="dxa" w:w="3838"/>
          </w:tcPr>
          <w:p>
            <w:pPr>
              <w:spacing w:before="40" w:after="40" w:line="240" w:lineRule="auto"/>
            </w:pPr>
            <w:r/>
            <w:r>
              <w:rPr>
                <w:rFonts w:ascii="Calibri" w:hAnsi="Calibri"/>
                <w:b w:val="0"/>
                <w:i w:val="0"/>
                <w:sz w:val="19"/>
              </w:rPr>
              <w:t>State or regional native plant list; your nursery's availability</w:t>
            </w:r>
          </w:p>
        </w:tc>
      </w:tr>
      <w:tr>
        <w:tc>
          <w:tcPr>
            <w:tcW w:type="dxa" w:w="3276"/>
          </w:tcPr>
          <w:p>
            <w:pPr>
              <w:spacing w:before="40" w:after="40" w:line="240" w:lineRule="auto"/>
            </w:pPr>
            <w:r/>
            <w:r>
              <w:rPr>
                <w:rFonts w:ascii="Calibri" w:hAnsi="Calibri"/>
                <w:b w:val="0"/>
                <w:i w:val="0"/>
                <w:sz w:val="19"/>
              </w:rPr>
              <w:t>All unit prices and the resulting total</w:t>
            </w:r>
          </w:p>
        </w:tc>
        <w:tc>
          <w:tcPr>
            <w:tcW w:type="dxa" w:w="2246"/>
          </w:tcPr>
          <w:p>
            <w:pPr>
              <w:spacing w:before="40" w:after="40" w:line="240" w:lineRule="auto"/>
            </w:pPr>
            <w:r/>
            <w:r>
              <w:rPr>
                <w:rFonts w:ascii="Calibri" w:hAnsi="Calibri"/>
                <w:b w:val="0"/>
                <w:i w:val="0"/>
                <w:sz w:val="19"/>
              </w:rPr>
              <w:t>Sections 10 and 11</w:t>
            </w:r>
          </w:p>
        </w:tc>
        <w:tc>
          <w:tcPr>
            <w:tcW w:type="dxa" w:w="3838"/>
          </w:tcPr>
          <w:p>
            <w:pPr>
              <w:spacing w:before="40" w:after="40" w:line="240" w:lineRule="auto"/>
            </w:pPr>
            <w:r/>
            <w:r>
              <w:rPr>
                <w:rFonts w:ascii="Calibri" w:hAnsi="Calibri"/>
                <w:b w:val="0"/>
                <w:i w:val="0"/>
                <w:sz w:val="19"/>
              </w:rPr>
              <w:t>Three local written quotes per line</w:t>
            </w:r>
          </w:p>
        </w:tc>
      </w:tr>
      <w:tr>
        <w:tc>
          <w:tcPr>
            <w:tcW w:type="dxa" w:w="3276"/>
          </w:tcPr>
          <w:p>
            <w:pPr>
              <w:spacing w:before="40" w:after="40" w:line="240" w:lineRule="auto"/>
            </w:pPr>
            <w:r/>
            <w:r>
              <w:rPr>
                <w:rFonts w:ascii="Calibri" w:hAnsi="Calibri"/>
                <w:b w:val="0"/>
                <w:i w:val="0"/>
                <w:sz w:val="19"/>
              </w:rPr>
              <w:t>Permit names, agencies, statuses, and dates</w:t>
            </w:r>
          </w:p>
        </w:tc>
        <w:tc>
          <w:tcPr>
            <w:tcW w:type="dxa" w:w="2246"/>
          </w:tcPr>
          <w:p>
            <w:pPr>
              <w:spacing w:before="40" w:after="40" w:line="240" w:lineRule="auto"/>
            </w:pPr>
            <w:r/>
            <w:r>
              <w:rPr>
                <w:rFonts w:ascii="Calibri" w:hAnsi="Calibri"/>
                <w:b w:val="0"/>
                <w:i w:val="0"/>
                <w:sz w:val="19"/>
              </w:rPr>
              <w:t>Section 7</w:t>
            </w:r>
          </w:p>
        </w:tc>
        <w:tc>
          <w:tcPr>
            <w:tcW w:type="dxa" w:w="3838"/>
          </w:tcPr>
          <w:p>
            <w:pPr>
              <w:spacing w:before="40" w:after="40" w:line="240" w:lineRule="auto"/>
            </w:pPr>
            <w:r/>
            <w:r>
              <w:rPr>
                <w:rFonts w:ascii="Calibri" w:hAnsi="Calibri"/>
                <w:b w:val="0"/>
                <w:i w:val="0"/>
                <w:sz w:val="19"/>
              </w:rPr>
              <w:t>Corps district office and your state environmental agency</w:t>
            </w:r>
          </w:p>
        </w:tc>
      </w:tr>
      <w:tr>
        <w:tc>
          <w:tcPr>
            <w:tcW w:type="dxa" w:w="3276"/>
          </w:tcPr>
          <w:p>
            <w:pPr>
              <w:spacing w:before="40" w:after="40" w:line="240" w:lineRule="auto"/>
            </w:pPr>
            <w:r/>
            <w:r>
              <w:rPr>
                <w:rFonts w:ascii="Calibri" w:hAnsi="Calibri"/>
                <w:b w:val="0"/>
                <w:i w:val="0"/>
                <w:sz w:val="19"/>
              </w:rPr>
              <w:t>Plan citation and page number</w:t>
            </w:r>
          </w:p>
        </w:tc>
        <w:tc>
          <w:tcPr>
            <w:tcW w:type="dxa" w:w="2246"/>
          </w:tcPr>
          <w:p>
            <w:pPr>
              <w:spacing w:before="40" w:after="40" w:line="240" w:lineRule="auto"/>
            </w:pPr>
            <w:r/>
            <w:r>
              <w:rPr>
                <w:rFonts w:ascii="Calibri" w:hAnsi="Calibri"/>
                <w:b w:val="0"/>
                <w:i w:val="0"/>
                <w:sz w:val="19"/>
              </w:rPr>
              <w:t>Sections 1 and 4</w:t>
            </w:r>
          </w:p>
        </w:tc>
        <w:tc>
          <w:tcPr>
            <w:tcW w:type="dxa" w:w="3838"/>
          </w:tcPr>
          <w:p>
            <w:pPr>
              <w:spacing w:before="40" w:after="40" w:line="240" w:lineRule="auto"/>
            </w:pPr>
            <w:r/>
            <w:r>
              <w:rPr>
                <w:rFonts w:ascii="Calibri" w:hAnsi="Calibri"/>
                <w:b w:val="0"/>
                <w:i w:val="0"/>
                <w:sz w:val="19"/>
              </w:rPr>
              <w:t>Your county open space, watershed, or regional conservation plan</w:t>
            </w:r>
          </w:p>
        </w:tc>
      </w:tr>
      <w:tr>
        <w:tc>
          <w:tcPr>
            <w:tcW w:type="dxa" w:w="3276"/>
          </w:tcPr>
          <w:p>
            <w:pPr>
              <w:spacing w:before="40" w:after="40" w:line="240" w:lineRule="auto"/>
            </w:pPr>
            <w:r/>
            <w:r>
              <w:rPr>
                <w:rFonts w:ascii="Calibri" w:hAnsi="Calibri"/>
                <w:b w:val="0"/>
                <w:i w:val="0"/>
                <w:sz w:val="19"/>
              </w:rPr>
              <w:t>Match sources and values</w:t>
            </w:r>
          </w:p>
        </w:tc>
        <w:tc>
          <w:tcPr>
            <w:tcW w:type="dxa" w:w="2246"/>
          </w:tcPr>
          <w:p>
            <w:pPr>
              <w:spacing w:before="40" w:after="40" w:line="240" w:lineRule="auto"/>
            </w:pPr>
            <w:r/>
            <w:r>
              <w:rPr>
                <w:rFonts w:ascii="Calibri" w:hAnsi="Calibri"/>
                <w:b w:val="0"/>
                <w:i w:val="0"/>
                <w:sz w:val="19"/>
              </w:rPr>
              <w:t>Section 12</w:t>
            </w:r>
          </w:p>
        </w:tc>
        <w:tc>
          <w:tcPr>
            <w:tcW w:type="dxa" w:w="3838"/>
          </w:tcPr>
          <w:p>
            <w:pPr>
              <w:spacing w:before="40" w:after="40" w:line="240" w:lineRule="auto"/>
            </w:pPr>
            <w:r/>
            <w:r>
              <w:rPr>
                <w:rFonts w:ascii="Calibri" w:hAnsi="Calibri"/>
                <w:b w:val="0"/>
                <w:i w:val="0"/>
                <w:sz w:val="19"/>
              </w:rPr>
              <w:t>Written partner commitments; label anything unapproved as pending</w:t>
            </w:r>
          </w:p>
        </w:tc>
      </w:tr>
      <w:tr>
        <w:tc>
          <w:tcPr>
            <w:tcW w:type="dxa" w:w="3276"/>
          </w:tcPr>
          <w:p>
            <w:pPr>
              <w:spacing w:before="40" w:after="40" w:line="240" w:lineRule="auto"/>
            </w:pPr>
            <w:r/>
            <w:r>
              <w:rPr>
                <w:rFonts w:ascii="Calibri" w:hAnsi="Calibri"/>
                <w:b w:val="0"/>
                <w:i w:val="0"/>
                <w:sz w:val="19"/>
              </w:rPr>
              <w:t>Stewardship years, tasks, parties, and reserve amount</w:t>
            </w:r>
          </w:p>
        </w:tc>
        <w:tc>
          <w:tcPr>
            <w:tcW w:type="dxa" w:w="2246"/>
          </w:tcPr>
          <w:p>
            <w:pPr>
              <w:spacing w:before="40" w:after="40" w:line="240" w:lineRule="auto"/>
            </w:pPr>
            <w:r/>
            <w:r>
              <w:rPr>
                <w:rFonts w:ascii="Calibri" w:hAnsi="Calibri"/>
                <w:b w:val="0"/>
                <w:i w:val="0"/>
                <w:sz w:val="19"/>
              </w:rPr>
              <w:t>Section 13</w:t>
            </w:r>
          </w:p>
        </w:tc>
        <w:tc>
          <w:tcPr>
            <w:tcW w:type="dxa" w:w="3838"/>
          </w:tcPr>
          <w:p>
            <w:pPr>
              <w:spacing w:before="40" w:after="40" w:line="240" w:lineRule="auto"/>
            </w:pPr>
            <w:r/>
            <w:r>
              <w:rPr>
                <w:rFonts w:ascii="Calibri" w:hAnsi="Calibri"/>
                <w:b w:val="0"/>
                <w:i w:val="0"/>
                <w:sz w:val="19"/>
              </w:rPr>
              <w:t>Your board resolution and partner agreements</w:t>
            </w:r>
          </w:p>
        </w:tc>
      </w:tr>
      <w:tr>
        <w:tc>
          <w:tcPr>
            <w:tcW w:type="dxa" w:w="3276"/>
          </w:tcPr>
          <w:p>
            <w:pPr>
              <w:spacing w:before="40" w:after="40" w:line="240" w:lineRule="auto"/>
            </w:pPr>
            <w:r/>
            <w:r>
              <w:rPr>
                <w:rFonts w:ascii="Calibri" w:hAnsi="Calibri"/>
                <w:b w:val="0"/>
                <w:i w:val="0"/>
                <w:sz w:val="19"/>
              </w:rPr>
              <w:t>Attachment list</w:t>
            </w:r>
          </w:p>
        </w:tc>
        <w:tc>
          <w:tcPr>
            <w:tcW w:type="dxa" w:w="2246"/>
          </w:tcPr>
          <w:p>
            <w:pPr>
              <w:spacing w:before="40" w:after="40" w:line="240" w:lineRule="auto"/>
            </w:pPr>
            <w:r/>
            <w:r>
              <w:rPr>
                <w:rFonts w:ascii="Calibri" w:hAnsi="Calibri"/>
                <w:b w:val="0"/>
                <w:i w:val="0"/>
                <w:sz w:val="19"/>
              </w:rPr>
              <w:t>Section 17</w:t>
            </w:r>
          </w:p>
        </w:tc>
        <w:tc>
          <w:tcPr>
            <w:tcW w:type="dxa" w:w="3838"/>
          </w:tcPr>
          <w:p>
            <w:pPr>
              <w:spacing w:before="40" w:after="40" w:line="240" w:lineRule="auto"/>
            </w:pPr>
            <w:r/>
            <w:r>
              <w:rPr>
                <w:rFonts w:ascii="Calibri" w:hAnsi="Calibri"/>
                <w:b w:val="0"/>
                <w:i w:val="0"/>
                <w:sz w:val="19"/>
              </w:rPr>
              <w:t>The funder's stated attachment requirements, which override this list</w:t>
            </w:r>
          </w:p>
        </w:tc>
      </w:tr>
    </w:tbl>
    <w:p>
      <w:pPr>
        <w:pStyle w:val="Heading1"/>
      </w:pPr>
      <w:r>
        <w:t>19. Reconciliation Checklist Before You Submit</w:t>
      </w:r>
    </w:p>
    <w:p>
      <w:r>
        <w:t>This is the arithmetic a reviewer runs, demonstrated on the example's own numbers. Run it on yours. Reviewers care more about whether acreage, budget, and outcomes reconcile than about narrative polish, and a scope number that appears three different ways in one proposal is the fastest way to lose a committee.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3370"/>
            <w:shd w:val="clear" w:color="auto" w:fill="DDE8E2"/>
          </w:tcPr>
          <w:p>
            <w:pPr>
              <w:spacing w:before="40" w:after="40" w:line="240" w:lineRule="auto"/>
            </w:pPr>
            <w:r/>
            <w:r>
              <w:rPr>
                <w:rFonts w:ascii="Calibri" w:hAnsi="Calibri"/>
                <w:b/>
                <w:i w:val="0"/>
                <w:sz w:val="19"/>
              </w:rPr>
              <w:t>Check</w:t>
            </w:r>
          </w:p>
        </w:tc>
        <w:tc>
          <w:tcPr>
            <w:tcW w:type="dxa" w:w="4118"/>
            <w:shd w:val="clear" w:color="auto" w:fill="DDE8E2"/>
          </w:tcPr>
          <w:p>
            <w:pPr>
              <w:spacing w:before="40" w:after="40" w:line="240" w:lineRule="auto"/>
            </w:pPr>
            <w:r/>
            <w:r>
              <w:rPr>
                <w:rFonts w:ascii="Calibri" w:hAnsi="Calibri"/>
                <w:b/>
                <w:i w:val="0"/>
                <w:sz w:val="19"/>
              </w:rPr>
              <w:t>The example's arithmetic</w:t>
            </w:r>
          </w:p>
        </w:tc>
        <w:tc>
          <w:tcPr>
            <w:tcW w:type="dxa" w:w="1872"/>
            <w:shd w:val="clear" w:color="auto" w:fill="DDE8E2"/>
          </w:tcPr>
          <w:p>
            <w:pPr>
              <w:spacing w:before="40" w:after="40" w:line="240" w:lineRule="auto"/>
            </w:pPr>
            <w:r/>
            <w:r>
              <w:rPr>
                <w:rFonts w:ascii="Calibri" w:hAnsi="Calibri"/>
                <w:b/>
                <w:i w:val="0"/>
                <w:sz w:val="19"/>
              </w:rPr>
              <w:t>Sections involved</w:t>
            </w:r>
          </w:p>
        </w:tc>
      </w:tr>
      <w:tr>
        <w:tc>
          <w:tcPr>
            <w:tcW w:type="dxa" w:w="3370"/>
          </w:tcPr>
          <w:p>
            <w:pPr>
              <w:spacing w:before="40" w:after="40" w:line="240" w:lineRule="auto"/>
            </w:pPr>
            <w:r/>
            <w:r>
              <w:rPr>
                <w:rFonts w:ascii="Calibri" w:hAnsi="Calibri"/>
                <w:b w:val="0"/>
                <w:i w:val="0"/>
                <w:sz w:val="19"/>
              </w:rPr>
              <w:t>Parcel linear feet sum to the project total</w:t>
            </w:r>
          </w:p>
        </w:tc>
        <w:tc>
          <w:tcPr>
            <w:tcW w:type="dxa" w:w="4118"/>
          </w:tcPr>
          <w:p>
            <w:pPr>
              <w:spacing w:before="40" w:after="40" w:line="240" w:lineRule="auto"/>
            </w:pPr>
            <w:r/>
            <w:r>
              <w:rPr>
                <w:rFonts w:ascii="Calibri" w:hAnsi="Calibri"/>
                <w:b w:val="0"/>
                <w:i w:val="0"/>
                <w:sz w:val="19"/>
              </w:rPr>
              <w:t>2,640 + 2,100 + 1,850 + 1,600 + 1,050 = 9,240</w:t>
            </w:r>
          </w:p>
        </w:tc>
        <w:tc>
          <w:tcPr>
            <w:tcW w:type="dxa" w:w="1872"/>
          </w:tcPr>
          <w:p>
            <w:pPr>
              <w:spacing w:before="40" w:after="40" w:line="240" w:lineRule="auto"/>
            </w:pPr>
            <w:r/>
            <w:r>
              <w:rPr>
                <w:rFonts w:ascii="Calibri" w:hAnsi="Calibri"/>
                <w:b w:val="0"/>
                <w:i w:val="0"/>
                <w:sz w:val="19"/>
              </w:rPr>
              <w:t>Sections 2 and 5</w:t>
            </w:r>
          </w:p>
        </w:tc>
      </w:tr>
      <w:tr>
        <w:tc>
          <w:tcPr>
            <w:tcW w:type="dxa" w:w="3370"/>
          </w:tcPr>
          <w:p>
            <w:pPr>
              <w:spacing w:before="40" w:after="40" w:line="240" w:lineRule="auto"/>
            </w:pPr>
            <w:r/>
            <w:r>
              <w:rPr>
                <w:rFonts w:ascii="Calibri" w:hAnsi="Calibri"/>
                <w:b w:val="0"/>
                <w:i w:val="0"/>
                <w:sz w:val="19"/>
              </w:rPr>
              <w:t>Parcel buffer acres sum to the project total</w:t>
            </w:r>
          </w:p>
        </w:tc>
        <w:tc>
          <w:tcPr>
            <w:tcW w:type="dxa" w:w="4118"/>
          </w:tcPr>
          <w:p>
            <w:pPr>
              <w:spacing w:before="40" w:after="40" w:line="240" w:lineRule="auto"/>
            </w:pPr>
            <w:r/>
            <w:r>
              <w:rPr>
                <w:rFonts w:ascii="Calibri" w:hAnsi="Calibri"/>
                <w:b w:val="0"/>
                <w:i w:val="0"/>
                <w:sz w:val="19"/>
              </w:rPr>
              <w:t>6.3 + 5.0 + 4.4 + 3.8 + 2.5 = 22.0</w:t>
            </w:r>
          </w:p>
        </w:tc>
        <w:tc>
          <w:tcPr>
            <w:tcW w:type="dxa" w:w="1872"/>
          </w:tcPr>
          <w:p>
            <w:pPr>
              <w:spacing w:before="40" w:after="40" w:line="240" w:lineRule="auto"/>
            </w:pPr>
            <w:r/>
            <w:r>
              <w:rPr>
                <w:rFonts w:ascii="Calibri" w:hAnsi="Calibri"/>
                <w:b w:val="0"/>
                <w:i w:val="0"/>
                <w:sz w:val="19"/>
              </w:rPr>
              <w:t>Sections 2 and 5</w:t>
            </w:r>
          </w:p>
        </w:tc>
      </w:tr>
      <w:tr>
        <w:tc>
          <w:tcPr>
            <w:tcW w:type="dxa" w:w="3370"/>
          </w:tcPr>
          <w:p>
            <w:pPr>
              <w:spacing w:before="40" w:after="40" w:line="240" w:lineRule="auto"/>
            </w:pPr>
            <w:r/>
            <w:r>
              <w:rPr>
                <w:rFonts w:ascii="Calibri" w:hAnsi="Calibri"/>
                <w:b w:val="0"/>
                <w:i w:val="0"/>
                <w:sz w:val="19"/>
              </w:rPr>
              <w:t>Buffer acres times planting density equals stem count</w:t>
            </w:r>
          </w:p>
        </w:tc>
        <w:tc>
          <w:tcPr>
            <w:tcW w:type="dxa" w:w="4118"/>
          </w:tcPr>
          <w:p>
            <w:pPr>
              <w:spacing w:before="40" w:after="40" w:line="240" w:lineRule="auto"/>
            </w:pPr>
            <w:r/>
            <w:r>
              <w:rPr>
                <w:rFonts w:ascii="Calibri" w:hAnsi="Calibri"/>
                <w:b w:val="0"/>
                <w:i w:val="0"/>
                <w:sz w:val="19"/>
              </w:rPr>
              <w:t>22.0 acres x 200 stems per acre = 4,400</w:t>
            </w:r>
          </w:p>
        </w:tc>
        <w:tc>
          <w:tcPr>
            <w:tcW w:type="dxa" w:w="1872"/>
          </w:tcPr>
          <w:p>
            <w:pPr>
              <w:spacing w:before="40" w:after="40" w:line="240" w:lineRule="auto"/>
            </w:pPr>
            <w:r/>
            <w:r>
              <w:rPr>
                <w:rFonts w:ascii="Calibri" w:hAnsi="Calibri"/>
                <w:b w:val="0"/>
                <w:i w:val="0"/>
                <w:sz w:val="19"/>
              </w:rPr>
              <w:t>Sections 5 and 10</w:t>
            </w:r>
          </w:p>
        </w:tc>
      </w:tr>
      <w:tr>
        <w:tc>
          <w:tcPr>
            <w:tcW w:type="dxa" w:w="3370"/>
          </w:tcPr>
          <w:p>
            <w:pPr>
              <w:spacing w:before="40" w:after="40" w:line="240" w:lineRule="auto"/>
            </w:pPr>
            <w:r/>
            <w:r>
              <w:rPr>
                <w:rFonts w:ascii="Calibri" w:hAnsi="Calibri"/>
                <w:b w:val="0"/>
                <w:i w:val="0"/>
                <w:sz w:val="19"/>
              </w:rPr>
              <w:t>Species table stems equal the stem count in the budget</w:t>
            </w:r>
          </w:p>
        </w:tc>
        <w:tc>
          <w:tcPr>
            <w:tcW w:type="dxa" w:w="4118"/>
          </w:tcPr>
          <w:p>
            <w:pPr>
              <w:spacing w:before="40" w:after="40" w:line="240" w:lineRule="auto"/>
            </w:pPr>
            <w:r/>
            <w:r>
              <w:rPr>
                <w:rFonts w:ascii="Calibri" w:hAnsi="Calibri"/>
                <w:b w:val="0"/>
                <w:i w:val="0"/>
                <w:sz w:val="19"/>
              </w:rPr>
              <w:t>2,600 trees + 1,800 shrubs = 4,400</w:t>
            </w:r>
          </w:p>
        </w:tc>
        <w:tc>
          <w:tcPr>
            <w:tcW w:type="dxa" w:w="1872"/>
          </w:tcPr>
          <w:p>
            <w:pPr>
              <w:spacing w:before="40" w:after="40" w:line="240" w:lineRule="auto"/>
            </w:pPr>
            <w:r/>
            <w:r>
              <w:rPr>
                <w:rFonts w:ascii="Calibri" w:hAnsi="Calibri"/>
                <w:b w:val="0"/>
                <w:i w:val="0"/>
                <w:sz w:val="19"/>
              </w:rPr>
              <w:t>Sections 5 and 10</w:t>
            </w:r>
          </w:p>
        </w:tc>
      </w:tr>
      <w:tr>
        <w:tc>
          <w:tcPr>
            <w:tcW w:type="dxa" w:w="3370"/>
          </w:tcPr>
          <w:p>
            <w:pPr>
              <w:spacing w:before="40" w:after="40" w:line="240" w:lineRule="auto"/>
            </w:pPr>
            <w:r/>
            <w:r>
              <w:rPr>
                <w:rFonts w:ascii="Calibri" w:hAnsi="Calibri"/>
                <w:b w:val="0"/>
                <w:i w:val="0"/>
                <w:sz w:val="19"/>
              </w:rPr>
              <w:t>Sheltered stems equal tree stems</w:t>
            </w:r>
          </w:p>
        </w:tc>
        <w:tc>
          <w:tcPr>
            <w:tcW w:type="dxa" w:w="4118"/>
          </w:tcPr>
          <w:p>
            <w:pPr>
              <w:spacing w:before="40" w:after="40" w:line="240" w:lineRule="auto"/>
            </w:pPr>
            <w:r/>
            <w:r>
              <w:rPr>
                <w:rFonts w:ascii="Calibri" w:hAnsi="Calibri"/>
                <w:b w:val="0"/>
                <w:i w:val="0"/>
                <w:sz w:val="19"/>
              </w:rPr>
              <w:t>2,600 shelters = 2,600 trees</w:t>
            </w:r>
          </w:p>
        </w:tc>
        <w:tc>
          <w:tcPr>
            <w:tcW w:type="dxa" w:w="1872"/>
          </w:tcPr>
          <w:p>
            <w:pPr>
              <w:spacing w:before="40" w:after="40" w:line="240" w:lineRule="auto"/>
            </w:pPr>
            <w:r/>
            <w:r>
              <w:rPr>
                <w:rFonts w:ascii="Calibri" w:hAnsi="Calibri"/>
                <w:b w:val="0"/>
                <w:i w:val="0"/>
                <w:sz w:val="19"/>
              </w:rPr>
              <w:t>Sections 5 and 10</w:t>
            </w:r>
          </w:p>
        </w:tc>
      </w:tr>
      <w:tr>
        <w:tc>
          <w:tcPr>
            <w:tcW w:type="dxa" w:w="3370"/>
          </w:tcPr>
          <w:p>
            <w:pPr>
              <w:spacing w:before="40" w:after="40" w:line="240" w:lineRule="auto"/>
            </w:pPr>
            <w:r/>
            <w:r>
              <w:rPr>
                <w:rFonts w:ascii="Calibri" w:hAnsi="Calibri"/>
                <w:b w:val="0"/>
                <w:i w:val="0"/>
                <w:sz w:val="19"/>
              </w:rPr>
              <w:t>Parcel fencing sums to the fencing in the budget</w:t>
            </w:r>
          </w:p>
        </w:tc>
        <w:tc>
          <w:tcPr>
            <w:tcW w:type="dxa" w:w="4118"/>
          </w:tcPr>
          <w:p>
            <w:pPr>
              <w:spacing w:before="40" w:after="40" w:line="240" w:lineRule="auto"/>
            </w:pPr>
            <w:r/>
            <w:r>
              <w:rPr>
                <w:rFonts w:ascii="Calibri" w:hAnsi="Calibri"/>
                <w:b w:val="0"/>
                <w:i w:val="0"/>
                <w:sz w:val="19"/>
              </w:rPr>
              <w:t>1,200 + 1,000 + 900 + 700 = 3,800 linear feet</w:t>
            </w:r>
          </w:p>
        </w:tc>
        <w:tc>
          <w:tcPr>
            <w:tcW w:type="dxa" w:w="1872"/>
          </w:tcPr>
          <w:p>
            <w:pPr>
              <w:spacing w:before="40" w:after="40" w:line="240" w:lineRule="auto"/>
            </w:pPr>
            <w:r/>
            <w:r>
              <w:rPr>
                <w:rFonts w:ascii="Calibri" w:hAnsi="Calibri"/>
                <w:b w:val="0"/>
                <w:i w:val="0"/>
                <w:sz w:val="19"/>
              </w:rPr>
              <w:t>Sections 5 and 10</w:t>
            </w:r>
          </w:p>
        </w:tc>
      </w:tr>
      <w:tr>
        <w:tc>
          <w:tcPr>
            <w:tcW w:type="dxa" w:w="3370"/>
          </w:tcPr>
          <w:p>
            <w:pPr>
              <w:spacing w:before="40" w:after="40" w:line="240" w:lineRule="auto"/>
            </w:pPr>
            <w:r/>
            <w:r>
              <w:rPr>
                <w:rFonts w:ascii="Calibri" w:hAnsi="Calibri"/>
                <w:b w:val="0"/>
                <w:i w:val="0"/>
                <w:sz w:val="19"/>
              </w:rPr>
              <w:t>Parcel invasive acres sum to the treated acres in the budget</w:t>
            </w:r>
          </w:p>
        </w:tc>
        <w:tc>
          <w:tcPr>
            <w:tcW w:type="dxa" w:w="4118"/>
          </w:tcPr>
          <w:p>
            <w:pPr>
              <w:spacing w:before="40" w:after="40" w:line="240" w:lineRule="auto"/>
            </w:pPr>
            <w:r/>
            <w:r>
              <w:rPr>
                <w:rFonts w:ascii="Calibri" w:hAnsi="Calibri"/>
                <w:b w:val="0"/>
                <w:i w:val="0"/>
                <w:sz w:val="19"/>
              </w:rPr>
              <w:t>2.5 + 2.0 + 1.8 + 1.7 + 1.0 = 9.0 acres</w:t>
            </w:r>
          </w:p>
        </w:tc>
        <w:tc>
          <w:tcPr>
            <w:tcW w:type="dxa" w:w="1872"/>
          </w:tcPr>
          <w:p>
            <w:pPr>
              <w:spacing w:before="40" w:after="40" w:line="240" w:lineRule="auto"/>
            </w:pPr>
            <w:r/>
            <w:r>
              <w:rPr>
                <w:rFonts w:ascii="Calibri" w:hAnsi="Calibri"/>
                <w:b w:val="0"/>
                <w:i w:val="0"/>
                <w:sz w:val="19"/>
              </w:rPr>
              <w:t>Sections 5 and 10</w:t>
            </w:r>
          </w:p>
        </w:tc>
      </w:tr>
      <w:tr>
        <w:tc>
          <w:tcPr>
            <w:tcW w:type="dxa" w:w="3370"/>
          </w:tcPr>
          <w:p>
            <w:pPr>
              <w:spacing w:before="40" w:after="40" w:line="240" w:lineRule="auto"/>
            </w:pPr>
            <w:r/>
            <w:r>
              <w:rPr>
                <w:rFonts w:ascii="Calibri" w:hAnsi="Calibri"/>
                <w:b w:val="0"/>
                <w:i w:val="0"/>
                <w:sz w:val="19"/>
              </w:rPr>
              <w:t>Access points in the baseline equal access points in the outcome table</w:t>
            </w:r>
          </w:p>
        </w:tc>
        <w:tc>
          <w:tcPr>
            <w:tcW w:type="dxa" w:w="4118"/>
          </w:tcPr>
          <w:p>
            <w:pPr>
              <w:spacing w:before="40" w:after="40" w:line="240" w:lineRule="auto"/>
            </w:pPr>
            <w:r/>
            <w:r>
              <w:rPr>
                <w:rFonts w:ascii="Calibri" w:hAnsi="Calibri"/>
                <w:b w:val="0"/>
                <w:i w:val="0"/>
                <w:sz w:val="19"/>
              </w:rPr>
              <w:t>5 at baseline, target 0</w:t>
            </w:r>
          </w:p>
        </w:tc>
        <w:tc>
          <w:tcPr>
            <w:tcW w:type="dxa" w:w="1872"/>
          </w:tcPr>
          <w:p>
            <w:pPr>
              <w:spacing w:before="40" w:after="40" w:line="240" w:lineRule="auto"/>
            </w:pPr>
            <w:r/>
            <w:r>
              <w:rPr>
                <w:rFonts w:ascii="Calibri" w:hAnsi="Calibri"/>
                <w:b w:val="0"/>
                <w:i w:val="0"/>
                <w:sz w:val="19"/>
              </w:rPr>
              <w:t>Sections 4 and 8</w:t>
            </w:r>
          </w:p>
        </w:tc>
      </w:tr>
      <w:tr>
        <w:tc>
          <w:tcPr>
            <w:tcW w:type="dxa" w:w="3370"/>
          </w:tcPr>
          <w:p>
            <w:pPr>
              <w:spacing w:before="40" w:after="40" w:line="240" w:lineRule="auto"/>
            </w:pPr>
            <w:r/>
            <w:r>
              <w:rPr>
                <w:rFonts w:ascii="Calibri" w:hAnsi="Calibri"/>
                <w:b w:val="0"/>
                <w:i w:val="0"/>
                <w:sz w:val="19"/>
              </w:rPr>
              <w:t>Budget lines sum to the amount requested</w:t>
            </w:r>
          </w:p>
        </w:tc>
        <w:tc>
          <w:tcPr>
            <w:tcW w:type="dxa" w:w="4118"/>
          </w:tcPr>
          <w:p>
            <w:pPr>
              <w:spacing w:before="40" w:after="40" w:line="240" w:lineRule="auto"/>
            </w:pPr>
            <w:r/>
            <w:r>
              <w:rPr>
                <w:rFonts w:ascii="Calibri" w:hAnsi="Calibri"/>
                <w:b w:val="0"/>
                <w:i w:val="0"/>
                <w:sz w:val="19"/>
              </w:rPr>
              <w:t>$15,400 + $5,200 + $9,000 + $7,600 + $6,400 + $4,320 + $3,500 + $13,500 + $8,400 + $1,680 = $75,000</w:t>
            </w:r>
          </w:p>
        </w:tc>
        <w:tc>
          <w:tcPr>
            <w:tcW w:type="dxa" w:w="1872"/>
          </w:tcPr>
          <w:p>
            <w:pPr>
              <w:spacing w:before="40" w:after="40" w:line="240" w:lineRule="auto"/>
            </w:pPr>
            <w:r/>
            <w:r>
              <w:rPr>
                <w:rFonts w:ascii="Calibri" w:hAnsi="Calibri"/>
                <w:b w:val="0"/>
                <w:i w:val="0"/>
                <w:sz w:val="19"/>
              </w:rPr>
              <w:t>Section 10</w:t>
            </w:r>
          </w:p>
        </w:tc>
      </w:tr>
      <w:tr>
        <w:tc>
          <w:tcPr>
            <w:tcW w:type="dxa" w:w="3370"/>
          </w:tcPr>
          <w:p>
            <w:pPr>
              <w:spacing w:before="40" w:after="40" w:line="240" w:lineRule="auto"/>
            </w:pPr>
            <w:r/>
            <w:r>
              <w:rPr>
                <w:rFonts w:ascii="Calibri" w:hAnsi="Calibri"/>
                <w:b w:val="0"/>
                <w:i w:val="0"/>
                <w:sz w:val="19"/>
              </w:rPr>
              <w:t>Request divided by linear feet gives the unit cost you quote</w:t>
            </w:r>
          </w:p>
        </w:tc>
        <w:tc>
          <w:tcPr>
            <w:tcW w:type="dxa" w:w="4118"/>
          </w:tcPr>
          <w:p>
            <w:pPr>
              <w:spacing w:before="40" w:after="40" w:line="240" w:lineRule="auto"/>
            </w:pPr>
            <w:r/>
            <w:r>
              <w:rPr>
                <w:rFonts w:ascii="Calibri" w:hAnsi="Calibri"/>
                <w:b w:val="0"/>
                <w:i w:val="0"/>
                <w:sz w:val="19"/>
              </w:rPr>
              <w:t>$75,000 / 9,240 = $8.12 per linear foot</w:t>
            </w:r>
          </w:p>
        </w:tc>
        <w:tc>
          <w:tcPr>
            <w:tcW w:type="dxa" w:w="1872"/>
          </w:tcPr>
          <w:p>
            <w:pPr>
              <w:spacing w:before="40" w:after="40" w:line="240" w:lineRule="auto"/>
            </w:pPr>
            <w:r/>
            <w:r>
              <w:rPr>
                <w:rFonts w:ascii="Calibri" w:hAnsi="Calibri"/>
                <w:b w:val="0"/>
                <w:i w:val="0"/>
                <w:sz w:val="19"/>
              </w:rPr>
              <w:t>Sections 1, 2, 10</w:t>
            </w:r>
          </w:p>
        </w:tc>
      </w:tr>
      <w:tr>
        <w:tc>
          <w:tcPr>
            <w:tcW w:type="dxa" w:w="3370"/>
          </w:tcPr>
          <w:p>
            <w:pPr>
              <w:spacing w:before="40" w:after="40" w:line="240" w:lineRule="auto"/>
            </w:pPr>
            <w:r/>
            <w:r>
              <w:rPr>
                <w:rFonts w:ascii="Calibri" w:hAnsi="Calibri"/>
                <w:b w:val="0"/>
                <w:i w:val="0"/>
                <w:sz w:val="19"/>
              </w:rPr>
              <w:t>Monitoring events times stations equal the sample suites you pay for</w:t>
            </w:r>
          </w:p>
        </w:tc>
        <w:tc>
          <w:tcPr>
            <w:tcW w:type="dxa" w:w="4118"/>
          </w:tcPr>
          <w:p>
            <w:pPr>
              <w:spacing w:before="40" w:after="40" w:line="240" w:lineRule="auto"/>
            </w:pPr>
            <w:r/>
            <w:r>
              <w:rPr>
                <w:rFonts w:ascii="Calibri" w:hAnsi="Calibri"/>
                <w:b w:val="0"/>
                <w:i w:val="0"/>
                <w:sz w:val="19"/>
              </w:rPr>
              <w:t>6 events x 4 stations = 24 suites x $180 = $4,320</w:t>
            </w:r>
          </w:p>
        </w:tc>
        <w:tc>
          <w:tcPr>
            <w:tcW w:type="dxa" w:w="1872"/>
          </w:tcPr>
          <w:p>
            <w:pPr>
              <w:spacing w:before="40" w:after="40" w:line="240" w:lineRule="auto"/>
            </w:pPr>
            <w:r/>
            <w:r>
              <w:rPr>
                <w:rFonts w:ascii="Calibri" w:hAnsi="Calibri"/>
                <w:b w:val="0"/>
                <w:i w:val="0"/>
                <w:sz w:val="19"/>
              </w:rPr>
              <w:t>Sections 9 and 10</w:t>
            </w:r>
          </w:p>
        </w:tc>
      </w:tr>
      <w:tr>
        <w:tc>
          <w:tcPr>
            <w:tcW w:type="dxa" w:w="3370"/>
          </w:tcPr>
          <w:p>
            <w:pPr>
              <w:spacing w:before="40" w:after="40" w:line="240" w:lineRule="auto"/>
            </w:pPr>
            <w:r/>
            <w:r>
              <w:rPr>
                <w:rFonts w:ascii="Calibri" w:hAnsi="Calibri"/>
                <w:b w:val="0"/>
                <w:i w:val="0"/>
                <w:sz w:val="19"/>
              </w:rPr>
              <w:t>Every outcome measure has a budget line paying for its measurement</w:t>
            </w:r>
          </w:p>
        </w:tc>
        <w:tc>
          <w:tcPr>
            <w:tcW w:type="dxa" w:w="4118"/>
          </w:tcPr>
          <w:p>
            <w:pPr>
              <w:spacing w:before="40" w:after="40" w:line="240" w:lineRule="auto"/>
            </w:pPr>
            <w:r/>
            <w:r>
              <w:rPr>
                <w:rFonts w:ascii="Calibri" w:hAnsi="Calibri"/>
                <w:b w:val="0"/>
                <w:i w:val="0"/>
                <w:sz w:val="19"/>
              </w:rPr>
              <w:t>Survival count and transects in staff time; water quality in the monitoring line</w:t>
            </w:r>
          </w:p>
        </w:tc>
        <w:tc>
          <w:tcPr>
            <w:tcW w:type="dxa" w:w="1872"/>
          </w:tcPr>
          <w:p>
            <w:pPr>
              <w:spacing w:before="40" w:after="40" w:line="240" w:lineRule="auto"/>
            </w:pPr>
            <w:r/>
            <w:r>
              <w:rPr>
                <w:rFonts w:ascii="Calibri" w:hAnsi="Calibri"/>
                <w:b w:val="0"/>
                <w:i w:val="0"/>
                <w:sz w:val="19"/>
              </w:rPr>
              <w:t>Sections 8, 9, 10</w:t>
            </w:r>
          </w:p>
        </w:tc>
      </w:tr>
      <w:tr>
        <w:tc>
          <w:tcPr>
            <w:tcW w:type="dxa" w:w="3370"/>
          </w:tcPr>
          <w:p>
            <w:pPr>
              <w:spacing w:before="40" w:after="40" w:line="240" w:lineRule="auto"/>
            </w:pPr>
            <w:r/>
            <w:r>
              <w:rPr>
                <w:rFonts w:ascii="Calibri" w:hAnsi="Calibri"/>
                <w:b w:val="0"/>
                <w:i w:val="0"/>
                <w:sz w:val="19"/>
              </w:rPr>
              <w:t>The survival threshold has replacement stems behind it</w:t>
            </w:r>
          </w:p>
        </w:tc>
        <w:tc>
          <w:tcPr>
            <w:tcW w:type="dxa" w:w="4118"/>
          </w:tcPr>
          <w:p>
            <w:pPr>
              <w:spacing w:before="40" w:after="40" w:line="240" w:lineRule="auto"/>
            </w:pPr>
            <w:r/>
            <w:r>
              <w:rPr>
                <w:rFonts w:ascii="Calibri" w:hAnsi="Calibri"/>
                <w:b w:val="0"/>
                <w:i w:val="0"/>
                <w:sz w:val="19"/>
              </w:rPr>
              <w:t>80% threshold, 400 replacement stems, $3,500 establishment line</w:t>
            </w:r>
          </w:p>
        </w:tc>
        <w:tc>
          <w:tcPr>
            <w:tcW w:type="dxa" w:w="1872"/>
          </w:tcPr>
          <w:p>
            <w:pPr>
              <w:spacing w:before="40" w:after="40" w:line="240" w:lineRule="auto"/>
            </w:pPr>
            <w:r/>
            <w:r>
              <w:rPr>
                <w:rFonts w:ascii="Calibri" w:hAnsi="Calibri"/>
                <w:b w:val="0"/>
                <w:i w:val="0"/>
                <w:sz w:val="19"/>
              </w:rPr>
              <w:t>Sections 8, 10, 13</w:t>
            </w:r>
          </w:p>
        </w:tc>
      </w:tr>
      <w:tr>
        <w:tc>
          <w:tcPr>
            <w:tcW w:type="dxa" w:w="3370"/>
          </w:tcPr>
          <w:p>
            <w:pPr>
              <w:spacing w:before="40" w:after="40" w:line="240" w:lineRule="auto"/>
            </w:pPr>
            <w:r/>
            <w:r>
              <w:rPr>
                <w:rFonts w:ascii="Calibri" w:hAnsi="Calibri"/>
                <w:b w:val="0"/>
                <w:i w:val="0"/>
                <w:sz w:val="19"/>
              </w:rPr>
              <w:t>Stewardship years 2 to 5 sum to the reserve you claim</w:t>
            </w:r>
          </w:p>
        </w:tc>
        <w:tc>
          <w:tcPr>
            <w:tcW w:type="dxa" w:w="4118"/>
          </w:tcPr>
          <w:p>
            <w:pPr>
              <w:spacing w:before="40" w:after="40" w:line="240" w:lineRule="auto"/>
            </w:pPr>
            <w:r/>
            <w:r>
              <w:rPr>
                <w:rFonts w:ascii="Calibri" w:hAnsi="Calibri"/>
                <w:b w:val="0"/>
                <w:i w:val="0"/>
                <w:sz w:val="19"/>
              </w:rPr>
              <w:t>$2,400 + $2,000 + $2,600 + $2,000 = $9,000</w:t>
            </w:r>
          </w:p>
        </w:tc>
        <w:tc>
          <w:tcPr>
            <w:tcW w:type="dxa" w:w="1872"/>
          </w:tcPr>
          <w:p>
            <w:pPr>
              <w:spacing w:before="40" w:after="40" w:line="240" w:lineRule="auto"/>
            </w:pPr>
            <w:r/>
            <w:r>
              <w:rPr>
                <w:rFonts w:ascii="Calibri" w:hAnsi="Calibri"/>
                <w:b w:val="0"/>
                <w:i w:val="0"/>
                <w:sz w:val="19"/>
              </w:rPr>
              <w:t>Sections 12 and 13</w:t>
            </w:r>
          </w:p>
        </w:tc>
      </w:tr>
      <w:tr>
        <w:tc>
          <w:tcPr>
            <w:tcW w:type="dxa" w:w="3370"/>
          </w:tcPr>
          <w:p>
            <w:pPr>
              <w:spacing w:before="40" w:after="40" w:line="240" w:lineRule="auto"/>
            </w:pPr>
            <w:r/>
            <w:r>
              <w:rPr>
                <w:rFonts w:ascii="Calibri" w:hAnsi="Calibri"/>
                <w:b w:val="0"/>
                <w:i w:val="0"/>
                <w:sz w:val="19"/>
              </w:rPr>
              <w:t>Match entries sum to the leverage total and the project value</w:t>
            </w:r>
          </w:p>
        </w:tc>
        <w:tc>
          <w:tcPr>
            <w:tcW w:type="dxa" w:w="4118"/>
          </w:tcPr>
          <w:p>
            <w:pPr>
              <w:spacing w:before="40" w:after="40" w:line="240" w:lineRule="auto"/>
            </w:pPr>
            <w:r/>
            <w:r>
              <w:rPr>
                <w:rFonts w:ascii="Calibri" w:hAnsi="Calibri"/>
                <w:b w:val="0"/>
                <w:i w:val="0"/>
                <w:sz w:val="19"/>
              </w:rPr>
              <w:t>$12,400 + $19,200 + $18,000 + $6,500 + $9,000 = $65,100; $75,000 + $65,100 = $140,100</w:t>
            </w:r>
          </w:p>
        </w:tc>
        <w:tc>
          <w:tcPr>
            <w:tcW w:type="dxa" w:w="1872"/>
          </w:tcPr>
          <w:p>
            <w:pPr>
              <w:spacing w:before="40" w:after="40" w:line="240" w:lineRule="auto"/>
            </w:pPr>
            <w:r/>
            <w:r>
              <w:rPr>
                <w:rFonts w:ascii="Calibri" w:hAnsi="Calibri"/>
                <w:b w:val="0"/>
                <w:i w:val="0"/>
                <w:sz w:val="19"/>
              </w:rPr>
              <w:t>Sections 2 and 12</w:t>
            </w:r>
          </w:p>
        </w:tc>
      </w:tr>
    </w:tbl>
    <w:p>
      <w:r>
        <w:t>Two final passes. First, read only the numbers, in order, from the summary sheet through the budget to the outcome table, and confirm each one appears identically everywhere it appears. Second, read the funder's guidelines again and cut every section they did not ask for. A complete conservation narrative usually runs eight to twelve pages plus appendices when no limit is given, but a stated page limit is not a suggestion.</w:t>
      </w:r>
    </w:p>
    <w:p>
      <w:pPr>
        <w:pStyle w:val="IntenseQuote"/>
      </w:pPr>
      <w:r>
        <w:t>This document is a free resource from GrantCue. Use it, adapt it, and share it. Track your deadlines, reporting dates, and seasonal monitoring windows in one place at grantcue.com/blog/sample-grant-proposal-environmental-nonprofit.</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80" w:after="0"/>
    </w:pPr>
    <w:r/>
    <w:r>
      <w:rPr>
        <w:rFonts w:ascii="Calibri" w:hAnsi="Calibri"/>
        <w:color w:val="555F5B"/>
        <w:sz w:val="17"/>
      </w:rPr>
      <w:t>GrantCue - grantcue.com/blog/sample-grant-proposal-environmental-nonprofit</w:t>
    </w:r>
    <w:r>
      <w:tab/>
    </w:r>
    <w:r>
      <w:rPr>
        <w:color w:val="555F5B"/>
        <w:sz w:val="17"/>
      </w:rPr>
      <w:t xml:space="preserve">Page </w:t>
    </w:r>
    <w:r>
      <w:rPr>
        <w:color w:val="555F5B"/>
        <w:sz w:val="17"/>
      </w:rPr>
      <w:fldChar w:fldCharType="begin"/>
      <w:instrText xml:space="preserve"> PAGE </w:instrText>
      <w:fldChar w:fldCharType="separate"/>
      <w:t>1</w:t>
      <w:fldChar w:fldCharType="end"/>
    </w:r>
    <w:r>
      <w:rPr>
        <w:color w:val="555F5B"/>
        <w:sz w:val="17"/>
      </w:rPr>
      <w:t xml:space="preserve"> of </w:t>
    </w:r>
    <w:r>
      <w:rPr>
        <w:color w:val="555F5B"/>
        <w:sz w:val="17"/>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0" w:line="271"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1F503D"/>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2C6E54"/>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i/>
      <w:color w:val="555F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1F50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val="0"/>
      <w:iCs/>
      <w:color w:val="555F5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sz w:val="21"/>
    </w:rPr>
  </w:style>
  <w:style w:type="paragraph" w:styleId="ListBullet2">
    <w:name w:val="List Bullet 2"/>
    <w:basedOn w:val="Normal"/>
    <w:uiPriority w:val="99"/>
    <w:unhideWhenUsed/>
    <w:rsid w:val="00326F90"/>
    <w:pPr>
      <w:numPr>
        <w:numId w:val="2"/>
      </w:numPr>
      <w:spacing w:after="60"/>
      <w:contextualSpacing/>
    </w:pPr>
    <w:rPr>
      <w:rFonts w:ascii="Calibri" w:hAnsi="Calibri"/>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00"/>
    </w:pPr>
    <w:rPr>
      <w:rFonts w:ascii="Calibri" w:hAnsi="Calibri"/>
      <w:b w:val="0"/>
      <w:bCs/>
      <w:i/>
      <w:color w:val="555F5B"/>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val="0"/>
      <w:bCs/>
      <w:i w:val="0"/>
      <w:iCs/>
      <w:color w:val="1F503D"/>
      <w:sz w:val="2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Conservation Grant Proposal: Mill Fork Riparian Restoration</dc:title>
  <dc:subject>Sample grant proposal for an environmental nonprofit</dc:subject>
  <dc:creator>GrantCue</dc:creator>
  <cp:keywords>sample grant proposal for environmental nonprofit; conservation grant proposal; riparian restoration grant budget</cp:keywords>
  <dc:description>GrantCue - grantcue.com/blog/sample-grant-proposal-environmental-nonprofit</dc:description>
  <cp:lastModifiedBy/>
  <cp:revision>1</cp:revision>
  <dcterms:created xsi:type="dcterms:W3CDTF">2013-12-23T23:15:00Z</dcterms:created>
  <dcterms:modified xsi:type="dcterms:W3CDTF">2013-12-23T23:15:00Z</dcterms:modified>
  <cp:category>Grant Writing</cp:category>
</cp:coreProperties>
</file>