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w:t>
      </w:r>
    </w:p>
    <w:p>
      <w:pPr>
        <w:pStyle w:val="Subtitle"/>
      </w:pPr>
      <w:r>
        <w:t>A complete, adaptable K-12 education nonprofit proposal: after-school small-group math intervention for students in grades 6 and 7</w:t>
      </w:r>
    </w:p>
    <w:p>
      <w:r>
        <w:t>Every section of a full education grant proposal is written out below in submission-ready prose, using one worked composite example. Nothing is left as an outline. Replace the example organization, district, campuses, figures and dates with your own, keep the structure, and you have a proposal you can submit.</w:t>
      </w:r>
    </w:p>
    <w:tbl>
      <w:tblPr>
        <w:tblStyle w:val="TableGrid"/>
        <w:tblW w:type="auto" w:w="0"/>
        <w:tblLook w:firstColumn="1" w:firstRow="1" w:lastColumn="0" w:lastRow="0" w:noHBand="0" w:noVBand="1" w:val="04A0"/>
      </w:tblPr>
      <w:tblGrid>
        <w:gridCol w:w="9360"/>
      </w:tblGrid>
      <w:tr>
        <w:tc>
          <w:tcPr>
            <w:tcW w:type="dxa" w:w="9360"/>
            <w:shd w:val="clear" w:color="auto" w:fill="F2F5FA"/>
          </w:tcPr>
          <w:p>
            <w:r/>
            <w:r>
              <w:rPr>
                <w:i/>
                <w:sz w:val="20"/>
              </w:rPr>
              <w:t>Everything named in this document is invented. Northline Learning Partners, Fairbrook Area School District, Cedar Ridge Middle School, Halstead Middle School and West Branch Middle School are composite examples written for this file. No real organization, school district, campus, funder or person is described, and no funder made this award. The enrollment, assessment, attendance and cost figures are illustrative and exist to show method, not to be quoted as data. Replace all of them before you submit.</w:t>
            </w:r>
          </w:p>
        </w:tc>
      </w:tr>
    </w:tbl>
    <w:p/>
    <w:p>
      <w:r>
        <w:t>This file accompanies the article Sample Grant Proposal for Education Nonprofit Programs at grantcue.com/blog/sample-grant-proposal-education-nonprofit. There is no email gate, no watermark and no cut short section. Use it, edit it, and share it.</w:t>
      </w:r>
    </w:p>
    <w:p>
      <w:r>
        <w:br w:type="page"/>
      </w:r>
    </w:p>
    <w:p>
      <w:pPr>
        <w:pStyle w:val="Heading1"/>
      </w:pPr>
      <w:r>
        <w:t>1. How to Use This Document</w:t>
      </w:r>
    </w:p>
    <w:p>
      <w:r>
        <w:t>Read the proposal straight through once so the chain of evidence is visible: the statement of need names specific students, the objectives name the instrument that will measure those students, the budget pays for that instrument, and the evaluation plan reports on it. A proposal breaks when one of those links is missing, and a reviewer notices the break faster than a writer does.</w:t>
      </w:r>
    </w:p>
    <w:p>
      <w:r>
        <w:t>Then work in this order, which is not the order the sections appear in. Confirm the school or district partnership first, because almost nothing else can be written honestly without it. Gather the campus-level data your need statement will rest on. Decide the schedule and the dosage the schedule actually delivers. Write two to four objectives against that dosage. Build the budget from the staffing plan. Write the evaluation and sustainability sections. Draft the executive summary and cover letter last, once every number has stopped moving.</w:t>
      </w:r>
    </w:p>
    <w:p>
      <w:pPr>
        <w:pStyle w:val="Heading2"/>
      </w:pPr>
      <w:r>
        <w:t>What you have to replace</w:t>
      </w:r>
    </w:p>
    <w:p>
      <w:pPr>
        <w:pStyle w:val="ListBullet"/>
      </w:pPr>
      <w:r>
        <w:t>The organization name, address, EIN, founding year, staff counts and program history in Section 5.</w:t>
      </w:r>
    </w:p>
    <w:p>
      <w:pPr>
        <w:pStyle w:val="ListBullet"/>
      </w:pPr>
      <w:r>
        <w:t>The district, campuses, enrollment, meal-eligibility share, screener results and intervention capacity in Section 6.</w:t>
      </w:r>
    </w:p>
    <w:p>
      <w:pPr>
        <w:pStyle w:val="ListBullet"/>
      </w:pPr>
      <w:r>
        <w:t>The funder name, contact and mailing address in the cover letter, and the indirect cost cap in Section 10.</w:t>
      </w:r>
    </w:p>
    <w:p>
      <w:pPr>
        <w:pStyle w:val="ListBullet"/>
      </w:pPr>
      <w:r>
        <w:t>Every salary, stipend rate, license price, transportation rate and clearance fee in Sections 10 and 11.</w:t>
      </w:r>
    </w:p>
    <w:p>
      <w:pPr>
        <w:pStyle w:val="ListBullet"/>
      </w:pPr>
      <w:r>
        <w:t>The instrument names in Sections 8 and 9. Use whatever your district actually administers.</w:t>
      </w:r>
    </w:p>
    <w:p>
      <w:pPr>
        <w:pStyle w:val="ListBullet"/>
      </w:pPr>
      <w:r>
        <w:t>All dates. The example runs the 2026-27 school year with a spring 2026 submission.</w:t>
      </w:r>
    </w:p>
    <w:p>
      <w:pPr>
        <w:pStyle w:val="Heading2"/>
      </w:pPr>
      <w:r>
        <w:t>What you can usually keep</w:t>
      </w:r>
    </w:p>
    <w:p>
      <w:pPr>
        <w:pStyle w:val="ListBullet"/>
      </w:pPr>
      <w:r>
        <w:t>The section order and the headings, which match what most education funders ask for.</w:t>
      </w:r>
    </w:p>
    <w:p>
      <w:pPr>
        <w:pStyle w:val="ListBullet"/>
      </w:pPr>
      <w:r>
        <w:t>The grammar of the objectives: instrument, baseline, dosage threshold, target, deadline.</w:t>
      </w:r>
    </w:p>
    <w:p>
      <w:pPr>
        <w:pStyle w:val="ListBullet"/>
      </w:pPr>
      <w:r>
        <w:t>The budget line categories, including the four that school-based programs forget: late-activity transportation, staff clearances, assessment licenses and tutor training.</w:t>
      </w:r>
    </w:p>
    <w:p>
      <w:pPr>
        <w:pStyle w:val="ListBullet"/>
      </w:pPr>
      <w:r>
        <w:t>The pairing of a dosage measure with an academic measure in the evaluation plan.</w:t>
      </w:r>
    </w:p>
    <w:p>
      <w:pPr>
        <w:pStyle w:val="ListBullet"/>
      </w:pPr>
      <w:r>
        <w:t>The sustainability structure, which names one path and one decision date rather than promising diversified funding.</w:t>
      </w:r>
    </w:p>
    <w:p>
      <w:pPr>
        <w:pStyle w:val="ListBullet"/>
      </w:pPr>
      <w:r>
        <w:t>The four objections answered in Appendix B, which education reviewers raise regardless of program type.</w:t>
      </w:r>
    </w:p>
    <w:p>
      <w:pPr>
        <w:pStyle w:val="Heading2"/>
      </w:pPr>
      <w:r>
        <w:t>A note on length</w:t>
      </w:r>
    </w:p>
    <w:p>
      <w:r>
        <w:t>This document is longer than most funders will accept, on purpose, so that every section is fully modelled. Follow the funder's stated page limit exactly. Federal notices publish section-level limits in the notice of funding opportunity and foundation guidelines publish them in the application instructions. If no limit is given, ask the program officer rather than guessing. Appendix C gives the section lengths an education reviewer typically expects when no limit is stated.</w:t>
      </w:r>
    </w:p>
    <w:p>
      <w:r>
        <w:br w:type="page"/>
      </w:r>
    </w:p>
    <w:p>
      <w:pPr>
        <w:pStyle w:val="Heading1"/>
      </w:pPr>
      <w:r>
        <w:t>2. Proposal at a Glance</w:t>
      </w:r>
    </w:p>
    <w:p>
      <w:pPr>
        <w:pStyle w:val="AdaptationNote"/>
      </w:pPr>
      <w:r>
        <w:t>Adapt this section: Funders rarely ask for this page. Build it anyway and keep it on your own file, because it is the fastest way to catch a number that stopped agreeing with the rest of the proposal.</w:t>
      </w:r>
    </w:p>
    <w:tbl>
      <w:tblPr>
        <w:tblStyle w:val="LightGrid-Accent1"/>
        <w:tblW w:type="auto" w:w="0"/>
        <w:jc w:val="center"/>
        <w:tblLayout w:type="autofit"/>
        <w:tblLook w:firstColumn="1" w:firstRow="1" w:lastColumn="0" w:lastRow="0" w:noHBand="0" w:noVBand="1" w:val="04A0"/>
      </w:tblPr>
      <w:tblGrid>
        <w:gridCol w:w="4680"/>
        <w:gridCol w:w="4680"/>
      </w:tblGrid>
      <w:tr>
        <w:tc>
          <w:tcPr>
            <w:tcW w:type="dxa" w:w="2736"/>
          </w:tcPr>
          <w:p>
            <w:r/>
            <w:r>
              <w:rPr>
                <w:b/>
                <w:sz w:val="20"/>
              </w:rPr>
              <w:t>Item</w:t>
            </w:r>
          </w:p>
        </w:tc>
        <w:tc>
          <w:tcPr>
            <w:tcW w:type="dxa" w:w="6624"/>
          </w:tcPr>
          <w:p>
            <w:r/>
            <w:r>
              <w:rPr>
                <w:b/>
                <w:sz w:val="20"/>
              </w:rPr>
              <w:t>Example value</w:t>
            </w:r>
          </w:p>
        </w:tc>
      </w:tr>
      <w:tr>
        <w:tc>
          <w:tcPr>
            <w:tcW w:type="dxa" w:w="2736"/>
          </w:tcPr>
          <w:p>
            <w:r/>
            <w:r>
              <w:rPr>
                <w:sz w:val="20"/>
              </w:rPr>
              <w:t>Applicant</w:t>
            </w:r>
          </w:p>
        </w:tc>
        <w:tc>
          <w:tcPr>
            <w:tcW w:type="dxa" w:w="6624"/>
          </w:tcPr>
          <w:p>
            <w:r/>
            <w:r>
              <w:rPr>
                <w:sz w:val="20"/>
              </w:rPr>
              <w:t>Northline Learning Partners, a 501(c)(3) public charity (example organization)</w:t>
            </w:r>
          </w:p>
        </w:tc>
      </w:tr>
      <w:tr>
        <w:tc>
          <w:tcPr>
            <w:tcW w:type="dxa" w:w="2736"/>
          </w:tcPr>
          <w:p>
            <w:r/>
            <w:r>
              <w:rPr>
                <w:sz w:val="20"/>
              </w:rPr>
              <w:t>Project title</w:t>
            </w:r>
          </w:p>
        </w:tc>
        <w:tc>
          <w:tcPr>
            <w:tcW w:type="dxa" w:w="6624"/>
          </w:tcPr>
          <w:p>
            <w:r/>
            <w:r>
              <w:rPr>
                <w:sz w:val="20"/>
              </w:rPr>
              <w:t>Middle Grades Math Acceleration Partnership</w:t>
            </w:r>
          </w:p>
        </w:tc>
      </w:tr>
      <w:tr>
        <w:tc>
          <w:tcPr>
            <w:tcW w:type="dxa" w:w="2736"/>
          </w:tcPr>
          <w:p>
            <w:r/>
            <w:r>
              <w:rPr>
                <w:sz w:val="20"/>
              </w:rPr>
              <w:t>School partner</w:t>
            </w:r>
          </w:p>
        </w:tc>
        <w:tc>
          <w:tcPr>
            <w:tcW w:type="dxa" w:w="6624"/>
          </w:tcPr>
          <w:p>
            <w:r/>
            <w:r>
              <w:rPr>
                <w:sz w:val="20"/>
              </w:rPr>
              <w:t>Fairbrook Area School District (example district), three middle schools</w:t>
            </w:r>
          </w:p>
        </w:tc>
      </w:tr>
      <w:tr>
        <w:tc>
          <w:tcPr>
            <w:tcW w:type="dxa" w:w="2736"/>
          </w:tcPr>
          <w:p>
            <w:r/>
            <w:r>
              <w:rPr>
                <w:sz w:val="20"/>
              </w:rPr>
              <w:t>Students served</w:t>
            </w:r>
          </w:p>
        </w:tc>
        <w:tc>
          <w:tcPr>
            <w:tcW w:type="dxa" w:w="6624"/>
          </w:tcPr>
          <w:p>
            <w:r/>
            <w:r>
              <w:rPr>
                <w:sz w:val="20"/>
              </w:rPr>
              <w:t>120 students in grades 6 and 7 who scored below benchmark on the fall math screener</w:t>
            </w:r>
          </w:p>
        </w:tc>
      </w:tr>
      <w:tr>
        <w:tc>
          <w:tcPr>
            <w:tcW w:type="dxa" w:w="2736"/>
          </w:tcPr>
          <w:p>
            <w:r/>
            <w:r>
              <w:rPr>
                <w:sz w:val="20"/>
              </w:rPr>
              <w:t>Grade band</w:t>
            </w:r>
          </w:p>
        </w:tc>
        <w:tc>
          <w:tcPr>
            <w:tcW w:type="dxa" w:w="6624"/>
          </w:tcPr>
          <w:p>
            <w:r/>
            <w:r>
              <w:rPr>
                <w:sz w:val="20"/>
              </w:rPr>
              <w:t>Grades 6 and 7</w:t>
            </w:r>
          </w:p>
        </w:tc>
      </w:tr>
      <w:tr>
        <w:tc>
          <w:tcPr>
            <w:tcW w:type="dxa" w:w="2736"/>
          </w:tcPr>
          <w:p>
            <w:r/>
            <w:r>
              <w:rPr>
                <w:sz w:val="20"/>
              </w:rPr>
              <w:t>Grant period</w:t>
            </w:r>
          </w:p>
        </w:tc>
        <w:tc>
          <w:tcPr>
            <w:tcW w:type="dxa" w:w="6624"/>
          </w:tcPr>
          <w:p>
            <w:r/>
            <w:r>
              <w:rPr>
                <w:sz w:val="20"/>
              </w:rPr>
              <w:t>August 17, 2026 through June 30, 2027</w:t>
            </w:r>
          </w:p>
        </w:tc>
      </w:tr>
      <w:tr>
        <w:tc>
          <w:tcPr>
            <w:tcW w:type="dxa" w:w="2736"/>
          </w:tcPr>
          <w:p>
            <w:r/>
            <w:r>
              <w:rPr>
                <w:sz w:val="20"/>
              </w:rPr>
              <w:t>Session schedule</w:t>
            </w:r>
          </w:p>
        </w:tc>
        <w:tc>
          <w:tcPr>
            <w:tcW w:type="dxa" w:w="6624"/>
          </w:tcPr>
          <w:p>
            <w:r/>
            <w:r>
              <w:rPr>
                <w:sz w:val="20"/>
              </w:rPr>
              <w:t>Monday through Thursday, 3:05 to 4:30 p.m., 30 program weeks, 120 sessions offered</w:t>
            </w:r>
          </w:p>
        </w:tc>
      </w:tr>
      <w:tr>
        <w:tc>
          <w:tcPr>
            <w:tcW w:type="dxa" w:w="2736"/>
          </w:tcPr>
          <w:p>
            <w:r/>
            <w:r>
              <w:rPr>
                <w:sz w:val="20"/>
              </w:rPr>
              <w:t>Instructional dose</w:t>
            </w:r>
          </w:p>
        </w:tc>
        <w:tc>
          <w:tcPr>
            <w:tcW w:type="dxa" w:w="6624"/>
          </w:tcPr>
          <w:p>
            <w:r/>
            <w:r>
              <w:rPr>
                <w:sz w:val="20"/>
              </w:rPr>
              <w:t>60 minutes of small-group math per session, up to 120 hours per student</w:t>
            </w:r>
          </w:p>
        </w:tc>
      </w:tr>
      <w:tr>
        <w:tc>
          <w:tcPr>
            <w:tcW w:type="dxa" w:w="2736"/>
          </w:tcPr>
          <w:p>
            <w:r/>
            <w:r>
              <w:rPr>
                <w:sz w:val="20"/>
              </w:rPr>
              <w:t>Dosage threshold</w:t>
            </w:r>
          </w:p>
        </w:tc>
        <w:tc>
          <w:tcPr>
            <w:tcW w:type="dxa" w:w="6624"/>
          </w:tcPr>
          <w:p>
            <w:r/>
            <w:r>
              <w:rPr>
                <w:sz w:val="20"/>
              </w:rPr>
              <w:t>60 or more sessions attended</w:t>
            </w:r>
          </w:p>
        </w:tc>
      </w:tr>
      <w:tr>
        <w:tc>
          <w:tcPr>
            <w:tcW w:type="dxa" w:w="2736"/>
          </w:tcPr>
          <w:p>
            <w:r/>
            <w:r>
              <w:rPr>
                <w:sz w:val="20"/>
              </w:rPr>
              <w:t>Amount requested</w:t>
            </w:r>
          </w:p>
        </w:tc>
        <w:tc>
          <w:tcPr>
            <w:tcW w:type="dxa" w:w="6624"/>
          </w:tcPr>
          <w:p>
            <w:r/>
            <w:r>
              <w:rPr>
                <w:sz w:val="20"/>
              </w:rPr>
              <w:t>$116,105</w:t>
            </w:r>
          </w:p>
        </w:tc>
      </w:tr>
      <w:tr>
        <w:tc>
          <w:tcPr>
            <w:tcW w:type="dxa" w:w="2736"/>
          </w:tcPr>
          <w:p>
            <w:r/>
            <w:r>
              <w:rPr>
                <w:sz w:val="20"/>
              </w:rPr>
              <w:t>Documented in-kind and matching support</w:t>
            </w:r>
          </w:p>
        </w:tc>
        <w:tc>
          <w:tcPr>
            <w:tcW w:type="dxa" w:w="6624"/>
          </w:tcPr>
          <w:p>
            <w:r/>
            <w:r>
              <w:rPr>
                <w:sz w:val="20"/>
              </w:rPr>
              <w:t>$18,220</w:t>
            </w:r>
          </w:p>
        </w:tc>
      </w:tr>
      <w:tr>
        <w:tc>
          <w:tcPr>
            <w:tcW w:type="dxa" w:w="2736"/>
          </w:tcPr>
          <w:p>
            <w:r/>
            <w:r>
              <w:rPr>
                <w:sz w:val="20"/>
              </w:rPr>
              <w:t>Cost per student</w:t>
            </w:r>
          </w:p>
        </w:tc>
        <w:tc>
          <w:tcPr>
            <w:tcW w:type="dxa" w:w="6624"/>
          </w:tcPr>
          <w:p>
            <w:r/>
            <w:r>
              <w:rPr>
                <w:sz w:val="20"/>
              </w:rPr>
              <w:t>$968 for the program year</w:t>
            </w:r>
          </w:p>
        </w:tc>
      </w:tr>
      <w:tr>
        <w:tc>
          <w:tcPr>
            <w:tcW w:type="dxa" w:w="2736"/>
          </w:tcPr>
          <w:p>
            <w:r/>
            <w:r>
              <w:rPr>
                <w:sz w:val="20"/>
              </w:rPr>
              <w:t>Primary outcome claim</w:t>
            </w:r>
          </w:p>
        </w:tc>
        <w:tc>
          <w:tcPr>
            <w:tcW w:type="dxa" w:w="6624"/>
          </w:tcPr>
          <w:p>
            <w:r/>
            <w:r>
              <w:rPr>
                <w:sz w:val="20"/>
              </w:rPr>
              <w:t>At least 65 percent of students attending 60 or more sessions move up one or more performance bands on the district math benchmark between the fall and spring administrations</w:t>
            </w:r>
          </w:p>
        </w:tc>
      </w:tr>
    </w:tbl>
    <w:p/>
    <w:p>
      <w:r>
        <w:br w:type="page"/>
      </w:r>
    </w:p>
    <w:p>
      <w:pPr>
        <w:pStyle w:val="Heading1"/>
      </w:pPr>
      <w:r>
        <w:t>3. Cover Letter</w:t>
      </w:r>
    </w:p>
    <w:p>
      <w:pPr>
        <w:pStyle w:val="AdaptationNote"/>
      </w:pPr>
      <w:r>
        <w:t>Adapt this section: One page, signed by the executive director, naming the school partner in the first paragraph. Address it to the program officer by name if you have it. If the funder's guidelines do not ask for a cover letter, do not send one.</w:t>
      </w:r>
    </w:p>
    <w:p>
      <w:r>
        <w:t>April 10, 2026</w:t>
      </w:r>
    </w:p>
    <w:p>
      <w:r>
        <w:t>Grants Program Officer</w:t>
      </w:r>
    </w:p>
    <w:p>
      <w:r>
        <w:t>Funder name</w:t>
      </w:r>
    </w:p>
    <w:p>
      <w:r>
        <w:t>Street address</w:t>
      </w:r>
    </w:p>
    <w:p>
      <w:r>
        <w:t>City, State ZIP</w:t>
      </w:r>
    </w:p>
    <w:p/>
    <w:p>
      <w:r>
        <w:t>Dear Program Officer,</w:t>
      </w:r>
    </w:p>
    <w:p>
      <w:r>
        <w:t>Northline Learning Partners requests $116,105 to deliver after-school small-group math instruction to 120 students in grades 6 and 7 at three middle schools in Fairbrook Area School District during the 2026-27 school year. The district has signed a memorandum of understanding covering facility use, staff supervision, student data sharing and transportation, and it is included as Attachment B.</w:t>
      </w:r>
    </w:p>
    <w:p>
      <w:r>
        <w:t>This past fall, 412 students in grades 6 and 7 at Cedar Ridge, Halstead and West Branch middle schools scored below benchmark on the district math screener. The master schedule at those campuses supports intervention blocks for about 140 of them. The remaining 272 students receive core instruction and nothing further. Our request funds four afternoons a week of small-group instruction for 86 of those students, which reduces the unserved group by just under a third at a cost of $968 per student for the year.</w:t>
      </w:r>
    </w:p>
    <w:p>
      <w:r>
        <w:t>The program is deliberately narrow. Students attend Monday through Thursday for 60 minutes of small-group math, working from the same standards and the same progress-monitoring platform the district uses during the school day, so that a Fairbrook staff member can verify our results from systems the district already runs. We commit to a specific claim: at least 65 percent of students who attend 60 or more of the 120 offered sessions will move up at least one performance band on the district math benchmark between the fall and spring administrations. We will report enrolled students and students meeting that attendance threshold as two separate numbers, because they are two separate numbers.</w:t>
      </w:r>
    </w:p>
    <w:p>
      <w:r>
        <w:t>Northline Learning Partners has run after-school academic programming in this region since 2014 and has held a data-sharing agreement with Fairbrook since 2022. Our audited financial statements, IRS determination letter, board roster and the three principals' letters of support are attached.</w:t>
      </w:r>
    </w:p>
    <w:p>
      <w:r>
        <w:t>The district's assistant superintendent for teaching and learning has agreed to review the program for a fee-for-service line in the 2027-28 district budget, which the board adopts in April 2027. Section 12 explains that path and what happens if the district does not take it up.</w:t>
      </w:r>
    </w:p>
    <w:p>
      <w:r>
        <w:t>Thank you for considering this request. I am glad to arrange a site visit during program hours at any of the three campuses.</w:t>
      </w:r>
    </w:p>
    <w:p/>
    <w:p>
      <w:r>
        <w:t>Sincerely,</w:t>
      </w:r>
    </w:p>
    <w:p/>
    <w:p/>
    <w:p>
      <w:r>
        <w:t>Executive Director</w:t>
      </w:r>
    </w:p>
    <w:p>
      <w:r>
        <w:t>Northline Learning Partners</w:t>
      </w:r>
    </w:p>
    <w:p>
      <w:r>
        <w:t>Phone | Email | EIN</w:t>
      </w:r>
    </w:p>
    <w:p>
      <w:pPr>
        <w:pStyle w:val="AdaptationNote"/>
      </w:pPr>
      <w:r>
        <w:t>Replace the signature block with your executive director's name, title, signature, direct phone, email and your organization's EIN.</w:t>
      </w:r>
    </w:p>
    <w:p>
      <w:r>
        <w:br w:type="page"/>
      </w:r>
    </w:p>
    <w:p>
      <w:pPr>
        <w:pStyle w:val="Heading1"/>
      </w:pPr>
      <w:r>
        <w:t>4. Executive Summary</w:t>
      </w:r>
    </w:p>
    <w:p>
      <w:pPr>
        <w:pStyle w:val="AdaptationNote"/>
      </w:pPr>
      <w:r>
        <w:t>Adapt this section: Write this last. One page. It should contain the students served, the grade band, the request amount and a single outcome claim, and a reviewer should be able to stop reading after it and still describe your program accurately.</w:t>
      </w:r>
    </w:p>
    <w:p>
      <w:r>
        <w:t>Northline Learning Partners requests $116,105 for the Middle Grades Math Acceleration Partnership, a one-year, school-year-long after-school math intervention serving 120 students in grades 6 and 7 at Cedar Ridge, Halstead and West Branch middle schools in Fairbrook Area School District.</w:t>
      </w:r>
    </w:p>
    <w:p>
      <w:r>
        <w:t>The need is specific and locally documented. On the fall administration of the district math screener, 412 students in grades 6 and 7 at these three campuses scored below benchmark. The in-school intervention blocks the master schedule permits reach approximately 140 of those students. This proposal funds additional service for 120 students, 86 of them currently unserved, delivered outside the school day so that it neither displaces core instruction nor duplicates a service the schools already provide.</w:t>
      </w:r>
    </w:p>
    <w:p>
      <w:r>
        <w:t>Students attend Monday through Thursday from 3:05 to 4:30 p.m. for 30 program weeks, a schedule that offers 120 sessions and up to 120 hours of small-group math instruction per student. Each site enrolls 40 students and is staffed by a site coordinator and a rotating team of trained tutors, planned around groups of no more than eight students. Instruction follows the district's grade 6 and 7 math standards and uses the district's progress-monitoring platform, so growth is measured on the instrument Fairbrook already administers.</w:t>
      </w:r>
    </w:p>
    <w:p>
      <w:r>
        <w:t>The program commits to three measurable objectives, all due by June 2027. At least 84 of the 120 enrolled students will attend 60 or more of the 120 offered sessions. Among students meeting that attendance threshold, at least 65 percent will move up one or more performance bands on the district math benchmark between the fall and spring administrations, from a fall baseline in which all enrolled students scored below benchmark. At least 85 percent of students meeting the threshold will earn a passing final grade in their year-long math course, against a campus baseline of 71 percent among below-benchmark peers in the prior year. Attendance, benchmark results and course grades all come from district systems and are shared under an executed data-sharing agreement.</w:t>
      </w:r>
    </w:p>
    <w:p>
      <w:r>
        <w:t>The budget totals $105,550 in direct costs plus $10,555 in indirect costs at the 10 percent rate this funder caps at, for a request of $116,105, or $968 per student for the year. Fairbrook contributes documented in-kind support valued at $14,220, covering facility use and a certified teacher liaison at each campus, and Northline commits $4,000 in evaluator time, for $18,220 in total documented support.</w:t>
      </w:r>
    </w:p>
    <w:p>
      <w:r>
        <w:t>For year two, the district's assistant superintendent for teaching and learning has agreed to consider a fee-for-service line at a per-student rate in the 2027-28 district budget, which the board adopts in April 2027. Section 12 names that path, the decision date and the fallback if the district declines.</w:t>
      </w:r>
    </w:p>
    <w:p>
      <w:r>
        <w:br w:type="page"/>
      </w:r>
    </w:p>
    <w:p>
      <w:pPr>
        <w:pStyle w:val="Heading1"/>
      </w:pPr>
      <w:r>
        <w:t>5. Organization Background and Capacity</w:t>
      </w:r>
    </w:p>
    <w:p>
      <w:pPr>
        <w:pStyle w:val="AdaptationNote"/>
      </w:pPr>
      <w:r>
        <w:t>Adapt this section: Education funders read this section for one thing: whether you have run a program inside a school building before. Lead with years in schools and current district relationships, not with mission language.</w:t>
      </w:r>
    </w:p>
    <w:p>
      <w:r>
        <w:t>Northline Learning Partners is a 501(c)(3) public charity founded in 2014 to deliver out-of-school academic support in partnership with public school districts. The organization works only inside district partnerships. It does not operate a standalone site, and it does not enroll students who are not referred through a partner school, because student-level academic reporting depends on access to district records.</w:t>
      </w:r>
    </w:p>
    <w:p>
      <w:r>
        <w:t>In the 2025-26 school year, Northline served 640 students across two districts and eleven campuses in after-school literacy and math programming, with an organizational budget of $1.42 million and a staff of nine full-time employees and 46 part-time tutors. Average daily attendance across all sites was 63 percent of enrolled students, and 68 percent of enrolled students met the program's 60-session attendance threshold. Those figures are reported here because a funder is entitled to know what attendance a program of this design actually achieves before being asked to fund a new one.</w:t>
      </w:r>
    </w:p>
    <w:p>
      <w:r>
        <w:t>Northline has partnered with Fairbrook Area School District since 2022, initially through a reading program at two elementary campuses. The district and Northline have held an executed data-sharing agreement since that first year, which means the mechanism for receiving student-level assessment and attendance data is already tested rather than promised. All Northline staff and tutors complete state criminal background, child abuse registry and FBI fingerprint clearances before working with students, and clearances are reverified annually under district policy.</w:t>
      </w:r>
    </w:p>
    <w:p>
      <w:pPr>
        <w:pStyle w:val="Heading2"/>
      </w:pPr>
      <w:r>
        <w:t>5.1 Relevant experience</w:t>
      </w:r>
    </w:p>
    <w:p>
      <w:r>
        <w:t>Northline has operated after-school math programming at the middle grades level since 2021. In 2025-26, a comparable program at two middle schools in a neighboring district enrolled 78 students, of whom 54 attended 60 or more sessions. Among those 54 students, 33 moved up at least one performance band on that district's math benchmark between fall and spring. That result, 61 percent, is the basis for the 65 percent target set in Objective 2, adjusted upward modestly because the Fairbrook design increases weekly session count from three afternoons to four.</w:t>
      </w:r>
    </w:p>
    <w:p>
      <w:r>
        <w:t>Two things did not work in that program and have been changed in this design. Attendance fell sharply after the winter holiday, so this proposal budgets a mid-year re-recruitment cycle and a documented family contact protocol triggered by three consecutive absences. Tutors were also recruited too close to the start date, so the implementation timeline in Section 7.8 closes tutor recruitment three weeks before the first session.</w:t>
      </w:r>
    </w:p>
    <w:p>
      <w:pPr>
        <w:pStyle w:val="Heading2"/>
      </w:pPr>
      <w:r>
        <w:t>5.2 Fiscal and administrative capacity</w:t>
      </w:r>
    </w:p>
    <w:p>
      <w:r>
        <w:t>Northline completes an annual independent audit and files IRS Form 990. The most recent audit contained no findings and no management letter comments. The organization uses fund accounting with grant-level cost centers, so expenditures against this award can be reported by budget line without reconstruction. Payroll, benefits and clearance tracking run through a single system, and time and effort are certified monthly for all staff charged to restricted awards. Northline has managed federal subawards passed through a state education agency and is familiar with the cost principles in 2 CFR Part 200.</w:t>
      </w:r>
    </w:p>
    <w:p>
      <w:r>
        <w:br w:type="page"/>
      </w:r>
    </w:p>
    <w:p>
      <w:pPr>
        <w:pStyle w:val="Heading1"/>
      </w:pPr>
      <w:r>
        <w:t>6. Statement of Need</w:t>
      </w:r>
    </w:p>
    <w:p>
      <w:pPr>
        <w:pStyle w:val="AdaptationNote"/>
      </w:pPr>
      <w:r>
        <w:t>Adapt this section: Every figure here should come from a system the district already maintains, and you should be able to name that system. National reading or math statistics tell a funder nothing about whether your program is needed at these campuses. Replace all six columns of the table below with your own campus data before submitting.</w:t>
      </w:r>
    </w:p>
    <w:p>
      <w:pPr>
        <w:pStyle w:val="Heading2"/>
      </w:pPr>
      <w:r>
        <w:t>6.1 The district and the three campuses</w:t>
      </w:r>
    </w:p>
    <w:p>
      <w:r>
        <w:t>Fairbrook Area School District enrolls approximately 7,400 students across eleven schools, three of which are middle schools serving grades 6 through 8. This proposal serves grades 6 and 7 at all three: Cedar Ridge, Halstead and West Branch. Combined enrollment in those two grades across the three campuses is 1,180 students, and 68 percent of them qualify for free or reduced-price meals. All three campuses receive Title I funds, and Cedar Ridge and Halstead operate schoolwide Title I programs.</w:t>
      </w:r>
    </w:p>
    <w:p>
      <w:r>
        <w:t>The table below reports the fall administration of the district's universal math screener, which Fairbrook administers to all students in grades 6 through 8 in September, December and April. The final two columns come from the master schedule at each campus and count the intervention seats available during the school day.</w:t>
      </w:r>
    </w:p>
    <w:tbl>
      <w:tblPr>
        <w:tblStyle w:val="LightGrid-Accent1"/>
        <w:tblW w:type="auto" w:w="0"/>
        <w:jc w:val="center"/>
        <w:tblLayout w:type="autofit"/>
        <w:tblLook w:firstColumn="1" w:firstRow="1" w:lastColumn="0" w:lastRow="0" w:noHBand="0" w:noVBand="1" w:val="04A0"/>
      </w:tblPr>
      <w:tblGrid>
        <w:gridCol w:w="1560"/>
        <w:gridCol w:w="1560"/>
        <w:gridCol w:w="1560"/>
        <w:gridCol w:w="1560"/>
        <w:gridCol w:w="1560"/>
        <w:gridCol w:w="1560"/>
      </w:tblGrid>
      <w:tr>
        <w:tc>
          <w:tcPr>
            <w:tcW w:type="dxa" w:w="2232"/>
          </w:tcPr>
          <w:p>
            <w:r/>
            <w:r>
              <w:rPr>
                <w:b/>
                <w:sz w:val="20"/>
              </w:rPr>
              <w:t>Campus</w:t>
            </w:r>
          </w:p>
        </w:tc>
        <w:tc>
          <w:tcPr>
            <w:tcW w:type="dxa" w:w="1368"/>
          </w:tcPr>
          <w:p>
            <w:r/>
            <w:r>
              <w:rPr>
                <w:b/>
                <w:sz w:val="20"/>
              </w:rPr>
              <w:t>Grade 6-7 enrollment</w:t>
            </w:r>
          </w:p>
        </w:tc>
        <w:tc>
          <w:tcPr>
            <w:tcW w:type="dxa" w:w="1656"/>
          </w:tcPr>
          <w:p>
            <w:r/>
            <w:r>
              <w:rPr>
                <w:b/>
                <w:sz w:val="20"/>
              </w:rPr>
              <w:t>Free or reduced-price meal eligibility</w:t>
            </w:r>
          </w:p>
        </w:tc>
        <w:tc>
          <w:tcPr>
            <w:tcW w:type="dxa" w:w="1512"/>
          </w:tcPr>
          <w:p>
            <w:r/>
            <w:r>
              <w:rPr>
                <w:b/>
                <w:sz w:val="20"/>
              </w:rPr>
              <w:t>Below benchmark, fall math screener</w:t>
            </w:r>
          </w:p>
        </w:tc>
        <w:tc>
          <w:tcPr>
            <w:tcW w:type="dxa" w:w="1440"/>
          </w:tcPr>
          <w:p>
            <w:r/>
            <w:r>
              <w:rPr>
                <w:b/>
                <w:sz w:val="20"/>
              </w:rPr>
              <w:t>Served by in-school intervention block</w:t>
            </w:r>
          </w:p>
        </w:tc>
        <w:tc>
          <w:tcPr>
            <w:tcW w:type="dxa" w:w="1152"/>
          </w:tcPr>
          <w:p>
            <w:r/>
            <w:r>
              <w:rPr>
                <w:b/>
                <w:sz w:val="20"/>
              </w:rPr>
              <w:t>Not currently served</w:t>
            </w:r>
          </w:p>
        </w:tc>
      </w:tr>
      <w:tr>
        <w:tc>
          <w:tcPr>
            <w:tcW w:type="dxa" w:w="2232"/>
          </w:tcPr>
          <w:p>
            <w:r/>
            <w:r>
              <w:rPr>
                <w:sz w:val="20"/>
              </w:rPr>
              <w:t>Cedar Ridge Middle School</w:t>
            </w:r>
          </w:p>
        </w:tc>
        <w:tc>
          <w:tcPr>
            <w:tcW w:type="dxa" w:w="1368"/>
          </w:tcPr>
          <w:p>
            <w:r/>
            <w:r>
              <w:rPr>
                <w:sz w:val="20"/>
              </w:rPr>
              <w:t>430</w:t>
            </w:r>
          </w:p>
        </w:tc>
        <w:tc>
          <w:tcPr>
            <w:tcW w:type="dxa" w:w="1656"/>
          </w:tcPr>
          <w:p>
            <w:r/>
            <w:r>
              <w:rPr>
                <w:sz w:val="20"/>
              </w:rPr>
              <w:t>68%</w:t>
            </w:r>
          </w:p>
        </w:tc>
        <w:tc>
          <w:tcPr>
            <w:tcW w:type="dxa" w:w="1512"/>
          </w:tcPr>
          <w:p>
            <w:r/>
            <w:r>
              <w:rPr>
                <w:sz w:val="20"/>
              </w:rPr>
              <w:t>158</w:t>
            </w:r>
          </w:p>
        </w:tc>
        <w:tc>
          <w:tcPr>
            <w:tcW w:type="dxa" w:w="1440"/>
          </w:tcPr>
          <w:p>
            <w:r/>
            <w:r>
              <w:rPr>
                <w:sz w:val="20"/>
              </w:rPr>
              <w:t>52</w:t>
            </w:r>
          </w:p>
        </w:tc>
        <w:tc>
          <w:tcPr>
            <w:tcW w:type="dxa" w:w="1152"/>
          </w:tcPr>
          <w:p>
            <w:r/>
            <w:r>
              <w:rPr>
                <w:sz w:val="20"/>
              </w:rPr>
              <w:t>106</w:t>
            </w:r>
          </w:p>
        </w:tc>
      </w:tr>
      <w:tr>
        <w:tc>
          <w:tcPr>
            <w:tcW w:type="dxa" w:w="2232"/>
          </w:tcPr>
          <w:p>
            <w:r/>
            <w:r>
              <w:rPr>
                <w:sz w:val="20"/>
              </w:rPr>
              <w:t>Halstead Middle School</w:t>
            </w:r>
          </w:p>
        </w:tc>
        <w:tc>
          <w:tcPr>
            <w:tcW w:type="dxa" w:w="1368"/>
          </w:tcPr>
          <w:p>
            <w:r/>
            <w:r>
              <w:rPr>
                <w:sz w:val="20"/>
              </w:rPr>
              <w:t>396</w:t>
            </w:r>
          </w:p>
        </w:tc>
        <w:tc>
          <w:tcPr>
            <w:tcW w:type="dxa" w:w="1656"/>
          </w:tcPr>
          <w:p>
            <w:r/>
            <w:r>
              <w:rPr>
                <w:sz w:val="20"/>
              </w:rPr>
              <w:t>74%</w:t>
            </w:r>
          </w:p>
        </w:tc>
        <w:tc>
          <w:tcPr>
            <w:tcW w:type="dxa" w:w="1512"/>
          </w:tcPr>
          <w:p>
            <w:r/>
            <w:r>
              <w:rPr>
                <w:sz w:val="20"/>
              </w:rPr>
              <w:t>149</w:t>
            </w:r>
          </w:p>
        </w:tc>
        <w:tc>
          <w:tcPr>
            <w:tcW w:type="dxa" w:w="1440"/>
          </w:tcPr>
          <w:p>
            <w:r/>
            <w:r>
              <w:rPr>
                <w:sz w:val="20"/>
              </w:rPr>
              <w:t>48</w:t>
            </w:r>
          </w:p>
        </w:tc>
        <w:tc>
          <w:tcPr>
            <w:tcW w:type="dxa" w:w="1152"/>
          </w:tcPr>
          <w:p>
            <w:r/>
            <w:r>
              <w:rPr>
                <w:sz w:val="20"/>
              </w:rPr>
              <w:t>101</w:t>
            </w:r>
          </w:p>
        </w:tc>
      </w:tr>
      <w:tr>
        <w:tc>
          <w:tcPr>
            <w:tcW w:type="dxa" w:w="2232"/>
          </w:tcPr>
          <w:p>
            <w:r/>
            <w:r>
              <w:rPr>
                <w:sz w:val="20"/>
              </w:rPr>
              <w:t>West Branch Middle School</w:t>
            </w:r>
          </w:p>
        </w:tc>
        <w:tc>
          <w:tcPr>
            <w:tcW w:type="dxa" w:w="1368"/>
          </w:tcPr>
          <w:p>
            <w:r/>
            <w:r>
              <w:rPr>
                <w:sz w:val="20"/>
              </w:rPr>
              <w:t>354</w:t>
            </w:r>
          </w:p>
        </w:tc>
        <w:tc>
          <w:tcPr>
            <w:tcW w:type="dxa" w:w="1656"/>
          </w:tcPr>
          <w:p>
            <w:r/>
            <w:r>
              <w:rPr>
                <w:sz w:val="20"/>
              </w:rPr>
              <w:t>61%</w:t>
            </w:r>
          </w:p>
        </w:tc>
        <w:tc>
          <w:tcPr>
            <w:tcW w:type="dxa" w:w="1512"/>
          </w:tcPr>
          <w:p>
            <w:r/>
            <w:r>
              <w:rPr>
                <w:sz w:val="20"/>
              </w:rPr>
              <w:t>105</w:t>
            </w:r>
          </w:p>
        </w:tc>
        <w:tc>
          <w:tcPr>
            <w:tcW w:type="dxa" w:w="1440"/>
          </w:tcPr>
          <w:p>
            <w:r/>
            <w:r>
              <w:rPr>
                <w:sz w:val="20"/>
              </w:rPr>
              <w:t>40</w:t>
            </w:r>
          </w:p>
        </w:tc>
        <w:tc>
          <w:tcPr>
            <w:tcW w:type="dxa" w:w="1152"/>
          </w:tcPr>
          <w:p>
            <w:r/>
            <w:r>
              <w:rPr>
                <w:sz w:val="20"/>
              </w:rPr>
              <w:t>65</w:t>
            </w:r>
          </w:p>
        </w:tc>
      </w:tr>
      <w:tr>
        <w:tc>
          <w:tcPr>
            <w:tcW w:type="dxa" w:w="2232"/>
            <w:shd w:val="clear" w:color="auto" w:fill="EDF1F8"/>
          </w:tcPr>
          <w:p>
            <w:r/>
            <w:r>
              <w:rPr>
                <w:b/>
                <w:sz w:val="20"/>
              </w:rPr>
              <w:t>Total</w:t>
            </w:r>
          </w:p>
        </w:tc>
        <w:tc>
          <w:tcPr>
            <w:tcW w:type="dxa" w:w="1368"/>
            <w:shd w:val="clear" w:color="auto" w:fill="EDF1F8"/>
          </w:tcPr>
          <w:p>
            <w:r/>
            <w:r>
              <w:rPr>
                <w:b/>
                <w:sz w:val="20"/>
              </w:rPr>
              <w:t>1,180</w:t>
            </w:r>
          </w:p>
        </w:tc>
        <w:tc>
          <w:tcPr>
            <w:tcW w:type="dxa" w:w="1656"/>
            <w:shd w:val="clear" w:color="auto" w:fill="EDF1F8"/>
          </w:tcPr>
          <w:p>
            <w:r/>
            <w:r>
              <w:rPr>
                <w:b/>
                <w:sz w:val="20"/>
              </w:rPr>
              <w:t>68%</w:t>
            </w:r>
          </w:p>
        </w:tc>
        <w:tc>
          <w:tcPr>
            <w:tcW w:type="dxa" w:w="1512"/>
            <w:shd w:val="clear" w:color="auto" w:fill="EDF1F8"/>
          </w:tcPr>
          <w:p>
            <w:r/>
            <w:r>
              <w:rPr>
                <w:b/>
                <w:sz w:val="20"/>
              </w:rPr>
              <w:t>412</w:t>
            </w:r>
          </w:p>
        </w:tc>
        <w:tc>
          <w:tcPr>
            <w:tcW w:type="dxa" w:w="1440"/>
            <w:shd w:val="clear" w:color="auto" w:fill="EDF1F8"/>
          </w:tcPr>
          <w:p>
            <w:r/>
            <w:r>
              <w:rPr>
                <w:b/>
                <w:sz w:val="20"/>
              </w:rPr>
              <w:t>140</w:t>
            </w:r>
          </w:p>
        </w:tc>
        <w:tc>
          <w:tcPr>
            <w:tcW w:type="dxa" w:w="1152"/>
            <w:shd w:val="clear" w:color="auto" w:fill="EDF1F8"/>
          </w:tcPr>
          <w:p>
            <w:r/>
            <w:r>
              <w:rPr>
                <w:b/>
                <w:sz w:val="20"/>
              </w:rPr>
              <w:t>272</w:t>
            </w:r>
          </w:p>
        </w:tc>
      </w:tr>
    </w:tbl>
    <w:p/>
    <w:p>
      <w:pPr>
        <w:pStyle w:val="Caption"/>
      </w:pPr>
      <w:r>
        <w:t>Table 1. Example campus data. Source in the example: Fairbrook Area School District universal math screener, fall administration, and campus master schedules. Figures are composite and illustrative.</w:t>
      </w:r>
    </w:p>
    <w:p>
      <w:pPr>
        <w:pStyle w:val="Heading2"/>
      </w:pPr>
      <w:r>
        <w:t>6.2 The student group this proposal serves</w:t>
      </w:r>
    </w:p>
    <w:p>
      <w:r>
        <w:t>Across the three campuses, 412 students in grades 6 and 7 scored below benchmark on the fall math screener. That is 34.9 percent of enrollment in those grades. Below benchmark, in Fairbrook's reporting, means a screener score in the lowest two of four performance bands, a threshold the district uses to determine eligibility for tiered intervention.</w:t>
      </w:r>
    </w:p>
    <w:p>
      <w:r>
        <w:t>The grade 6 and grade 7 window matters. Fairbrook's grade 8 course sequence branches, and students who finish grade 7 below benchmark are placed into a support-track math course that limits access to Algebra I before high school. Students reached in grades 6 and 7 can still change that placement. Students reached in grade 8 largely cannot.</w:t>
      </w:r>
    </w:p>
    <w:p>
      <w:pPr>
        <w:pStyle w:val="Heading2"/>
      </w:pPr>
      <w:r>
        <w:t>6.3 What the schools already provide, and where it stops</w:t>
      </w:r>
    </w:p>
    <w:p>
      <w:r>
        <w:t>All three campuses run a daily 30-minute intervention block. At Cedar Ridge, that block serves 52 of the 158 below-benchmark students in grades 6 and 7. At Halstead it serves 48 of 149, and at West Branch 40 of 105. The constraint is not funding but the master schedule: the block runs opposite required electives and each campus has a fixed number of certified math staff available in that period. Across the three campuses the block reaches 140 students and leaves 272 receiving core instruction only.</w:t>
      </w:r>
    </w:p>
    <w:p>
      <w:r>
        <w:t>The schools also provide Title I-funded instructional aides who support students during the core math period, homework help two afternoons a week staffed by volunteers without a math specialization, and summer school for students who fail a course. None of those reaches the group described above with sustained, small-group, standards-aligned instruction during the school year.</w:t>
      </w:r>
    </w:p>
    <w:p>
      <w:pPr>
        <w:pStyle w:val="Heading2"/>
      </w:pPr>
      <w:r>
        <w:t>6.4 Why this request supplements rather than supplants</w:t>
      </w:r>
    </w:p>
    <w:p>
      <w:r>
        <w:t>This program operates entirely outside the instructional day, between 3:05 and 4:30 p.m., in space the district contributes. It does not replace the in-school intervention block, and no student is removed from that block in order to participate. In fact, students already receiving the in-school block are eligible for this program and 34 of the 120 seats are reserved for them, because a student who is 18 months behind benefits from more than 30 minutes a day.</w:t>
      </w:r>
    </w:p>
    <w:p>
      <w:r>
        <w:t>It does not replace Title I services. Title I funds at these campuses pay for instructional aides during the core period, a portion of the intervention block staffing and summer school. This request funds none of those. The district has confirmed in the memorandum of understanding at Attachment B that this program is additional to services funded from federal, state and local sources, and that no Fairbrook position or service will be reduced as a result of this award.</w:t>
      </w:r>
    </w:p>
    <w:p>
      <w:r>
        <w:t>The line, stated plainly: Fairbrook provides core math instruction, a 30-minute daily intervention block for 140 students and the facility. This grant provides four additional hours a week of small-group instruction for 120 students who are not in that block or who need more than it delivers, plus the transportation that makes attending possible.</w:t>
      </w:r>
    </w:p>
    <w:p>
      <w:r>
        <w:br w:type="page"/>
      </w:r>
    </w:p>
    <w:p>
      <w:pPr>
        <w:pStyle w:val="Heading1"/>
      </w:pPr>
      <w:r>
        <w:t>7. Program Description</w:t>
      </w:r>
    </w:p>
    <w:p>
      <w:pPr>
        <w:pStyle w:val="AdaptationNote"/>
      </w:pPr>
      <w:r>
        <w:t>Adapt this section: The three details reviewers weigh most heavily here are dosage, adult-to-student ratio and the curriculum. Give a number for each. If your schedule cannot support the ratio you claim, change the claim rather than the schedule.</w:t>
      </w:r>
    </w:p>
    <w:p>
      <w:pPr>
        <w:pStyle w:val="Heading2"/>
      </w:pPr>
      <w:r>
        <w:t>7.1 Program model</w:t>
      </w:r>
    </w:p>
    <w:p>
      <w:r>
        <w:t>The Middle Grades Math Acceleration Partnership delivers small-group math instruction after school at three middle school campuses, four afternoons a week, for 30 program weeks. Each campus enrolls 40 students in grades 6 and 7 who scored below benchmark on the fall district math screener, for a total of 120 students.</w:t>
      </w:r>
    </w:p>
    <w:p>
      <w:r>
        <w:t>Instruction is aligned to the same grade-level standards students encounter during the day and is targeted using the same progress-monitoring data the district collects. Groups are organized by skill need rather than by grade, so a grade 7 student working on ratio reasoning sits with grade 6 students working on the same skill. Group composition is reviewed every three weeks against progress-monitoring results.</w:t>
      </w:r>
    </w:p>
    <w:p>
      <w:pPr>
        <w:pStyle w:val="Heading2"/>
      </w:pPr>
      <w:r>
        <w:t>7.2 Weekly schedule and dosage</w:t>
      </w:r>
    </w:p>
    <w:p>
      <w:r>
        <w:t>Sessions run Monday through Thursday. Students are dismissed to the program at 3:05 p.m. and have 15 minutes for a snack and a check-in. Small-group instruction runs from 3:20 to 4:20 p.m. The final ten minutes are an exit ticket and pack-up, and the late-activity bus departs at 4:35 p.m.</w:t>
      </w:r>
    </w:p>
    <w:p>
      <w:r>
        <w:t>That schedule offers 120 sessions across 30 program weeks, after excluding district holidays, the Thanksgiving week, the two-week winter break and spring break. Each session delivers 60 minutes of small-group instruction, so a student attending every session receives 120 hours of instruction over the year. The program does not run on Fridays, which are reserved for tutor coaching, group re-sorting and family contact.</w:t>
      </w:r>
    </w:p>
    <w:p>
      <w:r>
        <w:t>The dosage threshold used throughout this proposal is 60 or more sessions, half of what is offered, and it equals 60 hours of small-group instruction. That threshold is set in advance so that outcome claims are made about students who actually received the program. A student who attends four sessions and shows no growth is reported in the enrollment count and excluded from the outcome denominator, and both figures appear in every report.</w:t>
      </w:r>
    </w:p>
    <w:p>
      <w:pPr>
        <w:pStyle w:val="Heading2"/>
      </w:pPr>
      <w:r>
        <w:t>7.3 Staffing and group size</w:t>
      </w:r>
    </w:p>
    <w:p>
      <w:r>
        <w:t>Each campus is staffed by one site coordinator, employed by Northline at 0.2 FTE, who is present for all four afternoons and is the single point of contact for the school's administration. Tutors are hired on an hourly stipend and scheduled two or three afternoons a week, with roughly two tutors present per session alongside the coordinator.</w:t>
      </w:r>
    </w:p>
    <w:p>
      <w:r>
        <w:t>Groups are capped at eight students. Based on 40 students enrolled per campus and a planning assumption of 60 percent, deliberately set below the 63 percent Northline achieved across all sites in 2025-26, the program plans around 24 students present per campus per afternoon and approximately three adults, a planning ratio of one adult to seven or eight students. When attendance runs above plan the site coordinator calls in a substitute tutor from the trained bench, paid from the coverage hours built into the stipend line in Section 11.</w:t>
      </w:r>
    </w:p>
    <w:p>
      <w:r>
        <w:t>Every adult working with students holds current state criminal, child abuse registry and FBI fingerprint clearances before the first session, and no adult is ever alone with a student. Clearance costs for all 14 staff appear as a budget line rather than being absorbed, because districts will not admit uncleared adults and the cost is real.</w:t>
      </w:r>
    </w:p>
    <w:p>
      <w:pPr>
        <w:pStyle w:val="Heading2"/>
      </w:pPr>
      <w:r>
        <w:t>7.4 Curriculum and instruction</w:t>
      </w:r>
    </w:p>
    <w:p>
      <w:r>
        <w:t>The program uses a structured small-group math intervention drawn from the district's approved supplemental materials list, so that vocabulary, notation and problem formats match what students see during the day. Sessions follow a consistent structure: a short fluency warm-up, a focused skill block tied to the current progress-monitoring target, guided practice, and an exit ticket that feeds the next session's grouping.</w:t>
      </w:r>
    </w:p>
    <w:p>
      <w:r>
        <w:t>Tutors receive 12 hours of pre-service training before the first session, covering the intervention structure, the progress-monitoring platform, error analysis in middle-grades number and ratio work, and mandated reporter obligations. A contracted instructional coach then delivers 12 further hours of in-session coaching across the year, observing sessions and providing feedback at each site. The training line in the budget is what distinguishes a tutoring program from volunteers with worksheets, and it is itemized rather than folded into personnel.</w:t>
      </w:r>
    </w:p>
    <w:p>
      <w:pPr>
        <w:pStyle w:val="Heading2"/>
      </w:pPr>
      <w:r>
        <w:t>7.5 Recruitment and enrollment</w:t>
      </w:r>
    </w:p>
    <w:p>
      <w:r>
        <w:t>Rosters are built from the fall screener results. Each campus's math department chair and counselor review the below-benchmark list and rank students by need, weighting students not currently served by the in-school intervention block. Northline sends invitations to families in the district's home-language set, follows up by phone, and enrolls to 46 students per campus against 40 seats, which absorbs the attrition Northline consistently sees in the first three weeks.</w:t>
      </w:r>
    </w:p>
    <w:p>
      <w:r>
        <w:t>Seats vacated before the winter break are refilled in January from the same ranked list, which is why the implementation timeline includes a mid-year re-recruitment cycle. Students who enroll in January are reported separately in the dosage analysis, because they cannot reach the 60-session threshold.</w:t>
      </w:r>
    </w:p>
    <w:p>
      <w:pPr>
        <w:pStyle w:val="Heading2"/>
      </w:pPr>
      <w:r>
        <w:t>7.6 Family engagement</w:t>
      </w:r>
    </w:p>
    <w:p>
      <w:r>
        <w:t>The program holds four family engagement evenings across the year, one at the start, two mid-year and one at the close. Each is held at a campus, with interpretation, childcare and a meal, and each pairs a short explanation of what the student's screener results mean with concrete ways to support math at home. The budget funds these at $450 per session, which covers interpretation services, childcare staffing, food and materials.</w:t>
      </w:r>
    </w:p>
    <w:p>
      <w:r>
        <w:t>Beyond the four evenings, site coordinators make a personal contact after any three consecutive absences. That protocol exists because attendance, not instruction quality, is the variable most likely to sink an after-school program's outcomes.</w:t>
      </w:r>
    </w:p>
    <w:p>
      <w:pPr>
        <w:pStyle w:val="Heading2"/>
      </w:pPr>
      <w:r>
        <w:t>7.7 Transportation, supervision and safety</w:t>
      </w:r>
    </w:p>
    <w:p>
      <w:r>
        <w:t>Fairbrook operates a late-activity bus run from each campus at 4:35 p.m., and this grant pays the district's published per-run rate for four runs a week at three campuses across 30 weeks. An after-school program without a ride home serves the students who live closest to the building and nobody else, which is why transportation is a direct program cost here rather than a convenience.</w:t>
      </w:r>
    </w:p>
    <w:p>
      <w:r>
        <w:t>Sign-out procedures, emergency contacts, incident reporting and building access all follow district policy as written into the memorandum of understanding. A certified Fairbrook teacher serves as building liaison at each campus during program hours, contributed by the district as in-kind support.</w:t>
      </w:r>
    </w:p>
    <w:p>
      <w:pPr>
        <w:pStyle w:val="Heading2"/>
      </w:pPr>
      <w:r>
        <w:t>7.8 Implementation timeline</w:t>
      </w:r>
    </w:p>
    <w:tbl>
      <w:tblPr>
        <w:tblStyle w:val="LightGrid-Accent1"/>
        <w:tblW w:type="auto" w:w="0"/>
        <w:jc w:val="center"/>
        <w:tblLayout w:type="autofit"/>
        <w:tblLook w:firstColumn="1" w:firstRow="1" w:lastColumn="0" w:lastRow="0" w:noHBand="0" w:noVBand="1" w:val="04A0"/>
      </w:tblPr>
      <w:tblGrid>
        <w:gridCol w:w="4680"/>
        <w:gridCol w:w="4680"/>
      </w:tblGrid>
      <w:tr>
        <w:tc>
          <w:tcPr>
            <w:tcW w:type="dxa" w:w="2448"/>
          </w:tcPr>
          <w:p>
            <w:r/>
            <w:r>
              <w:rPr>
                <w:b/>
                <w:sz w:val="20"/>
              </w:rPr>
              <w:t>Period</w:t>
            </w:r>
          </w:p>
        </w:tc>
        <w:tc>
          <w:tcPr>
            <w:tcW w:type="dxa" w:w="6912"/>
          </w:tcPr>
          <w:p>
            <w:r/>
            <w:r>
              <w:rPr>
                <w:b/>
                <w:sz w:val="20"/>
              </w:rPr>
              <w:t>Milestone</w:t>
            </w:r>
          </w:p>
        </w:tc>
      </w:tr>
      <w:tr>
        <w:tc>
          <w:tcPr>
            <w:tcW w:type="dxa" w:w="2448"/>
          </w:tcPr>
          <w:p>
            <w:r/>
            <w:r>
              <w:rPr>
                <w:sz w:val="20"/>
              </w:rPr>
              <w:t>August 17 to September 4, 2026</w:t>
            </w:r>
          </w:p>
        </w:tc>
        <w:tc>
          <w:tcPr>
            <w:tcW w:type="dxa" w:w="6912"/>
          </w:tcPr>
          <w:p>
            <w:r/>
            <w:r>
              <w:rPr>
                <w:sz w:val="20"/>
              </w:rPr>
              <w:t>Memorandum of understanding and data-sharing addendum countersigned. Site schedules and bus runs confirmed with district transportation. Tutor recruitment closes.</w:t>
            </w:r>
          </w:p>
        </w:tc>
      </w:tr>
      <w:tr>
        <w:tc>
          <w:tcPr>
            <w:tcW w:type="dxa" w:w="2448"/>
          </w:tcPr>
          <w:p>
            <w:r/>
            <w:r>
              <w:rPr>
                <w:sz w:val="20"/>
              </w:rPr>
              <w:t>September 8 to 18, 2026</w:t>
            </w:r>
          </w:p>
        </w:tc>
        <w:tc>
          <w:tcPr>
            <w:tcW w:type="dxa" w:w="6912"/>
          </w:tcPr>
          <w:p>
            <w:r/>
            <w:r>
              <w:rPr>
                <w:sz w:val="20"/>
              </w:rPr>
              <w:t>District administers the fall math screener. Rosters built from screener results with campus math chairs and counselors. All clearances verified.</w:t>
            </w:r>
          </w:p>
        </w:tc>
      </w:tr>
      <w:tr>
        <w:tc>
          <w:tcPr>
            <w:tcW w:type="dxa" w:w="2448"/>
          </w:tcPr>
          <w:p>
            <w:r/>
            <w:r>
              <w:rPr>
                <w:sz w:val="20"/>
              </w:rPr>
              <w:t>September 21 to 25, 2026</w:t>
            </w:r>
          </w:p>
        </w:tc>
        <w:tc>
          <w:tcPr>
            <w:tcW w:type="dxa" w:w="6912"/>
          </w:tcPr>
          <w:p>
            <w:r/>
            <w:r>
              <w:rPr>
                <w:sz w:val="20"/>
              </w:rPr>
              <w:t>Twelve hours of pre-service tutor training. Family orientation at each of the three campuses.</w:t>
            </w:r>
          </w:p>
        </w:tc>
      </w:tr>
      <w:tr>
        <w:tc>
          <w:tcPr>
            <w:tcW w:type="dxa" w:w="2448"/>
          </w:tcPr>
          <w:p>
            <w:r/>
            <w:r>
              <w:rPr>
                <w:sz w:val="20"/>
              </w:rPr>
              <w:t>September 28, 2026</w:t>
            </w:r>
          </w:p>
        </w:tc>
        <w:tc>
          <w:tcPr>
            <w:tcW w:type="dxa" w:w="6912"/>
          </w:tcPr>
          <w:p>
            <w:r/>
            <w:r>
              <w:rPr>
                <w:sz w:val="20"/>
              </w:rPr>
              <w:t>First session at all three sites, week 1 of 30.</w:t>
            </w:r>
          </w:p>
        </w:tc>
      </w:tr>
      <w:tr>
        <w:tc>
          <w:tcPr>
            <w:tcW w:type="dxa" w:w="2448"/>
          </w:tcPr>
          <w:p>
            <w:r/>
            <w:r>
              <w:rPr>
                <w:sz w:val="20"/>
              </w:rPr>
              <w:t>October 2026</w:t>
            </w:r>
          </w:p>
        </w:tc>
        <w:tc>
          <w:tcPr>
            <w:tcW w:type="dxa" w:w="6912"/>
          </w:tcPr>
          <w:p>
            <w:r/>
            <w:r>
              <w:rPr>
                <w:sz w:val="20"/>
              </w:rPr>
              <w:t>Baseline data file received under the data-sharing agreement. First family engagement evening. First fidelity observations at each site.</w:t>
            </w:r>
          </w:p>
        </w:tc>
      </w:tr>
      <w:tr>
        <w:tc>
          <w:tcPr>
            <w:tcW w:type="dxa" w:w="2448"/>
          </w:tcPr>
          <w:p>
            <w:r/>
            <w:r>
              <w:rPr>
                <w:sz w:val="20"/>
              </w:rPr>
              <w:t>December 2026</w:t>
            </w:r>
          </w:p>
        </w:tc>
        <w:tc>
          <w:tcPr>
            <w:tcW w:type="dxa" w:w="6912"/>
          </w:tcPr>
          <w:p>
            <w:r/>
            <w:r>
              <w:rPr>
                <w:sz w:val="20"/>
              </w:rPr>
              <w:t>Winter benchmark administration. First quarterly report to the funder, with enrolled and threshold counts reported separately.</w:t>
            </w:r>
          </w:p>
        </w:tc>
      </w:tr>
      <w:tr>
        <w:tc>
          <w:tcPr>
            <w:tcW w:type="dxa" w:w="2448"/>
          </w:tcPr>
          <w:p>
            <w:r/>
            <w:r>
              <w:rPr>
                <w:sz w:val="20"/>
              </w:rPr>
              <w:t>January 2027</w:t>
            </w:r>
          </w:p>
        </w:tc>
        <w:tc>
          <w:tcPr>
            <w:tcW w:type="dxa" w:w="6912"/>
          </w:tcPr>
          <w:p>
            <w:r/>
            <w:r>
              <w:rPr>
                <w:sz w:val="20"/>
              </w:rPr>
              <w:t>Mid-year attendance review. Vacated seats refilled from the ranked list. Sustainability meeting with the assistant superintendent for teaching and learning.</w:t>
            </w:r>
          </w:p>
        </w:tc>
      </w:tr>
      <w:tr>
        <w:tc>
          <w:tcPr>
            <w:tcW w:type="dxa" w:w="2448"/>
          </w:tcPr>
          <w:p>
            <w:r/>
            <w:r>
              <w:rPr>
                <w:sz w:val="20"/>
              </w:rPr>
              <w:t>March 2027</w:t>
            </w:r>
          </w:p>
        </w:tc>
        <w:tc>
          <w:tcPr>
            <w:tcW w:type="dxa" w:w="6912"/>
          </w:tcPr>
          <w:p>
            <w:r/>
            <w:r>
              <w:rPr>
                <w:sz w:val="20"/>
              </w:rPr>
              <w:t>Second and third family engagement evenings. Third-quarter grade pull. Second round of fidelity observations.</w:t>
            </w:r>
          </w:p>
        </w:tc>
      </w:tr>
      <w:tr>
        <w:tc>
          <w:tcPr>
            <w:tcW w:type="dxa" w:w="2448"/>
          </w:tcPr>
          <w:p>
            <w:r/>
            <w:r>
              <w:rPr>
                <w:sz w:val="20"/>
              </w:rPr>
              <w:t>April 2027</w:t>
            </w:r>
          </w:p>
        </w:tc>
        <w:tc>
          <w:tcPr>
            <w:tcW w:type="dxa" w:w="6912"/>
          </w:tcPr>
          <w:p>
            <w:r/>
            <w:r>
              <w:rPr>
                <w:sz w:val="20"/>
              </w:rPr>
              <w:t>Spring benchmark window opens. District preliminary budget discussion and board adoption of the 2027-28 budget.</w:t>
            </w:r>
          </w:p>
        </w:tc>
      </w:tr>
      <w:tr>
        <w:tc>
          <w:tcPr>
            <w:tcW w:type="dxa" w:w="2448"/>
          </w:tcPr>
          <w:p>
            <w:r/>
            <w:r>
              <w:rPr>
                <w:sz w:val="20"/>
              </w:rPr>
              <w:t>May 20, 2027</w:t>
            </w:r>
          </w:p>
        </w:tc>
        <w:tc>
          <w:tcPr>
            <w:tcW w:type="dxa" w:w="6912"/>
          </w:tcPr>
          <w:p>
            <w:r/>
            <w:r>
              <w:rPr>
                <w:sz w:val="20"/>
              </w:rPr>
              <w:t>Final session, week 30. Family celebration and post survey administered.</w:t>
            </w:r>
          </w:p>
        </w:tc>
      </w:tr>
      <w:tr>
        <w:tc>
          <w:tcPr>
            <w:tcW w:type="dxa" w:w="2448"/>
          </w:tcPr>
          <w:p>
            <w:r/>
            <w:r>
              <w:rPr>
                <w:sz w:val="20"/>
              </w:rPr>
              <w:t>June 2027</w:t>
            </w:r>
          </w:p>
        </w:tc>
        <w:tc>
          <w:tcPr>
            <w:tcW w:type="dxa" w:w="6912"/>
          </w:tcPr>
          <w:p>
            <w:r/>
            <w:r>
              <w:rPr>
                <w:sz w:val="20"/>
              </w:rPr>
              <w:t>Spring data pull and analysis. Course grade records received. Final program report drafted.</w:t>
            </w:r>
          </w:p>
        </w:tc>
      </w:tr>
      <w:tr>
        <w:tc>
          <w:tcPr>
            <w:tcW w:type="dxa" w:w="2448"/>
          </w:tcPr>
          <w:p>
            <w:r/>
            <w:r>
              <w:rPr>
                <w:sz w:val="20"/>
              </w:rPr>
              <w:t>July 2027</w:t>
            </w:r>
          </w:p>
        </w:tc>
        <w:tc>
          <w:tcPr>
            <w:tcW w:type="dxa" w:w="6912"/>
          </w:tcPr>
          <w:p>
            <w:r/>
            <w:r>
              <w:rPr>
                <w:sz w:val="20"/>
              </w:rPr>
              <w:t>Final narrative and financial reports submitted to the funder.</w:t>
            </w:r>
          </w:p>
        </w:tc>
      </w:tr>
    </w:tbl>
    <w:p/>
    <w:p>
      <w:r>
        <w:br w:type="page"/>
      </w:r>
    </w:p>
    <w:p>
      <w:pPr>
        <w:pStyle w:val="Heading1"/>
      </w:pPr>
      <w:r>
        <w:t>8. Goals and Objectives</w:t>
      </w:r>
    </w:p>
    <w:p>
      <w:pPr>
        <w:pStyle w:val="AdaptationNote"/>
      </w:pPr>
      <w:r>
        <w:t>Adapt this section: Set two to four objectives, never more. Each one needs an instrument, a baseline, a dosage threshold, a target and a deadline. If a district staff member could not pull the number from a system the district already runs, the objective is not measurable in practice.</w:t>
      </w:r>
    </w:p>
    <w:p>
      <w:pPr>
        <w:pStyle w:val="Heading2"/>
      </w:pPr>
      <w:r>
        <w:t>8.1 Goal</w:t>
      </w:r>
    </w:p>
    <w:p>
      <w:r>
        <w:t>Students in grades 6 and 7 at Cedar Ridge, Halstead and West Branch middle schools who begin the year below benchmark in mathematics will close a measurable portion of that gap by the end of the 2026-27 school year and will remain on track for grade-level math placement in grade 8.</w:t>
      </w:r>
    </w:p>
    <w:p>
      <w:pPr>
        <w:pStyle w:val="Heading2"/>
      </w:pPr>
      <w:r>
        <w:t>8.2 Objectives</w:t>
      </w:r>
    </w:p>
    <w:p>
      <w:r>
        <w:t>Objective 1, participation. By June 2027, at least 84 of the 120 enrolled students, or 70 percent, will attend 60 or more of the 120 offered program sessions, as recorded in the site attendance roster. Baseline is zero because the program is new to these campuses; the comparison point is Northline's 68 percent threshold rate across all sites in 2025-26.</w:t>
      </w:r>
    </w:p>
    <w:p>
      <w:r>
        <w:t>Objective 2, academic growth. By June 2027, at least 65 percent of students attending 60 or more program sessions will move up at least one performance band on the district math benchmark assessment between the fall and spring administrations, from a fall baseline in which all 120 enrolled students scored below benchmark.</w:t>
      </w:r>
    </w:p>
    <w:p>
      <w:r>
        <w:t>Objective 3, course outcome. By June 2027, at least 85 percent of students attending 60 or more program sessions will earn a passing final grade in their year-long math course, as recorded in district grade records, compared with a baseline of 71 percent among below-benchmark grade 6 and 7 students at the three campuses in 2025-26.</w:t>
      </w:r>
    </w:p>
    <w:tbl>
      <w:tblPr>
        <w:tblStyle w:val="LightGrid-Accent1"/>
        <w:tblW w:type="auto" w:w="0"/>
        <w:jc w:val="center"/>
        <w:tblLayout w:type="autofit"/>
        <w:tblLook w:firstColumn="1" w:firstRow="1" w:lastColumn="0" w:lastRow="0" w:noHBand="0" w:noVBand="1" w:val="04A0"/>
      </w:tblPr>
      <w:tblGrid>
        <w:gridCol w:w="1560"/>
        <w:gridCol w:w="1560"/>
        <w:gridCol w:w="1560"/>
        <w:gridCol w:w="1560"/>
        <w:gridCol w:w="1560"/>
        <w:gridCol w:w="1560"/>
      </w:tblGrid>
      <w:tr>
        <w:tc>
          <w:tcPr>
            <w:tcW w:type="dxa" w:w="432"/>
          </w:tcPr>
          <w:p>
            <w:r/>
            <w:r>
              <w:rPr>
                <w:b/>
                <w:sz w:val="20"/>
              </w:rPr>
              <w:t>#</w:t>
            </w:r>
          </w:p>
        </w:tc>
        <w:tc>
          <w:tcPr>
            <w:tcW w:type="dxa" w:w="1656"/>
          </w:tcPr>
          <w:p>
            <w:r/>
            <w:r>
              <w:rPr>
                <w:b/>
                <w:sz w:val="20"/>
              </w:rPr>
              <w:t>Objective</w:t>
            </w:r>
          </w:p>
        </w:tc>
        <w:tc>
          <w:tcPr>
            <w:tcW w:type="dxa" w:w="1656"/>
          </w:tcPr>
          <w:p>
            <w:r/>
            <w:r>
              <w:rPr>
                <w:b/>
                <w:sz w:val="20"/>
              </w:rPr>
              <w:t>Instrument</w:t>
            </w:r>
          </w:p>
        </w:tc>
        <w:tc>
          <w:tcPr>
            <w:tcW w:type="dxa" w:w="2088"/>
          </w:tcPr>
          <w:p>
            <w:r/>
            <w:r>
              <w:rPr>
                <w:b/>
                <w:sz w:val="20"/>
              </w:rPr>
              <w:t>Baseline</w:t>
            </w:r>
          </w:p>
        </w:tc>
        <w:tc>
          <w:tcPr>
            <w:tcW w:type="dxa" w:w="2376"/>
          </w:tcPr>
          <w:p>
            <w:r/>
            <w:r>
              <w:rPr>
                <w:b/>
                <w:sz w:val="20"/>
              </w:rPr>
              <w:t>Target</w:t>
            </w:r>
          </w:p>
        </w:tc>
        <w:tc>
          <w:tcPr>
            <w:tcW w:type="dxa" w:w="1152"/>
          </w:tcPr>
          <w:p>
            <w:r/>
            <w:r>
              <w:rPr>
                <w:b/>
                <w:sz w:val="20"/>
              </w:rPr>
              <w:t>Deadline</w:t>
            </w:r>
          </w:p>
        </w:tc>
      </w:tr>
      <w:tr>
        <w:tc>
          <w:tcPr>
            <w:tcW w:type="dxa" w:w="432"/>
          </w:tcPr>
          <w:p>
            <w:r/>
            <w:r>
              <w:rPr>
                <w:sz w:val="20"/>
              </w:rPr>
              <w:t>1</w:t>
            </w:r>
          </w:p>
        </w:tc>
        <w:tc>
          <w:tcPr>
            <w:tcW w:type="dxa" w:w="1656"/>
          </w:tcPr>
          <w:p>
            <w:r/>
            <w:r>
              <w:rPr>
                <w:sz w:val="20"/>
              </w:rPr>
              <w:t>Participation dosage</w:t>
            </w:r>
          </w:p>
        </w:tc>
        <w:tc>
          <w:tcPr>
            <w:tcW w:type="dxa" w:w="1656"/>
          </w:tcPr>
          <w:p>
            <w:r/>
            <w:r>
              <w:rPr>
                <w:sz w:val="20"/>
              </w:rPr>
              <w:t>Site attendance roster</w:t>
            </w:r>
          </w:p>
        </w:tc>
        <w:tc>
          <w:tcPr>
            <w:tcW w:type="dxa" w:w="2088"/>
          </w:tcPr>
          <w:p>
            <w:r/>
            <w:r>
              <w:rPr>
                <w:sz w:val="20"/>
              </w:rPr>
              <w:t>0 (new program); 68% threshold rate at Northline sites in 2025-26</w:t>
            </w:r>
          </w:p>
        </w:tc>
        <w:tc>
          <w:tcPr>
            <w:tcW w:type="dxa" w:w="2376"/>
          </w:tcPr>
          <w:p>
            <w:r/>
            <w:r>
              <w:rPr>
                <w:sz w:val="20"/>
              </w:rPr>
              <w:t>84 of 120 enrolled students (70%) attend 60+ of 120 sessions</w:t>
            </w:r>
          </w:p>
        </w:tc>
        <w:tc>
          <w:tcPr>
            <w:tcW w:type="dxa" w:w="1152"/>
          </w:tcPr>
          <w:p>
            <w:r/>
            <w:r>
              <w:rPr>
                <w:sz w:val="20"/>
              </w:rPr>
              <w:t>June 2027</w:t>
            </w:r>
          </w:p>
        </w:tc>
      </w:tr>
      <w:tr>
        <w:tc>
          <w:tcPr>
            <w:tcW w:type="dxa" w:w="432"/>
          </w:tcPr>
          <w:p>
            <w:r/>
            <w:r>
              <w:rPr>
                <w:sz w:val="20"/>
              </w:rPr>
              <w:t>2</w:t>
            </w:r>
          </w:p>
        </w:tc>
        <w:tc>
          <w:tcPr>
            <w:tcW w:type="dxa" w:w="1656"/>
          </w:tcPr>
          <w:p>
            <w:r/>
            <w:r>
              <w:rPr>
                <w:sz w:val="20"/>
              </w:rPr>
              <w:t>Math benchmark growth</w:t>
            </w:r>
          </w:p>
        </w:tc>
        <w:tc>
          <w:tcPr>
            <w:tcW w:type="dxa" w:w="1656"/>
          </w:tcPr>
          <w:p>
            <w:r/>
            <w:r>
              <w:rPr>
                <w:sz w:val="20"/>
              </w:rPr>
              <w:t>District universal math screener and benchmark</w:t>
            </w:r>
          </w:p>
        </w:tc>
        <w:tc>
          <w:tcPr>
            <w:tcW w:type="dxa" w:w="2088"/>
          </w:tcPr>
          <w:p>
            <w:r/>
            <w:r>
              <w:rPr>
                <w:sz w:val="20"/>
              </w:rPr>
              <w:t>All 120 enrolled students below benchmark, fall administration</w:t>
            </w:r>
          </w:p>
        </w:tc>
        <w:tc>
          <w:tcPr>
            <w:tcW w:type="dxa" w:w="2376"/>
          </w:tcPr>
          <w:p>
            <w:r/>
            <w:r>
              <w:rPr>
                <w:sz w:val="20"/>
              </w:rPr>
              <w:t>65% of students attending 60+ sessions move up one or more performance bands</w:t>
            </w:r>
          </w:p>
        </w:tc>
        <w:tc>
          <w:tcPr>
            <w:tcW w:type="dxa" w:w="1152"/>
          </w:tcPr>
          <w:p>
            <w:r/>
            <w:r>
              <w:rPr>
                <w:sz w:val="20"/>
              </w:rPr>
              <w:t>June 2027</w:t>
            </w:r>
          </w:p>
        </w:tc>
      </w:tr>
      <w:tr>
        <w:tc>
          <w:tcPr>
            <w:tcW w:type="dxa" w:w="432"/>
          </w:tcPr>
          <w:p>
            <w:r/>
            <w:r>
              <w:rPr>
                <w:sz w:val="20"/>
              </w:rPr>
              <w:t>3</w:t>
            </w:r>
          </w:p>
        </w:tc>
        <w:tc>
          <w:tcPr>
            <w:tcW w:type="dxa" w:w="1656"/>
          </w:tcPr>
          <w:p>
            <w:r/>
            <w:r>
              <w:rPr>
                <w:sz w:val="20"/>
              </w:rPr>
              <w:t>Course outcome</w:t>
            </w:r>
          </w:p>
        </w:tc>
        <w:tc>
          <w:tcPr>
            <w:tcW w:type="dxa" w:w="1656"/>
          </w:tcPr>
          <w:p>
            <w:r/>
            <w:r>
              <w:rPr>
                <w:sz w:val="20"/>
              </w:rPr>
              <w:t>District grade records</w:t>
            </w:r>
          </w:p>
        </w:tc>
        <w:tc>
          <w:tcPr>
            <w:tcW w:type="dxa" w:w="2088"/>
          </w:tcPr>
          <w:p>
            <w:r/>
            <w:r>
              <w:rPr>
                <w:sz w:val="20"/>
              </w:rPr>
              <w:t>71% pass rate among below-benchmark grade 6-7 students, 2025-26</w:t>
            </w:r>
          </w:p>
        </w:tc>
        <w:tc>
          <w:tcPr>
            <w:tcW w:type="dxa" w:w="2376"/>
          </w:tcPr>
          <w:p>
            <w:r/>
            <w:r>
              <w:rPr>
                <w:sz w:val="20"/>
              </w:rPr>
              <w:t>85% of students attending 60+ sessions earn a passing final math grade</w:t>
            </w:r>
          </w:p>
        </w:tc>
        <w:tc>
          <w:tcPr>
            <w:tcW w:type="dxa" w:w="1152"/>
          </w:tcPr>
          <w:p>
            <w:r/>
            <w:r>
              <w:rPr>
                <w:sz w:val="20"/>
              </w:rPr>
              <w:t>June 2027</w:t>
            </w:r>
          </w:p>
        </w:tc>
      </w:tr>
    </w:tbl>
    <w:p/>
    <w:p>
      <w:pPr>
        <w:pStyle w:val="Caption"/>
      </w:pPr>
      <w:r>
        <w:t>Table 2. Example objectives. Every value is illustrative and must be replaced with your own instruments and baselines.</w:t>
      </w:r>
    </w:p>
    <w:p>
      <w:pPr>
        <w:pStyle w:val="Heading2"/>
      </w:pPr>
      <w:r>
        <w:t>8.3 What this program does not claim</w:t>
      </w:r>
    </w:p>
    <w:p>
      <w:r>
        <w:t>A program delivering up to 120 hours of small-group math should not promise a change in graduation rates, college enrollment or district-wide proficiency, and this proposal does not. Chronic absenteeism and student self-efficacy are tracked and reported in Section 9 because they inform program management, but they are monitored rather than promised. Objectives, budget and evaluation have to agree with each other, and the fastest way to lose a reviewer is to promise an outcome the dose cannot produce.</w:t>
      </w:r>
    </w:p>
    <w:p>
      <w:r>
        <w:br w:type="page"/>
      </w:r>
    </w:p>
    <w:p>
      <w:pPr>
        <w:pStyle w:val="Heading1"/>
      </w:pPr>
      <w:r>
        <w:t>9. Evaluation Plan</w:t>
      </w:r>
    </w:p>
    <w:p>
      <w:pPr>
        <w:pStyle w:val="AdaptationNote"/>
      </w:pPr>
      <w:r>
        <w:t>Adapt this section: Pair a dosage measure with an academic measure drawn from a district system. Attendance alone proves the program ran; it does not prove the program worked. Name every instrument, say who collects it and when, and define every threshold inside the proposal itself.</w:t>
      </w:r>
    </w:p>
    <w:p>
      <w:pPr>
        <w:pStyle w:val="Heading2"/>
      </w:pPr>
      <w:r>
        <w:t>9.1 Evaluation questions</w:t>
      </w:r>
    </w:p>
    <w:p>
      <w:pPr>
        <w:pStyle w:val="ListNumber"/>
      </w:pPr>
      <w:r>
        <w:t>Did the program deliver the sessions it promised, at the group size and instructional minutes described in Section 7?</w:t>
      </w:r>
    </w:p>
    <w:p>
      <w:pPr>
        <w:pStyle w:val="ListNumber"/>
      </w:pPr>
      <w:r>
        <w:t>How many enrolled students reached the 60-session dosage threshold, and how did those students differ from those who did not?</w:t>
      </w:r>
    </w:p>
    <w:p>
      <w:pPr>
        <w:pStyle w:val="ListNumber"/>
      </w:pPr>
      <w:r>
        <w:t>Among students reaching the threshold, what share moved up at least one performance band on the district math benchmark between fall and spring?</w:t>
      </w:r>
    </w:p>
    <w:p>
      <w:pPr>
        <w:pStyle w:val="ListNumber"/>
      </w:pPr>
      <w:r>
        <w:t>Among students reaching the threshold, what share passed their year-long math course, and how does that compare with the prior-year campus baseline?</w:t>
      </w:r>
    </w:p>
    <w:p>
      <w:pPr>
        <w:pStyle w:val="ListNumber"/>
      </w:pPr>
      <w:r>
        <w:t>What did the program learn about attendance patterns that should change the design in year two?</w:t>
      </w:r>
    </w:p>
    <w:p>
      <w:pPr>
        <w:pStyle w:val="Heading2"/>
      </w:pPr>
      <w:r>
        <w:t>9.2 Measures, sources and schedule</w:t>
      </w:r>
    </w:p>
    <w:tbl>
      <w:tblPr>
        <w:tblStyle w:val="LightGrid-Accent1"/>
        <w:tblW w:type="auto" w:w="0"/>
        <w:jc w:val="center"/>
        <w:tblLayout w:type="autofit"/>
        <w:tblLook w:firstColumn="1" w:firstRow="1" w:lastColumn="0" w:lastRow="0" w:noHBand="0" w:noVBand="1" w:val="04A0"/>
      </w:tblPr>
      <w:tblGrid>
        <w:gridCol w:w="1872"/>
        <w:gridCol w:w="1872"/>
        <w:gridCol w:w="1872"/>
        <w:gridCol w:w="1872"/>
        <w:gridCol w:w="1872"/>
      </w:tblGrid>
      <w:tr>
        <w:tc>
          <w:tcPr>
            <w:tcW w:type="dxa" w:w="1656"/>
          </w:tcPr>
          <w:p>
            <w:r/>
            <w:r>
              <w:rPr>
                <w:b/>
                <w:sz w:val="20"/>
              </w:rPr>
              <w:t>Measure</w:t>
            </w:r>
          </w:p>
        </w:tc>
        <w:tc>
          <w:tcPr>
            <w:tcW w:type="dxa" w:w="2448"/>
          </w:tcPr>
          <w:p>
            <w:r/>
            <w:r>
              <w:rPr>
                <w:b/>
                <w:sz w:val="20"/>
              </w:rPr>
              <w:t>Definition or threshold</w:t>
            </w:r>
          </w:p>
        </w:tc>
        <w:tc>
          <w:tcPr>
            <w:tcW w:type="dxa" w:w="1944"/>
          </w:tcPr>
          <w:p>
            <w:r/>
            <w:r>
              <w:rPr>
                <w:b/>
                <w:sz w:val="20"/>
              </w:rPr>
              <w:t>Data source</w:t>
            </w:r>
          </w:p>
        </w:tc>
        <w:tc>
          <w:tcPr>
            <w:tcW w:type="dxa" w:w="1728"/>
          </w:tcPr>
          <w:p>
            <w:r/>
            <w:r>
              <w:rPr>
                <w:b/>
                <w:sz w:val="20"/>
              </w:rPr>
              <w:t>Collected</w:t>
            </w:r>
          </w:p>
        </w:tc>
        <w:tc>
          <w:tcPr>
            <w:tcW w:type="dxa" w:w="1584"/>
          </w:tcPr>
          <w:p>
            <w:r/>
            <w:r>
              <w:rPr>
                <w:b/>
                <w:sz w:val="20"/>
              </w:rPr>
              <w:t>Responsible</w:t>
            </w:r>
          </w:p>
        </w:tc>
      </w:tr>
      <w:tr>
        <w:tc>
          <w:tcPr>
            <w:tcW w:type="dxa" w:w="1656"/>
          </w:tcPr>
          <w:p>
            <w:r/>
            <w:r>
              <w:rPr>
                <w:sz w:val="20"/>
              </w:rPr>
              <w:t>Program dosage</w:t>
            </w:r>
          </w:p>
        </w:tc>
        <w:tc>
          <w:tcPr>
            <w:tcW w:type="dxa" w:w="2448"/>
          </w:tcPr>
          <w:p>
            <w:r/>
            <w:r>
              <w:rPr>
                <w:sz w:val="20"/>
              </w:rPr>
              <w:t>Students attending 60 or more of 120 offered sessions</w:t>
            </w:r>
          </w:p>
        </w:tc>
        <w:tc>
          <w:tcPr>
            <w:tcW w:type="dxa" w:w="1944"/>
          </w:tcPr>
          <w:p>
            <w:r/>
            <w:r>
              <w:rPr>
                <w:sz w:val="20"/>
              </w:rPr>
              <w:t>Site attendance roster, entered daily</w:t>
            </w:r>
          </w:p>
        </w:tc>
        <w:tc>
          <w:tcPr>
            <w:tcW w:type="dxa" w:w="1728"/>
          </w:tcPr>
          <w:p>
            <w:r/>
            <w:r>
              <w:rPr>
                <w:sz w:val="20"/>
              </w:rPr>
              <w:t>Daily entry, reported quarterly</w:t>
            </w:r>
          </w:p>
        </w:tc>
        <w:tc>
          <w:tcPr>
            <w:tcW w:type="dxa" w:w="1584"/>
          </w:tcPr>
          <w:p>
            <w:r/>
            <w:r>
              <w:rPr>
                <w:sz w:val="20"/>
              </w:rPr>
              <w:t>Site coordinators</w:t>
            </w:r>
          </w:p>
        </w:tc>
      </w:tr>
      <w:tr>
        <w:tc>
          <w:tcPr>
            <w:tcW w:type="dxa" w:w="1656"/>
          </w:tcPr>
          <w:p>
            <w:r/>
            <w:r>
              <w:rPr>
                <w:sz w:val="20"/>
              </w:rPr>
              <w:t>Math benchmark growth</w:t>
            </w:r>
          </w:p>
        </w:tc>
        <w:tc>
          <w:tcPr>
            <w:tcW w:type="dxa" w:w="2448"/>
          </w:tcPr>
          <w:p>
            <w:r/>
            <w:r>
              <w:rPr>
                <w:sz w:val="20"/>
              </w:rPr>
              <w:t>Change in performance band between the fall and spring administrations</w:t>
            </w:r>
          </w:p>
        </w:tc>
        <w:tc>
          <w:tcPr>
            <w:tcW w:type="dxa" w:w="1944"/>
          </w:tcPr>
          <w:p>
            <w:r/>
            <w:r>
              <w:rPr>
                <w:sz w:val="20"/>
              </w:rPr>
              <w:t>District universal screener and benchmark</w:t>
            </w:r>
          </w:p>
        </w:tc>
        <w:tc>
          <w:tcPr>
            <w:tcW w:type="dxa" w:w="1728"/>
          </w:tcPr>
          <w:p>
            <w:r/>
            <w:r>
              <w:rPr>
                <w:sz w:val="20"/>
              </w:rPr>
              <w:t>Fall, winter and spring windows</w:t>
            </w:r>
          </w:p>
        </w:tc>
        <w:tc>
          <w:tcPr>
            <w:tcW w:type="dxa" w:w="1584"/>
          </w:tcPr>
          <w:p>
            <w:r/>
            <w:r>
              <w:rPr>
                <w:sz w:val="20"/>
              </w:rPr>
              <w:t>District assessment office, shared under agreement</w:t>
            </w:r>
          </w:p>
        </w:tc>
      </w:tr>
      <w:tr>
        <w:tc>
          <w:tcPr>
            <w:tcW w:type="dxa" w:w="1656"/>
          </w:tcPr>
          <w:p>
            <w:r/>
            <w:r>
              <w:rPr>
                <w:sz w:val="20"/>
              </w:rPr>
              <w:t>Course pass rate</w:t>
            </w:r>
          </w:p>
        </w:tc>
        <w:tc>
          <w:tcPr>
            <w:tcW w:type="dxa" w:w="2448"/>
          </w:tcPr>
          <w:p>
            <w:r/>
            <w:r>
              <w:rPr>
                <w:sz w:val="20"/>
              </w:rPr>
              <w:t>Final year grade at or above the district's passing threshold in the target math course</w:t>
            </w:r>
          </w:p>
        </w:tc>
        <w:tc>
          <w:tcPr>
            <w:tcW w:type="dxa" w:w="1944"/>
          </w:tcPr>
          <w:p>
            <w:r/>
            <w:r>
              <w:rPr>
                <w:sz w:val="20"/>
              </w:rPr>
              <w:t>District grade records</w:t>
            </w:r>
          </w:p>
        </w:tc>
        <w:tc>
          <w:tcPr>
            <w:tcW w:type="dxa" w:w="1728"/>
          </w:tcPr>
          <w:p>
            <w:r/>
            <w:r>
              <w:rPr>
                <w:sz w:val="20"/>
              </w:rPr>
              <w:t>Each grading period</w:t>
            </w:r>
          </w:p>
        </w:tc>
        <w:tc>
          <w:tcPr>
            <w:tcW w:type="dxa" w:w="1584"/>
          </w:tcPr>
          <w:p>
            <w:r/>
            <w:r>
              <w:rPr>
                <w:sz w:val="20"/>
              </w:rPr>
              <w:t>District student information system</w:t>
            </w:r>
          </w:p>
        </w:tc>
      </w:tr>
      <w:tr>
        <w:tc>
          <w:tcPr>
            <w:tcW w:type="dxa" w:w="1656"/>
          </w:tcPr>
          <w:p>
            <w:r/>
            <w:r>
              <w:rPr>
                <w:sz w:val="20"/>
              </w:rPr>
              <w:t>Chronic absenteeism</w:t>
            </w:r>
          </w:p>
        </w:tc>
        <w:tc>
          <w:tcPr>
            <w:tcW w:type="dxa" w:w="2448"/>
          </w:tcPr>
          <w:p>
            <w:r/>
            <w:r>
              <w:rPr>
                <w:sz w:val="20"/>
              </w:rPr>
              <w:t>Missing 10 percent or more of enrolled school days, the definition Fairbrook reports on</w:t>
            </w:r>
          </w:p>
        </w:tc>
        <w:tc>
          <w:tcPr>
            <w:tcW w:type="dxa" w:w="1944"/>
          </w:tcPr>
          <w:p>
            <w:r/>
            <w:r>
              <w:rPr>
                <w:sz w:val="20"/>
              </w:rPr>
              <w:t>District attendance system</w:t>
            </w:r>
          </w:p>
        </w:tc>
        <w:tc>
          <w:tcPr>
            <w:tcW w:type="dxa" w:w="1728"/>
          </w:tcPr>
          <w:p>
            <w:r/>
            <w:r>
              <w:rPr>
                <w:sz w:val="20"/>
              </w:rPr>
              <w:t>Quarterly</w:t>
            </w:r>
          </w:p>
        </w:tc>
        <w:tc>
          <w:tcPr>
            <w:tcW w:type="dxa" w:w="1584"/>
          </w:tcPr>
          <w:p>
            <w:r/>
            <w:r>
              <w:rPr>
                <w:sz w:val="20"/>
              </w:rPr>
              <w:t>District student information system</w:t>
            </w:r>
          </w:p>
        </w:tc>
      </w:tr>
      <w:tr>
        <w:tc>
          <w:tcPr>
            <w:tcW w:type="dxa" w:w="1656"/>
          </w:tcPr>
          <w:p>
            <w:r/>
            <w:r>
              <w:rPr>
                <w:sz w:val="20"/>
              </w:rPr>
              <w:t>Student self-efficacy</w:t>
            </w:r>
          </w:p>
        </w:tc>
        <w:tc>
          <w:tcPr>
            <w:tcW w:type="dxa" w:w="2448"/>
          </w:tcPr>
          <w:p>
            <w:r/>
            <w:r>
              <w:rPr>
                <w:sz w:val="20"/>
              </w:rPr>
              <w:t>Change in mean score on a 10-item math self-efficacy survey</w:t>
            </w:r>
          </w:p>
        </w:tc>
        <w:tc>
          <w:tcPr>
            <w:tcW w:type="dxa" w:w="1944"/>
          </w:tcPr>
          <w:p>
            <w:r/>
            <w:r>
              <w:rPr>
                <w:sz w:val="20"/>
              </w:rPr>
              <w:t>Program-administered pre and post survey</w:t>
            </w:r>
          </w:p>
        </w:tc>
        <w:tc>
          <w:tcPr>
            <w:tcW w:type="dxa" w:w="1728"/>
          </w:tcPr>
          <w:p>
            <w:r/>
            <w:r>
              <w:rPr>
                <w:sz w:val="20"/>
              </w:rPr>
              <w:t>September and May</w:t>
            </w:r>
          </w:p>
        </w:tc>
        <w:tc>
          <w:tcPr>
            <w:tcW w:type="dxa" w:w="1584"/>
          </w:tcPr>
          <w:p>
            <w:r/>
            <w:r>
              <w:rPr>
                <w:sz w:val="20"/>
              </w:rPr>
              <w:t>Program director</w:t>
            </w:r>
          </w:p>
        </w:tc>
      </w:tr>
      <w:tr>
        <w:tc>
          <w:tcPr>
            <w:tcW w:type="dxa" w:w="1656"/>
          </w:tcPr>
          <w:p>
            <w:r/>
            <w:r>
              <w:rPr>
                <w:sz w:val="20"/>
              </w:rPr>
              <w:t>Implementation fidelity</w:t>
            </w:r>
          </w:p>
        </w:tc>
        <w:tc>
          <w:tcPr>
            <w:tcW w:type="dxa" w:w="2448"/>
          </w:tcPr>
          <w:p>
            <w:r/>
            <w:r>
              <w:rPr>
                <w:sz w:val="20"/>
              </w:rPr>
              <w:t>Sessions delivered as a share of sessions scheduled, adults present, minutes of small-group instruction</w:t>
            </w:r>
          </w:p>
        </w:tc>
        <w:tc>
          <w:tcPr>
            <w:tcW w:type="dxa" w:w="1944"/>
          </w:tcPr>
          <w:p>
            <w:r/>
            <w:r>
              <w:rPr>
                <w:sz w:val="20"/>
              </w:rPr>
              <w:t>Site observation rubric, two observations per site per semester</w:t>
            </w:r>
          </w:p>
        </w:tc>
        <w:tc>
          <w:tcPr>
            <w:tcW w:type="dxa" w:w="1728"/>
          </w:tcPr>
          <w:p>
            <w:r/>
            <w:r>
              <w:rPr>
                <w:sz w:val="20"/>
              </w:rPr>
              <w:t>Twice per semester</w:t>
            </w:r>
          </w:p>
        </w:tc>
        <w:tc>
          <w:tcPr>
            <w:tcW w:type="dxa" w:w="1584"/>
          </w:tcPr>
          <w:p>
            <w:r/>
            <w:r>
              <w:rPr>
                <w:sz w:val="20"/>
              </w:rPr>
              <w:t>Program director and contracted coach</w:t>
            </w:r>
          </w:p>
        </w:tc>
      </w:tr>
    </w:tbl>
    <w:p/>
    <w:p>
      <w:pPr>
        <w:pStyle w:val="Caption"/>
      </w:pPr>
      <w:r>
        <w:t>Table 3. Example evaluation matrix. Replace the instruments with whatever your district actually administers.</w:t>
      </w:r>
    </w:p>
    <w:p>
      <w:pPr>
        <w:pStyle w:val="Heading2"/>
      </w:pPr>
      <w:r>
        <w:t>9.3 Definitions and thresholds</w:t>
      </w:r>
    </w:p>
    <w:p>
      <w:r>
        <w:t>Chronic absenteeism in this proposal means missing 10 percent or more of enrolled school days, which is the definition Fairbrook uses in its own reporting. Using the district's definition rather than a preferred one means the funder and the district count the same students, and it means a district staff member can confirm the figure without recalculating it.</w:t>
      </w:r>
    </w:p>
    <w:p>
      <w:r>
        <w:t>Performance band means one of the four bands the district's screener reports. Moving up a band is a coarser measure than a scale score change and is used here because it is the unit Fairbrook reports to families and to its board, which makes the result legible to everyone involved.</w:t>
      </w:r>
    </w:p>
    <w:p>
      <w:r>
        <w:t>Passing grade follows district grading policy for the year-long course, not a program-defined threshold.</w:t>
      </w:r>
    </w:p>
    <w:p>
      <w:pPr>
        <w:pStyle w:val="Heading2"/>
      </w:pPr>
      <w:r>
        <w:t>9.4 Data sharing and management</w:t>
      </w:r>
    </w:p>
    <w:p>
      <w:r>
        <w:t>Student-level data is received under the data-sharing agreement at Attachment C, executed as a FERPA school-official addendum to the district memorandum of understanding. Northline receives a fall baseline file in October and subsequent files after each benchmark window and each grading period. Files are transferred through the district's secure file exchange, stored encrypted, accessible to the program director and the contracted evaluator only, and destroyed 24 months after the close of the grant period.</w:t>
      </w:r>
    </w:p>
    <w:p>
      <w:r>
        <w:t>Attendance is entered daily at each site rather than reconstructed at quarter end, because dosage is the denominator for two of three objectives and a reconstructed roster is not defensible. All reporting to the funder is aggregate. No student is identifiable in any report.</w:t>
      </w:r>
    </w:p>
    <w:p>
      <w:pPr>
        <w:pStyle w:val="Heading2"/>
      </w:pPr>
      <w:r>
        <w:t>9.5 Level of evidence</w:t>
      </w:r>
    </w:p>
    <w:p>
      <w:r>
        <w:t>Section 8101(21)(A) of the Elementary and Secondary Education Act defines four levels of evidence for education interventions: strong evidence, moderate evidence, promising evidence, and evidence that demonstrates a rationale (U.S. Department of Education, Non-Regulatory Guidance: Using Evidence to Strengthen Education Investments, revised September 28, 2023, ed.gov). The Department applies the same four levels in its discretionary grant competitions through EDGAR at 34 CFR 77.1, so federal applicants are scored against those definitions, and foundation reviewers increasingly ask the same question.</w:t>
      </w:r>
    </w:p>
    <w:p>
      <w:r>
        <w:t>This program claims the fourth level, evidence that demonstrates a rationale. The logic model below sets out how the intervention is expected to produce the outcome, and the evaluation plan commits to studying it. That is an honest claim for a program whose specific configuration has not been formally evaluated, and it is a stronger position with a reviewer than an overstated claim that does not survive a check.</w:t>
      </w:r>
    </w:p>
    <w:p>
      <w:r>
        <w:t>If the curriculum or model you use has been reviewed by the What Works Clearinghouse (ies.ed.gov/ncee/wwc), name the intervention, the finding and the rating in this section, and raise the claimed level accordingly. Do not claim a level the review does not support.</w:t>
      </w:r>
    </w:p>
    <w:p>
      <w:pPr>
        <w:pStyle w:val="Heading2"/>
      </w:pPr>
      <w:r>
        <w:t>9.6 Logic model</w:t>
      </w:r>
    </w:p>
    <w:tbl>
      <w:tblPr>
        <w:tblStyle w:val="LightGrid-Accent1"/>
        <w:tblW w:type="auto" w:w="0"/>
        <w:jc w:val="center"/>
        <w:tblLayout w:type="autofit"/>
        <w:tblLook w:firstColumn="1" w:firstRow="1" w:lastColumn="0" w:lastRow="0" w:noHBand="0" w:noVBand="1" w:val="04A0"/>
      </w:tblPr>
      <w:tblGrid>
        <w:gridCol w:w="1872"/>
        <w:gridCol w:w="1872"/>
        <w:gridCol w:w="1872"/>
        <w:gridCol w:w="1872"/>
        <w:gridCol w:w="1872"/>
      </w:tblGrid>
      <w:tr>
        <w:tc>
          <w:tcPr>
            <w:tcW w:type="dxa" w:w="1872"/>
          </w:tcPr>
          <w:p>
            <w:r/>
            <w:r>
              <w:rPr>
                <w:b/>
                <w:sz w:val="20"/>
              </w:rPr>
              <w:t>Inputs</w:t>
            </w:r>
          </w:p>
        </w:tc>
        <w:tc>
          <w:tcPr>
            <w:tcW w:type="dxa" w:w="2160"/>
          </w:tcPr>
          <w:p>
            <w:r/>
            <w:r>
              <w:rPr>
                <w:b/>
                <w:sz w:val="20"/>
              </w:rPr>
              <w:t>Activities</w:t>
            </w:r>
          </w:p>
        </w:tc>
        <w:tc>
          <w:tcPr>
            <w:tcW w:type="dxa" w:w="1800"/>
          </w:tcPr>
          <w:p>
            <w:r/>
            <w:r>
              <w:rPr>
                <w:b/>
                <w:sz w:val="20"/>
              </w:rPr>
              <w:t>Outputs</w:t>
            </w:r>
          </w:p>
        </w:tc>
        <w:tc>
          <w:tcPr>
            <w:tcW w:type="dxa" w:w="1728"/>
          </w:tcPr>
          <w:p>
            <w:r/>
            <w:r>
              <w:rPr>
                <w:b/>
                <w:sz w:val="20"/>
              </w:rPr>
              <w:t>Short-term outcomes</w:t>
            </w:r>
          </w:p>
        </w:tc>
        <w:tc>
          <w:tcPr>
            <w:tcW w:type="dxa" w:w="1800"/>
          </w:tcPr>
          <w:p>
            <w:r/>
            <w:r>
              <w:rPr>
                <w:b/>
                <w:sz w:val="20"/>
              </w:rPr>
              <w:t>Medium-term outcomes</w:t>
            </w:r>
          </w:p>
        </w:tc>
      </w:tr>
      <w:tr>
        <w:tc>
          <w:tcPr>
            <w:tcW w:type="dxa" w:w="1872"/>
          </w:tcPr>
          <w:p>
            <w:r/>
            <w:r>
              <w:rPr>
                <w:sz w:val="20"/>
              </w:rPr>
              <w:t>Grant funds of $116,105. Three campus sites contributed by the district. One program director at 0.4 FTE, three site coordinators at 0.2 FTE, ten trained tutors. District-approved intervention materials and progress-monitoring licenses. Executed MOU and data-sharing agreement. Late-activity bus runs.</w:t>
            </w:r>
          </w:p>
        </w:tc>
        <w:tc>
          <w:tcPr>
            <w:tcW w:type="dxa" w:w="2160"/>
          </w:tcPr>
          <w:p>
            <w:r/>
            <w:r>
              <w:rPr>
                <w:sz w:val="20"/>
              </w:rPr>
              <w:t>Twelve hours of pre-service tutor training and twelve hours of in-session coaching. 120 after-school sessions per site, four afternoons a week for 30 weeks. Sixty minutes of small-group math instruction per session in groups of eight or fewer. Three-week regrouping cycles based on progress monitoring. Four family engagement evenings. Family contact after three consecutive absences.</w:t>
            </w:r>
          </w:p>
        </w:tc>
        <w:tc>
          <w:tcPr>
            <w:tcW w:type="dxa" w:w="1800"/>
          </w:tcPr>
          <w:p>
            <w:r/>
            <w:r>
              <w:rPr>
                <w:sz w:val="20"/>
              </w:rPr>
              <w:t>120 students enrolled across three campuses. 360 site-sessions delivered. Up to 120 hours of instruction available per student. Twelve fidelity observations. Four family engagement evenings held. Quarterly dosage and progress reports.</w:t>
            </w:r>
          </w:p>
        </w:tc>
        <w:tc>
          <w:tcPr>
            <w:tcW w:type="dxa" w:w="1728"/>
          </w:tcPr>
          <w:p>
            <w:r/>
            <w:r>
              <w:rPr>
                <w:sz w:val="20"/>
              </w:rPr>
              <w:t>At least 84 students reach the 60-session threshold. Progress-monitoring gains within the year. Improved student self-efficacy in mathematics. Fewer failing quarter grades in the target course.</w:t>
            </w:r>
          </w:p>
        </w:tc>
        <w:tc>
          <w:tcPr>
            <w:tcW w:type="dxa" w:w="1800"/>
          </w:tcPr>
          <w:p>
            <w:r/>
            <w:r>
              <w:rPr>
                <w:sz w:val="20"/>
              </w:rPr>
              <w:t>65 percent of threshold students move up at least one benchmark performance band. 85 percent of threshold students pass the year-long math course. More students eligible for grade-level math placement in grade 8. District considers a fee-for-service line for year two.</w:t>
            </w:r>
          </w:p>
        </w:tc>
      </w:tr>
    </w:tbl>
    <w:p/>
    <w:p>
      <w:pPr>
        <w:pStyle w:val="Caption"/>
      </w:pPr>
      <w:r>
        <w:t>Table 4. Logic model for the example program.</w:t>
      </w:r>
    </w:p>
    <w:p>
      <w:pPr>
        <w:pStyle w:val="Heading2"/>
      </w:pPr>
      <w:r>
        <w:t>9.7 Analysis and reporting</w:t>
      </w:r>
    </w:p>
    <w:p>
      <w:r>
        <w:t>Analysis compares fall and spring performance bands for students meeting the dosage threshold, reports the same comparison for enrolled students below the threshold, and reports course pass rates against the prior-year campus baseline. Both denominators appear in every report, because enrolled students and students meeting the threshold are different figures and a reviewer who finds only one of them assumes the less favorable interpretation.</w:t>
      </w:r>
    </w:p>
    <w:p>
      <w:r>
        <w:t>Northline reports to the funder quarterly with attendance and implementation data, and once at the close of the year with academic results, a fidelity summary and a written account of what the attendance data suggests should change in year two. A contracted external evaluator, funded from Northline's unrestricted budget rather than from this request, reviews the analysis before the final report is submitted.</w:t>
      </w:r>
    </w:p>
    <w:p>
      <w:r>
        <w:br w:type="page"/>
      </w:r>
    </w:p>
    <w:p>
      <w:pPr>
        <w:pStyle w:val="Heading1"/>
      </w:pPr>
      <w:r>
        <w:t>10. Budget</w:t>
      </w:r>
    </w:p>
    <w:p>
      <w:pPr>
        <w:pStyle w:val="AdaptationNote"/>
      </w:pPr>
      <w:r>
        <w:t>Adapt this section: Write the budget so the per-student cost is visible without arithmetic, and give the basis of calculation for every personnel line. Replace every rate here with your own. The four lines specific to school-based work, transportation, clearances, assessment licenses and tutor training, are the ones most often left out.</w:t>
      </w:r>
    </w:p>
    <w:p>
      <w:r>
        <w:t>The budget below covers one program year: 120 students across three middle schools, four sessions a week for 30 weeks. The figures illustrate method. No funder made this award.</w:t>
      </w:r>
    </w:p>
    <w:tbl>
      <w:tblPr>
        <w:tblStyle w:val="LightGrid-Accent1"/>
        <w:tblW w:type="auto" w:w="0"/>
        <w:jc w:val="center"/>
        <w:tblLayout w:type="autofit"/>
        <w:tblLook w:firstColumn="1" w:firstRow="1" w:lastColumn="0" w:lastRow="0" w:noHBand="0" w:noVBand="1" w:val="04A0"/>
      </w:tblPr>
      <w:tblGrid>
        <w:gridCol w:w="3120"/>
        <w:gridCol w:w="3120"/>
        <w:gridCol w:w="3120"/>
      </w:tblGrid>
      <w:tr>
        <w:tc>
          <w:tcPr>
            <w:tcW w:type="dxa" w:w="3600"/>
          </w:tcPr>
          <w:p>
            <w:r/>
            <w:r>
              <w:rPr>
                <w:b/>
                <w:sz w:val="20"/>
              </w:rPr>
              <w:t>Line item</w:t>
            </w:r>
          </w:p>
        </w:tc>
        <w:tc>
          <w:tcPr>
            <w:tcW w:type="dxa" w:w="4032"/>
          </w:tcPr>
          <w:p>
            <w:r/>
            <w:r>
              <w:rPr>
                <w:b/>
                <w:sz w:val="20"/>
              </w:rPr>
              <w:t>Basis of calculation</w:t>
            </w:r>
          </w:p>
        </w:tc>
        <w:tc>
          <w:tcPr>
            <w:tcW w:type="dxa" w:w="1728"/>
          </w:tcPr>
          <w:p>
            <w:pPr>
              <w:jc w:val="right"/>
            </w:pPr>
            <w:r/>
            <w:r>
              <w:rPr>
                <w:b/>
                <w:sz w:val="20"/>
              </w:rPr>
              <w:t>Amount</w:t>
            </w:r>
          </w:p>
        </w:tc>
      </w:tr>
      <w:tr>
        <w:tc>
          <w:tcPr>
            <w:tcW w:type="dxa" w:w="3600"/>
          </w:tcPr>
          <w:p>
            <w:r/>
            <w:r>
              <w:rPr>
                <w:sz w:val="20"/>
              </w:rPr>
              <w:t>Program director, 0.4 FTE</w:t>
            </w:r>
          </w:p>
        </w:tc>
        <w:tc>
          <w:tcPr>
            <w:tcW w:type="dxa" w:w="4032"/>
          </w:tcPr>
          <w:p>
            <w:r/>
            <w:r>
              <w:rPr>
                <w:sz w:val="20"/>
              </w:rPr>
              <w:t>$65,000 base salary at 40%</w:t>
            </w:r>
          </w:p>
        </w:tc>
        <w:tc>
          <w:tcPr>
            <w:tcW w:type="dxa" w:w="1728"/>
          </w:tcPr>
          <w:p>
            <w:pPr>
              <w:jc w:val="right"/>
            </w:pPr>
            <w:r/>
            <w:r>
              <w:rPr>
                <w:sz w:val="20"/>
              </w:rPr>
              <w:t>$26,000</w:t>
            </w:r>
          </w:p>
        </w:tc>
      </w:tr>
      <w:tr>
        <w:tc>
          <w:tcPr>
            <w:tcW w:type="dxa" w:w="3600"/>
          </w:tcPr>
          <w:p>
            <w:r/>
            <w:r>
              <w:rPr>
                <w:sz w:val="20"/>
              </w:rPr>
              <w:t>Site coordinators, 3 at 0.2 FTE</w:t>
            </w:r>
          </w:p>
        </w:tc>
        <w:tc>
          <w:tcPr>
            <w:tcW w:type="dxa" w:w="4032"/>
          </w:tcPr>
          <w:p>
            <w:r/>
            <w:r>
              <w:rPr>
                <w:sz w:val="20"/>
              </w:rPr>
              <w:t>$40,000 base salary at 20% each</w:t>
            </w:r>
          </w:p>
        </w:tc>
        <w:tc>
          <w:tcPr>
            <w:tcW w:type="dxa" w:w="1728"/>
          </w:tcPr>
          <w:p>
            <w:pPr>
              <w:jc w:val="right"/>
            </w:pPr>
            <w:r/>
            <w:r>
              <w:rPr>
                <w:sz w:val="20"/>
              </w:rPr>
              <w:t>$24,000</w:t>
            </w:r>
          </w:p>
        </w:tc>
      </w:tr>
      <w:tr>
        <w:tc>
          <w:tcPr>
            <w:tcW w:type="dxa" w:w="3600"/>
          </w:tcPr>
          <w:p>
            <w:r/>
            <w:r>
              <w:rPr>
                <w:sz w:val="20"/>
              </w:rPr>
              <w:t>Payroll taxes and benefits</w:t>
            </w:r>
          </w:p>
        </w:tc>
        <w:tc>
          <w:tcPr>
            <w:tcW w:type="dxa" w:w="4032"/>
          </w:tcPr>
          <w:p>
            <w:r/>
            <w:r>
              <w:rPr>
                <w:sz w:val="20"/>
              </w:rPr>
              <w:t>22% of $50,000 in salaried wages</w:t>
            </w:r>
          </w:p>
        </w:tc>
        <w:tc>
          <w:tcPr>
            <w:tcW w:type="dxa" w:w="1728"/>
          </w:tcPr>
          <w:p>
            <w:pPr>
              <w:jc w:val="right"/>
            </w:pPr>
            <w:r/>
            <w:r>
              <w:rPr>
                <w:sz w:val="20"/>
              </w:rPr>
              <w:t>$11,000</w:t>
            </w:r>
          </w:p>
        </w:tc>
      </w:tr>
      <w:tr>
        <w:tc>
          <w:tcPr>
            <w:tcW w:type="dxa" w:w="3600"/>
          </w:tcPr>
          <w:p>
            <w:r/>
            <w:r>
              <w:rPr>
                <w:sz w:val="20"/>
              </w:rPr>
              <w:t>Tutor stipends</w:t>
            </w:r>
          </w:p>
        </w:tc>
        <w:tc>
          <w:tcPr>
            <w:tcW w:type="dxa" w:w="4032"/>
          </w:tcPr>
          <w:p>
            <w:r/>
            <w:r>
              <w:rPr>
                <w:sz w:val="20"/>
              </w:rPr>
              <w:t>10 tutors x 100 hours x $22 per hour</w:t>
            </w:r>
          </w:p>
        </w:tc>
        <w:tc>
          <w:tcPr>
            <w:tcW w:type="dxa" w:w="1728"/>
          </w:tcPr>
          <w:p>
            <w:pPr>
              <w:jc w:val="right"/>
            </w:pPr>
            <w:r/>
            <w:r>
              <w:rPr>
                <w:sz w:val="20"/>
              </w:rPr>
              <w:t>$22,000</w:t>
            </w:r>
          </w:p>
        </w:tc>
      </w:tr>
      <w:tr>
        <w:tc>
          <w:tcPr>
            <w:tcW w:type="dxa" w:w="3600"/>
            <w:shd w:val="clear" w:color="auto" w:fill="EDF1F8"/>
          </w:tcPr>
          <w:p>
            <w:r/>
            <w:r>
              <w:rPr>
                <w:b/>
                <w:sz w:val="20"/>
              </w:rPr>
              <w:t>Personnel subtotal</w:t>
            </w:r>
          </w:p>
        </w:tc>
        <w:tc>
          <w:tcPr>
            <w:tcW w:type="dxa" w:w="4032"/>
            <w:shd w:val="clear" w:color="auto" w:fill="EDF1F8"/>
          </w:tcPr>
          <w:p>
            <w:r/>
            <w:r>
              <w:rPr>
                <w:b/>
                <w:sz w:val="20"/>
              </w:rPr>
            </w:r>
          </w:p>
        </w:tc>
        <w:tc>
          <w:tcPr>
            <w:tcW w:type="dxa" w:w="1728"/>
            <w:shd w:val="clear" w:color="auto" w:fill="EDF1F8"/>
          </w:tcPr>
          <w:p>
            <w:pPr>
              <w:jc w:val="right"/>
            </w:pPr>
            <w:r/>
            <w:r>
              <w:rPr>
                <w:b/>
                <w:sz w:val="20"/>
              </w:rPr>
              <w:t>$83,000</w:t>
            </w:r>
          </w:p>
        </w:tc>
      </w:tr>
      <w:tr>
        <w:tc>
          <w:tcPr>
            <w:tcW w:type="dxa" w:w="3600"/>
          </w:tcPr>
          <w:p>
            <w:r/>
            <w:r>
              <w:rPr>
                <w:sz w:val="20"/>
              </w:rPr>
              <w:t>Assessment and progress-monitoring licenses</w:t>
            </w:r>
          </w:p>
        </w:tc>
        <w:tc>
          <w:tcPr>
            <w:tcW w:type="dxa" w:w="4032"/>
          </w:tcPr>
          <w:p>
            <w:r/>
            <w:r>
              <w:rPr>
                <w:sz w:val="20"/>
              </w:rPr>
              <w:t>120 students x $40</w:t>
            </w:r>
          </w:p>
        </w:tc>
        <w:tc>
          <w:tcPr>
            <w:tcW w:type="dxa" w:w="1728"/>
          </w:tcPr>
          <w:p>
            <w:pPr>
              <w:jc w:val="right"/>
            </w:pPr>
            <w:r/>
            <w:r>
              <w:rPr>
                <w:sz w:val="20"/>
              </w:rPr>
              <w:t>$4,800</w:t>
            </w:r>
          </w:p>
        </w:tc>
      </w:tr>
      <w:tr>
        <w:tc>
          <w:tcPr>
            <w:tcW w:type="dxa" w:w="3600"/>
          </w:tcPr>
          <w:p>
            <w:r/>
            <w:r>
              <w:rPr>
                <w:sz w:val="20"/>
              </w:rPr>
              <w:t>Instructional materials and consumables</w:t>
            </w:r>
          </w:p>
        </w:tc>
        <w:tc>
          <w:tcPr>
            <w:tcW w:type="dxa" w:w="4032"/>
          </w:tcPr>
          <w:p>
            <w:r/>
            <w:r>
              <w:rPr>
                <w:sz w:val="20"/>
              </w:rPr>
              <w:t>120 students x $25</w:t>
            </w:r>
          </w:p>
        </w:tc>
        <w:tc>
          <w:tcPr>
            <w:tcW w:type="dxa" w:w="1728"/>
          </w:tcPr>
          <w:p>
            <w:pPr>
              <w:jc w:val="right"/>
            </w:pPr>
            <w:r/>
            <w:r>
              <w:rPr>
                <w:sz w:val="20"/>
              </w:rPr>
              <w:t>$3,000</w:t>
            </w:r>
          </w:p>
        </w:tc>
      </w:tr>
      <w:tr>
        <w:tc>
          <w:tcPr>
            <w:tcW w:type="dxa" w:w="3600"/>
          </w:tcPr>
          <w:p>
            <w:r/>
            <w:r>
              <w:rPr>
                <w:sz w:val="20"/>
              </w:rPr>
              <w:t>Late-activity transportation</w:t>
            </w:r>
          </w:p>
        </w:tc>
        <w:tc>
          <w:tcPr>
            <w:tcW w:type="dxa" w:w="4032"/>
          </w:tcPr>
          <w:p>
            <w:r/>
            <w:r>
              <w:rPr>
                <w:sz w:val="20"/>
              </w:rPr>
              <w:t>3 sites x 30 weeks x 4 days x $27.50 per run</w:t>
            </w:r>
          </w:p>
        </w:tc>
        <w:tc>
          <w:tcPr>
            <w:tcW w:type="dxa" w:w="1728"/>
          </w:tcPr>
          <w:p>
            <w:pPr>
              <w:jc w:val="right"/>
            </w:pPr>
            <w:r/>
            <w:r>
              <w:rPr>
                <w:sz w:val="20"/>
              </w:rPr>
              <w:t>$9,900</w:t>
            </w:r>
          </w:p>
        </w:tc>
      </w:tr>
      <w:tr>
        <w:tc>
          <w:tcPr>
            <w:tcW w:type="dxa" w:w="3600"/>
          </w:tcPr>
          <w:p>
            <w:r/>
            <w:r>
              <w:rPr>
                <w:sz w:val="20"/>
              </w:rPr>
              <w:t>Family engagement sessions</w:t>
            </w:r>
          </w:p>
        </w:tc>
        <w:tc>
          <w:tcPr>
            <w:tcW w:type="dxa" w:w="4032"/>
          </w:tcPr>
          <w:p>
            <w:r/>
            <w:r>
              <w:rPr>
                <w:sz w:val="20"/>
              </w:rPr>
              <w:t>4 sessions x $450</w:t>
            </w:r>
          </w:p>
        </w:tc>
        <w:tc>
          <w:tcPr>
            <w:tcW w:type="dxa" w:w="1728"/>
          </w:tcPr>
          <w:p>
            <w:pPr>
              <w:jc w:val="right"/>
            </w:pPr>
            <w:r/>
            <w:r>
              <w:rPr>
                <w:sz w:val="20"/>
              </w:rPr>
              <w:t>$1,800</w:t>
            </w:r>
          </w:p>
        </w:tc>
      </w:tr>
      <w:tr>
        <w:tc>
          <w:tcPr>
            <w:tcW w:type="dxa" w:w="3600"/>
          </w:tcPr>
          <w:p>
            <w:r/>
            <w:r>
              <w:rPr>
                <w:sz w:val="20"/>
              </w:rPr>
              <w:t>Staff clearances and background checks</w:t>
            </w:r>
          </w:p>
        </w:tc>
        <w:tc>
          <w:tcPr>
            <w:tcW w:type="dxa" w:w="4032"/>
          </w:tcPr>
          <w:p>
            <w:r/>
            <w:r>
              <w:rPr>
                <w:sz w:val="20"/>
              </w:rPr>
              <w:t>14 staff x $55</w:t>
            </w:r>
          </w:p>
        </w:tc>
        <w:tc>
          <w:tcPr>
            <w:tcW w:type="dxa" w:w="1728"/>
          </w:tcPr>
          <w:p>
            <w:pPr>
              <w:jc w:val="right"/>
            </w:pPr>
            <w:r/>
            <w:r>
              <w:rPr>
                <w:sz w:val="20"/>
              </w:rPr>
              <w:t>$770</w:t>
            </w:r>
          </w:p>
        </w:tc>
      </w:tr>
      <w:tr>
        <w:tc>
          <w:tcPr>
            <w:tcW w:type="dxa" w:w="3600"/>
          </w:tcPr>
          <w:p>
            <w:r/>
            <w:r>
              <w:rPr>
                <w:sz w:val="20"/>
              </w:rPr>
              <w:t>Tutor training and coaching</w:t>
            </w:r>
          </w:p>
        </w:tc>
        <w:tc>
          <w:tcPr>
            <w:tcW w:type="dxa" w:w="4032"/>
          </w:tcPr>
          <w:p>
            <w:r/>
            <w:r>
              <w:rPr>
                <w:sz w:val="20"/>
              </w:rPr>
              <w:t>24 hours x $95</w:t>
            </w:r>
          </w:p>
        </w:tc>
        <w:tc>
          <w:tcPr>
            <w:tcW w:type="dxa" w:w="1728"/>
          </w:tcPr>
          <w:p>
            <w:pPr>
              <w:jc w:val="right"/>
            </w:pPr>
            <w:r/>
            <w:r>
              <w:rPr>
                <w:sz w:val="20"/>
              </w:rPr>
              <w:t>$2,280</w:t>
            </w:r>
          </w:p>
        </w:tc>
      </w:tr>
      <w:tr>
        <w:tc>
          <w:tcPr>
            <w:tcW w:type="dxa" w:w="3600"/>
            <w:shd w:val="clear" w:color="auto" w:fill="EDF1F8"/>
          </w:tcPr>
          <w:p>
            <w:r/>
            <w:r>
              <w:rPr>
                <w:b/>
                <w:sz w:val="20"/>
              </w:rPr>
              <w:t>Non-personnel subtotal</w:t>
            </w:r>
          </w:p>
        </w:tc>
        <w:tc>
          <w:tcPr>
            <w:tcW w:type="dxa" w:w="4032"/>
            <w:shd w:val="clear" w:color="auto" w:fill="EDF1F8"/>
          </w:tcPr>
          <w:p>
            <w:r/>
            <w:r>
              <w:rPr>
                <w:b/>
                <w:sz w:val="20"/>
              </w:rPr>
            </w:r>
          </w:p>
        </w:tc>
        <w:tc>
          <w:tcPr>
            <w:tcW w:type="dxa" w:w="1728"/>
            <w:shd w:val="clear" w:color="auto" w:fill="EDF1F8"/>
          </w:tcPr>
          <w:p>
            <w:pPr>
              <w:jc w:val="right"/>
            </w:pPr>
            <w:r/>
            <w:r>
              <w:rPr>
                <w:b/>
                <w:sz w:val="20"/>
              </w:rPr>
              <w:t>$22,550</w:t>
            </w:r>
          </w:p>
        </w:tc>
      </w:tr>
      <w:tr>
        <w:tc>
          <w:tcPr>
            <w:tcW w:type="dxa" w:w="3600"/>
            <w:shd w:val="clear" w:color="auto" w:fill="EDF1F8"/>
          </w:tcPr>
          <w:p>
            <w:r/>
            <w:r>
              <w:rPr>
                <w:b/>
                <w:sz w:val="20"/>
              </w:rPr>
              <w:t>Total direct costs</w:t>
            </w:r>
          </w:p>
        </w:tc>
        <w:tc>
          <w:tcPr>
            <w:tcW w:type="dxa" w:w="4032"/>
            <w:shd w:val="clear" w:color="auto" w:fill="EDF1F8"/>
          </w:tcPr>
          <w:p>
            <w:r/>
            <w:r>
              <w:rPr>
                <w:b/>
                <w:sz w:val="20"/>
              </w:rPr>
            </w:r>
          </w:p>
        </w:tc>
        <w:tc>
          <w:tcPr>
            <w:tcW w:type="dxa" w:w="1728"/>
            <w:shd w:val="clear" w:color="auto" w:fill="EDF1F8"/>
          </w:tcPr>
          <w:p>
            <w:pPr>
              <w:jc w:val="right"/>
            </w:pPr>
            <w:r/>
            <w:r>
              <w:rPr>
                <w:b/>
                <w:sz w:val="20"/>
              </w:rPr>
              <w:t>$105,550</w:t>
            </w:r>
          </w:p>
        </w:tc>
      </w:tr>
      <w:tr>
        <w:tc>
          <w:tcPr>
            <w:tcW w:type="dxa" w:w="3600"/>
          </w:tcPr>
          <w:p>
            <w:r/>
            <w:r>
              <w:rPr>
                <w:sz w:val="20"/>
              </w:rPr>
              <w:t>Indirect costs</w:t>
            </w:r>
          </w:p>
        </w:tc>
        <w:tc>
          <w:tcPr>
            <w:tcW w:type="dxa" w:w="4032"/>
          </w:tcPr>
          <w:p>
            <w:r/>
            <w:r>
              <w:rPr>
                <w:sz w:val="20"/>
              </w:rPr>
              <w:t>10% cap set by the example funder, applied to total direct costs</w:t>
            </w:r>
          </w:p>
        </w:tc>
        <w:tc>
          <w:tcPr>
            <w:tcW w:type="dxa" w:w="1728"/>
          </w:tcPr>
          <w:p>
            <w:pPr>
              <w:jc w:val="right"/>
            </w:pPr>
            <w:r/>
            <w:r>
              <w:rPr>
                <w:sz w:val="20"/>
              </w:rPr>
              <w:t>$10,555</w:t>
            </w:r>
          </w:p>
        </w:tc>
      </w:tr>
      <w:tr>
        <w:tc>
          <w:tcPr>
            <w:tcW w:type="dxa" w:w="3600"/>
            <w:shd w:val="clear" w:color="auto" w:fill="EDF1F8"/>
          </w:tcPr>
          <w:p>
            <w:r/>
            <w:r>
              <w:rPr>
                <w:b/>
                <w:sz w:val="20"/>
              </w:rPr>
              <w:t>Total request</w:t>
            </w:r>
          </w:p>
        </w:tc>
        <w:tc>
          <w:tcPr>
            <w:tcW w:type="dxa" w:w="4032"/>
            <w:shd w:val="clear" w:color="auto" w:fill="EDF1F8"/>
          </w:tcPr>
          <w:p>
            <w:r/>
            <w:r>
              <w:rPr>
                <w:b/>
                <w:sz w:val="20"/>
              </w:rPr>
            </w:r>
          </w:p>
        </w:tc>
        <w:tc>
          <w:tcPr>
            <w:tcW w:type="dxa" w:w="1728"/>
            <w:shd w:val="clear" w:color="auto" w:fill="EDF1F8"/>
          </w:tcPr>
          <w:p>
            <w:pPr>
              <w:jc w:val="right"/>
            </w:pPr>
            <w:r/>
            <w:r>
              <w:rPr>
                <w:b/>
                <w:sz w:val="20"/>
              </w:rPr>
              <w:t>$116,105</w:t>
            </w:r>
          </w:p>
        </w:tc>
      </w:tr>
    </w:tbl>
    <w:p/>
    <w:p>
      <w:pPr>
        <w:pStyle w:val="Caption"/>
      </w:pPr>
      <w:r>
        <w:t>Table 5. Example one-year program budget. Cost per student: $968.</w:t>
      </w:r>
    </w:p>
    <w:p>
      <w:pPr>
        <w:pStyle w:val="Heading2"/>
      </w:pPr>
      <w:r>
        <w:t>10.1 In-kind and matching support</w:t>
      </w:r>
    </w:p>
    <w:tbl>
      <w:tblPr>
        <w:tblStyle w:val="LightGrid-Accent1"/>
        <w:tblW w:type="auto" w:w="0"/>
        <w:jc w:val="center"/>
        <w:tblLayout w:type="autofit"/>
        <w:tblLook w:firstColumn="1" w:firstRow="1" w:lastColumn="0" w:lastRow="0" w:noHBand="0" w:noVBand="1" w:val="04A0"/>
      </w:tblPr>
      <w:tblGrid>
        <w:gridCol w:w="3120"/>
        <w:gridCol w:w="3120"/>
        <w:gridCol w:w="3120"/>
      </w:tblGrid>
      <w:tr>
        <w:tc>
          <w:tcPr>
            <w:tcW w:type="dxa" w:w="3600"/>
          </w:tcPr>
          <w:p>
            <w:r/>
            <w:r>
              <w:rPr>
                <w:b/>
                <w:sz w:val="20"/>
              </w:rPr>
              <w:t>Source</w:t>
            </w:r>
          </w:p>
        </w:tc>
        <w:tc>
          <w:tcPr>
            <w:tcW w:type="dxa" w:w="4032"/>
          </w:tcPr>
          <w:p>
            <w:r/>
            <w:r>
              <w:rPr>
                <w:b/>
                <w:sz w:val="20"/>
              </w:rPr>
              <w:t>Basis of calculation</w:t>
            </w:r>
          </w:p>
        </w:tc>
        <w:tc>
          <w:tcPr>
            <w:tcW w:type="dxa" w:w="1728"/>
          </w:tcPr>
          <w:p>
            <w:pPr>
              <w:jc w:val="right"/>
            </w:pPr>
            <w:r/>
            <w:r>
              <w:rPr>
                <w:b/>
                <w:sz w:val="20"/>
              </w:rPr>
              <w:t>Value</w:t>
            </w:r>
          </w:p>
        </w:tc>
      </w:tr>
      <w:tr>
        <w:tc>
          <w:tcPr>
            <w:tcW w:type="dxa" w:w="3600"/>
          </w:tcPr>
          <w:p>
            <w:r/>
            <w:r>
              <w:rPr>
                <w:sz w:val="20"/>
              </w:rPr>
              <w:t>District facility use, three campuses</w:t>
            </w:r>
          </w:p>
        </w:tc>
        <w:tc>
          <w:tcPr>
            <w:tcW w:type="dxa" w:w="4032"/>
          </w:tcPr>
          <w:p>
            <w:r/>
            <w:r>
              <w:rPr>
                <w:sz w:val="20"/>
              </w:rPr>
              <w:t>3 sites x 120 afternoons x $30 per afternoon</w:t>
            </w:r>
          </w:p>
        </w:tc>
        <w:tc>
          <w:tcPr>
            <w:tcW w:type="dxa" w:w="1728"/>
          </w:tcPr>
          <w:p>
            <w:pPr>
              <w:jc w:val="right"/>
            </w:pPr>
            <w:r/>
            <w:r>
              <w:rPr>
                <w:sz w:val="20"/>
              </w:rPr>
              <w:t>$10,800</w:t>
            </w:r>
          </w:p>
        </w:tc>
      </w:tr>
      <w:tr>
        <w:tc>
          <w:tcPr>
            <w:tcW w:type="dxa" w:w="3600"/>
          </w:tcPr>
          <w:p>
            <w:r/>
            <w:r>
              <w:rPr>
                <w:sz w:val="20"/>
              </w:rPr>
              <w:t>Certified teacher building liaison</w:t>
            </w:r>
          </w:p>
        </w:tc>
        <w:tc>
          <w:tcPr>
            <w:tcW w:type="dxa" w:w="4032"/>
          </w:tcPr>
          <w:p>
            <w:r/>
            <w:r>
              <w:rPr>
                <w:sz w:val="20"/>
              </w:rPr>
              <w:t>3 liaisons x 1 hour per week x 30 weeks x $38 per hour</w:t>
            </w:r>
          </w:p>
        </w:tc>
        <w:tc>
          <w:tcPr>
            <w:tcW w:type="dxa" w:w="1728"/>
          </w:tcPr>
          <w:p>
            <w:pPr>
              <w:jc w:val="right"/>
            </w:pPr>
            <w:r/>
            <w:r>
              <w:rPr>
                <w:sz w:val="20"/>
              </w:rPr>
              <w:t>$3,420</w:t>
            </w:r>
          </w:p>
        </w:tc>
      </w:tr>
      <w:tr>
        <w:tc>
          <w:tcPr>
            <w:tcW w:type="dxa" w:w="3600"/>
          </w:tcPr>
          <w:p>
            <w:r/>
            <w:r>
              <w:rPr>
                <w:sz w:val="20"/>
              </w:rPr>
              <w:t>Northline unrestricted funds toward external evaluation</w:t>
            </w:r>
          </w:p>
        </w:tc>
        <w:tc>
          <w:tcPr>
            <w:tcW w:type="dxa" w:w="4032"/>
          </w:tcPr>
          <w:p>
            <w:r/>
            <w:r>
              <w:rPr>
                <w:sz w:val="20"/>
              </w:rPr>
              <w:t>Contracted evaluator, fixed fee</w:t>
            </w:r>
          </w:p>
        </w:tc>
        <w:tc>
          <w:tcPr>
            <w:tcW w:type="dxa" w:w="1728"/>
          </w:tcPr>
          <w:p>
            <w:pPr>
              <w:jc w:val="right"/>
            </w:pPr>
            <w:r/>
            <w:r>
              <w:rPr>
                <w:sz w:val="20"/>
              </w:rPr>
              <w:t>$4,000</w:t>
            </w:r>
          </w:p>
        </w:tc>
      </w:tr>
      <w:tr>
        <w:tc>
          <w:tcPr>
            <w:tcW w:type="dxa" w:w="3600"/>
            <w:shd w:val="clear" w:color="auto" w:fill="EDF1F8"/>
          </w:tcPr>
          <w:p>
            <w:r/>
            <w:r>
              <w:rPr>
                <w:b/>
                <w:sz w:val="20"/>
              </w:rPr>
              <w:t>Total in-kind and matching support</w:t>
            </w:r>
          </w:p>
        </w:tc>
        <w:tc>
          <w:tcPr>
            <w:tcW w:type="dxa" w:w="4032"/>
            <w:shd w:val="clear" w:color="auto" w:fill="EDF1F8"/>
          </w:tcPr>
          <w:p>
            <w:r/>
            <w:r>
              <w:rPr>
                <w:b/>
                <w:sz w:val="20"/>
              </w:rPr>
            </w:r>
          </w:p>
        </w:tc>
        <w:tc>
          <w:tcPr>
            <w:tcW w:type="dxa" w:w="1728"/>
            <w:shd w:val="clear" w:color="auto" w:fill="EDF1F8"/>
          </w:tcPr>
          <w:p>
            <w:pPr>
              <w:jc w:val="right"/>
            </w:pPr>
            <w:r/>
            <w:r>
              <w:rPr>
                <w:b/>
                <w:sz w:val="20"/>
              </w:rPr>
              <w:t>$18,220</w:t>
            </w:r>
          </w:p>
        </w:tc>
      </w:tr>
    </w:tbl>
    <w:p/>
    <w:p>
      <w:pPr>
        <w:pStyle w:val="Caption"/>
      </w:pPr>
      <w:r>
        <w:t>Table 6. Documented in-kind and matching support. District values are confirmed in the memorandum of understanding at Attachment B.</w:t>
      </w:r>
    </w:p>
    <w:p>
      <w:r>
        <w:br w:type="page"/>
      </w:r>
    </w:p>
    <w:p>
      <w:pPr>
        <w:pStyle w:val="Heading1"/>
      </w:pPr>
      <w:r>
        <w:t>11. Budget Narrative</w:t>
      </w:r>
    </w:p>
    <w:p>
      <w:pPr>
        <w:pStyle w:val="AdaptationNote"/>
      </w:pPr>
      <w:r>
        <w:t>Adapt this section: The narrative explains the basis of every line and defends the assumptions a reviewer will test. Where an assumption is a placeholder in your own draft, replace it with a published rate rather than leaving an estimate.</w:t>
      </w:r>
    </w:p>
    <w:p>
      <w:pPr>
        <w:pStyle w:val="Heading2"/>
      </w:pPr>
      <w:r>
        <w:t>11.1 Personnel</w:t>
      </w:r>
    </w:p>
    <w:p>
      <w:r>
        <w:t>Program director, 0.4 FTE, $26,000. The program director is responsible for curriculum alignment with the district, tutor hiring and supervision, the fidelity observation cycle, data receipt under the sharing agreement, and all reporting. The line is 40 percent of a $65,000 annual base salary. The remaining 60 percent of this position is funded from Northline's other programs and is not charged to this award.</w:t>
      </w:r>
    </w:p>
    <w:p>
      <w:r>
        <w:t>Site coordinators, three at 0.2 FTE, $24,000. Each coordinator is present for all four afternoons at one campus, leads a group, manages daily attendance entry, is the single point of contact for the school's administration, and makes the family contacts triggered by three consecutive absences. Each line is 20 percent of a $40,000 annual base salary. At 0.2 FTE, roughly 416 hours across the year, the position covers about seven hours a week of session time plus five hours of preparation, data entry and family contact across the 34 weeks the site is active.</w:t>
      </w:r>
    </w:p>
    <w:p>
      <w:r>
        <w:t>Payroll taxes and benefits, $11,000. This line is 22 percent of the $50,000 in salaried wages charged to the award, covering employer payroll taxes, unemployment and workers' compensation, and a proportional share of health benefits. It deliberately excludes tutor stipends, because the example treats tutors as hourly contracted staff. If your tutors sit on payroll, extend this line to cover their wages as well, which on these figures would add roughly $4,800.</w:t>
      </w:r>
    </w:p>
    <w:p>
      <w:r>
        <w:t>Tutor stipends, $22,000. Ten tutors are paid $22 an hour for 100 hours each. The 100 hours per tutor consists of roughly 64 session blocks of 1.25 paid hours, covering arrival, setup and the instructional block, plus about 20 hours across the year for substitute coverage of colleagues' absences, quarterly data check-ins and the four family engagement evenings. Spread across three sites and 360 site-sessions, the 640 funded tutor blocks support approximately two tutors per session alongside the site coordinator.</w:t>
      </w:r>
    </w:p>
    <w:p>
      <w:pPr>
        <w:pStyle w:val="Heading2"/>
      </w:pPr>
      <w:r>
        <w:t>11.2 Non-personnel</w:t>
      </w:r>
    </w:p>
    <w:p>
      <w:r>
        <w:t>Assessment and progress-monitoring licenses, $4,800. One seat per enrolled student at $40. You cannot report growth on an instrument you do not hold a license for, and a program that plans to rely on district data without its own progress-monitoring seats cannot regroup students every three weeks. Confirm with your district whether its existing enterprise license extends to a partner organization before budgeting this line, because occasionally it does.</w:t>
      </w:r>
    </w:p>
    <w:p>
      <w:r>
        <w:t>Instructional materials and consumables, $3,000. Twenty-five dollars per student covers consumable practice materials, manipulatives, calculators where the district does not issue them, and printing. Materials are drawn from the district's approved supplemental list so that notation and formats match the school day.</w:t>
      </w:r>
    </w:p>
    <w:p>
      <w:r>
        <w:t>Late-activity transportation, $9,900. Three sites, 30 weeks, four days a week, at $27.50 per bus run. This is the largest non-personnel line and the one most often cut first, which is a mistake. An after-school program without a ride home serves the students who live within walking distance and systematically excludes the students the program exists for. Note that the $27.50 rate here is an example figure. Substitute your district's published activity-bus rate, which the transportation office will provide in writing.</w:t>
      </w:r>
    </w:p>
    <w:p>
      <w:r>
        <w:t>Family engagement sessions, $1,800. Four evenings at $450 each, covering interpretation services, childcare staffing, food and materials. Holding these on campus rather than at a Northline office removes a travel barrier and is part of the district's in-kind facility contribution.</w:t>
      </w:r>
    </w:p>
    <w:p>
      <w:r>
        <w:t>Staff clearances and background checks, $770. Fourteen adults at $55 each: one program director, three site coordinators and ten tutors. Districts will not admit uncleared adults to a building, clearances expire, and the cost is unavoidable. Budget it rather than absorbing it.</w:t>
      </w:r>
    </w:p>
    <w:p>
      <w:r>
        <w:t>Tutor training and coaching, $2,280. Twenty-four hours of a contracted instructional coach's time at $95 an hour: 12 hours of pre-service training before the first session and 12 hours of in-session observation and feedback across the year. This line is what tells a funder your tutors are trained staff rather than volunteers with worksheets, and it is the line a reviewer looks for when judging whether the outcome claim is plausible.</w:t>
      </w:r>
    </w:p>
    <w:p>
      <w:pPr>
        <w:pStyle w:val="Heading2"/>
      </w:pPr>
      <w:r>
        <w:t>11.3 Indirect costs</w:t>
      </w:r>
    </w:p>
    <w:p>
      <w:r>
        <w:t>Indirect costs of $10,555 apply the 10 percent cap set by the example funder to total direct costs of $105,550. Confirm two things against your own funder's guidelines: the rate, and the base the rate is applied to.</w:t>
      </w:r>
    </w:p>
    <w:p>
      <w:r>
        <w:t>Federal awards work differently. An organization without a negotiated indirect cost rate may elect the de minimis rate of up to 15 percent of modified total direct costs under 2 CFR 200.414(f) (eCFR, current as of September 10, 2026). Modified total direct costs is a narrower base than total direct costs, so a higher percentage applied to a smaller base does not necessarily produce a larger recovery. If your organization holds a negotiated rate agreement, use that rate and attach the agreement.</w:t>
      </w:r>
    </w:p>
    <w:p>
      <w:pPr>
        <w:pStyle w:val="Heading2"/>
      </w:pPr>
      <w:r>
        <w:t>11.4 Cost per student</w:t>
      </w:r>
    </w:p>
    <w:p>
      <w:r>
        <w:t>The total request of $116,105 divided by 120 students is $968 per student for the program year, or approximately $8.07 per hour of small-group instruction at full attendance. State the per-student figure in the narrative rather than making the reviewer calculate it, and be prepared to defend it against what the district spends per pupil, because an education reviewer already knows roughly what that number is.</w:t>
      </w:r>
    </w:p>
    <w:p>
      <w:pPr>
        <w:pStyle w:val="Heading2"/>
      </w:pPr>
      <w:r>
        <w:t>11.5 Assumptions a reviewer will test</w:t>
      </w:r>
    </w:p>
    <w:p>
      <w:pPr>
        <w:pStyle w:val="ListBullet"/>
      </w:pPr>
      <w:r>
        <w:t>The clearance line covers 14 people. If your tutor bench is larger, or if you hire mid-year replacements, raise this line.</w:t>
      </w:r>
    </w:p>
    <w:p>
      <w:pPr>
        <w:pStyle w:val="ListBullet"/>
      </w:pPr>
      <w:r>
        <w:t>The payroll line covers salaried wages only. Extend it if your tutors are employees rather than contractors.</w:t>
      </w:r>
    </w:p>
    <w:p>
      <w:pPr>
        <w:pStyle w:val="ListBullet"/>
      </w:pPr>
      <w:r>
        <w:t>The $27.50 per-run transportation figure is a placeholder standing in for a district-published rate. Replace it with the real one before submitting.</w:t>
      </w:r>
    </w:p>
    <w:p>
      <w:pPr>
        <w:pStyle w:val="ListBullet"/>
      </w:pPr>
      <w:r>
        <w:t>The 60 percent average daily attendance assumption drives the staffing ratio. If your comparable programs run higher, the group size claim in Section 7.3 has to change.</w:t>
      </w:r>
    </w:p>
    <w:p>
      <w:pPr>
        <w:pStyle w:val="ListBullet"/>
      </w:pPr>
      <w:r>
        <w:t>The indirect rate and its base come from the funder's guidelines, not from habit.</w:t>
      </w:r>
    </w:p>
    <w:p>
      <w:r>
        <w:br w:type="page"/>
      </w:r>
    </w:p>
    <w:p>
      <w:pPr>
        <w:pStyle w:val="Heading1"/>
      </w:pPr>
      <w:r>
        <w:t>12. Sustainability Plan</w:t>
      </w:r>
    </w:p>
    <w:p>
      <w:pPr>
        <w:pStyle w:val="AdaptationNote"/>
      </w:pPr>
      <w:r>
        <w:t>Adapt this section: Name one funding path and the decision date attached to it. A sentence promising to continue seeking diversified funding gives a reviewer nothing to evaluate and is read as an absence of a plan.</w:t>
      </w:r>
    </w:p>
    <w:p>
      <w:r>
        <w:t>The primary path for year two is a district fee-for-service arrangement. Fairbrook contracts with outside providers for several supplemental services at a per-student rate, and the assistant superintendent for teaching and learning has agreed to review this program's mid-year and end-of-year results for inclusion in the 2027-28 district budget at a rate covering direct program costs. The relevant decision points are fixed by the district's budget calendar: the superintendent's preliminary budget is presented in February 2027, the board holds budget workshops in March, and the board adopts the budget in April 2027. Northline will present mid-year attendance and winter benchmark results at the January 2027 meeting described in the implementation timeline, which is the last point at which a new line can realistically enter the preliminary budget.</w:t>
      </w:r>
    </w:p>
    <w:p>
      <w:r>
        <w:t>A second path runs in parallel. The state's extended-learning program makes competitive awards to school-community partnerships on an annual cycle with a spring deadline, and Fairbrook would be the applicant with Northline as the named partner. That application requires exactly the outcome data this evaluation plan produces, which is one reason the plan is built on district instruments rather than on program-designed measures.</w:t>
      </w:r>
    </w:p>
    <w:p>
      <w:r>
        <w:t>The honest statement about a third year is this. If neither the district line nor the state program comes through, year two depends on a second private grant, and Northline will apply to regional funders whose published priorities include middle-grades academic support. Northline's board has approved holding the site coordinator positions for one additional quarter beyond the grant period if a decision is pending, so that trained staff are not lost while a funding gap is resolved.</w:t>
      </w:r>
    </w:p>
    <w:p>
      <w:r>
        <w:t>Two design choices make the program cheaper to sustain than to start. The intervention materials and progress-monitoring seats are one-year costs that partially carry over, and the trained tutor bench is the single most expensive thing to rebuild from scratch. Retaining tutors between years is treated as a sustainability measure, not a staffing convenience.</w:t>
      </w:r>
    </w:p>
    <w:tbl>
      <w:tblPr>
        <w:tblStyle w:val="TableGrid"/>
        <w:tblW w:type="auto" w:w="0"/>
        <w:tblLook w:firstColumn="1" w:firstRow="1" w:lastColumn="0" w:lastRow="0" w:noHBand="0" w:noVBand="1" w:val="04A0"/>
      </w:tblPr>
      <w:tblGrid>
        <w:gridCol w:w="9360"/>
      </w:tblGrid>
      <w:tr>
        <w:tc>
          <w:tcPr>
            <w:tcW w:type="dxa" w:w="9360"/>
            <w:shd w:val="clear" w:color="auto" w:fill="F2F5FA"/>
          </w:tcPr>
          <w:p>
            <w:r/>
            <w:r>
              <w:rPr>
                <w:i/>
                <w:sz w:val="20"/>
              </w:rPr>
              <w:t>If the honest answer is that year two depends on another grant, write that sentence and list the programs you will apply to. Reviewers read hedged sustainability sections constantly and are not persuaded by them. A named path with a date beats an optimistic paragraph without one.</w:t>
            </w:r>
          </w:p>
        </w:tc>
      </w:tr>
    </w:tbl>
    <w:p/>
    <w:p>
      <w:r>
        <w:br w:type="page"/>
      </w:r>
    </w:p>
    <w:p>
      <w:pPr>
        <w:pStyle w:val="Heading1"/>
      </w:pPr>
      <w:r>
        <w:t>13. Key Personnel and Organizational Capacity</w:t>
      </w:r>
    </w:p>
    <w:p>
      <w:pPr>
        <w:pStyle w:val="AdaptationNote"/>
      </w:pPr>
      <w:r>
        <w:t>Adapt this section: Describe positions and required qualifications rather than personalities. Attach full job descriptions and, where the funder allows, one-page resumes. Name real staff only in your own submitted version.</w:t>
      </w:r>
    </w:p>
    <w:p>
      <w:pPr>
        <w:pStyle w:val="Heading2"/>
      </w:pPr>
      <w:r>
        <w:t>13.1 Program director, 0.4 FTE</w:t>
      </w:r>
    </w:p>
    <w:p>
      <w:r>
        <w:t>Required qualifications: a bachelor's degree in education, mathematics or a related field; at least three years running academic programming in a K-12 setting; demonstrated experience with progress-monitoring platforms and student data handling under FERPA. The director supervises the three site coordinators, conducts the fidelity observation cycle jointly with the contracted coach, receives and manages all district data files, and writes the quarterly and final reports. This position exists at Northline and is currently filled.</w:t>
      </w:r>
    </w:p>
    <w:p>
      <w:pPr>
        <w:pStyle w:val="Heading2"/>
      </w:pPr>
      <w:r>
        <w:t>13.2 Site coordinators, three positions at 0.2 FTE</w:t>
      </w:r>
    </w:p>
    <w:p>
      <w:r>
        <w:t>Required qualifications: a bachelor's degree, prior experience tutoring or teaching mathematics at the middle grades, and clearances current before the first session. Coordinators run the daily session, lead one small group, enter attendance daily, execute the absence contact protocol and serve as the campus point of contact. Preference is given to candidates already known to the campus, including Fairbrook staff working outside their contracted hours where district policy permits.</w:t>
      </w:r>
    </w:p>
    <w:p>
      <w:pPr>
        <w:pStyle w:val="Heading2"/>
      </w:pPr>
      <w:r>
        <w:t>13.3 Tutors, ten hourly positions</w:t>
      </w:r>
    </w:p>
    <w:p>
      <w:r>
        <w:t>Required qualifications: coursework or demonstrated competence in middle-grades mathematics, completion of the 12-hour pre-service training, and current clearances. Tutors lead a group of no more than eight students, record exit-ticket results, and participate in coaching observations. Northline recruits from local college education and mathematics programs, from retired district teachers, and from prior program tutors, and prior tutors are the largest single source.</w:t>
      </w:r>
    </w:p>
    <w:p>
      <w:pPr>
        <w:pStyle w:val="Heading2"/>
      </w:pPr>
      <w:r>
        <w:t>13.4 Contracted instructional coach</w:t>
      </w:r>
    </w:p>
    <w:p>
      <w:r>
        <w:t>Twenty-four hours across the year at $95 an hour, delivering pre-service training and in-session coaching. This is a contracted role rather than a position, and the scope of work is attached.</w:t>
      </w:r>
    </w:p>
    <w:p>
      <w:pPr>
        <w:pStyle w:val="Heading2"/>
      </w:pPr>
      <w:r>
        <w:t>13.5 External evaluator</w:t>
      </w:r>
    </w:p>
    <w:p>
      <w:r>
        <w:t>Funded from Northline's unrestricted budget at $4,000 and reported in Section 10.1 as matching support. The evaluator reviews the analysis before the final report is submitted and is not involved in program delivery.</w:t>
      </w:r>
    </w:p>
    <w:p>
      <w:pPr>
        <w:pStyle w:val="Heading2"/>
      </w:pPr>
      <w:r>
        <w:t>13.6 District-contributed roles</w:t>
      </w:r>
    </w:p>
    <w:p>
      <w:r>
        <w:t>Fairbrook contributes a certified teacher building liaison at each campus during program hours, custodial coverage, building access and the campus facility, all confirmed in the memorandum of understanding. The district assessment office produces the data files under the sharing agreement.</w:t>
      </w:r>
    </w:p>
    <w:p>
      <w:r>
        <w:br w:type="page"/>
      </w:r>
    </w:p>
    <w:p>
      <w:pPr>
        <w:pStyle w:val="Heading1"/>
      </w:pPr>
      <w:r>
        <w:t>14. Risks and Mitigation</w:t>
      </w:r>
    </w:p>
    <w:p>
      <w:pPr>
        <w:pStyle w:val="AdaptationNote"/>
      </w:pPr>
      <w:r>
        <w:t>Adapt this section: Most funders do not request this section. Including a short version signals that you have run a program before. Keep it to the risks that would actually change your results.</w:t>
      </w:r>
    </w:p>
    <w:tbl>
      <w:tblPr>
        <w:tblStyle w:val="LightGrid-Accent1"/>
        <w:tblW w:type="auto" w:w="0"/>
        <w:jc w:val="center"/>
        <w:tblLayout w:type="autofit"/>
        <w:tblLook w:firstColumn="1" w:firstRow="1" w:lastColumn="0" w:lastRow="0" w:noHBand="0" w:noVBand="1" w:val="04A0"/>
      </w:tblPr>
      <w:tblGrid>
        <w:gridCol w:w="3120"/>
        <w:gridCol w:w="3120"/>
        <w:gridCol w:w="3120"/>
      </w:tblGrid>
      <w:tr>
        <w:tc>
          <w:tcPr>
            <w:tcW w:type="dxa" w:w="2736"/>
          </w:tcPr>
          <w:p>
            <w:r/>
            <w:r>
              <w:rPr>
                <w:b/>
                <w:sz w:val="20"/>
              </w:rPr>
              <w:t>Risk</w:t>
            </w:r>
          </w:p>
        </w:tc>
        <w:tc>
          <w:tcPr>
            <w:tcW w:type="dxa" w:w="1296"/>
          </w:tcPr>
          <w:p>
            <w:r/>
            <w:r>
              <w:rPr>
                <w:b/>
                <w:sz w:val="20"/>
              </w:rPr>
              <w:t>Likelihood</w:t>
            </w:r>
          </w:p>
        </w:tc>
        <w:tc>
          <w:tcPr>
            <w:tcW w:type="dxa" w:w="5328"/>
          </w:tcPr>
          <w:p>
            <w:r/>
            <w:r>
              <w:rPr>
                <w:b/>
                <w:sz w:val="20"/>
              </w:rPr>
              <w:t>Mitigation</w:t>
            </w:r>
          </w:p>
        </w:tc>
      </w:tr>
      <w:tr>
        <w:tc>
          <w:tcPr>
            <w:tcW w:type="dxa" w:w="2736"/>
          </w:tcPr>
          <w:p>
            <w:r/>
            <w:r>
              <w:rPr>
                <w:sz w:val="20"/>
              </w:rPr>
              <w:t>Enrollment falls short of 120 students</w:t>
            </w:r>
          </w:p>
        </w:tc>
        <w:tc>
          <w:tcPr>
            <w:tcW w:type="dxa" w:w="1296"/>
          </w:tcPr>
          <w:p>
            <w:r/>
            <w:r>
              <w:rPr>
                <w:sz w:val="20"/>
              </w:rPr>
              <w:t>Moderate</w:t>
            </w:r>
          </w:p>
        </w:tc>
        <w:tc>
          <w:tcPr>
            <w:tcW w:type="dxa" w:w="5328"/>
          </w:tcPr>
          <w:p>
            <w:r/>
            <w:r>
              <w:rPr>
                <w:sz w:val="20"/>
              </w:rPr>
              <w:t>Enroll to 46 students per campus against 40 seats. Ranked waiting list maintained by campus counselors. Mid-year refill cycle in January.</w:t>
            </w:r>
          </w:p>
        </w:tc>
      </w:tr>
      <w:tr>
        <w:tc>
          <w:tcPr>
            <w:tcW w:type="dxa" w:w="2736"/>
          </w:tcPr>
          <w:p>
            <w:r/>
            <w:r>
              <w:rPr>
                <w:sz w:val="20"/>
              </w:rPr>
              <w:t>Attendance decays after the winter break</w:t>
            </w:r>
          </w:p>
        </w:tc>
        <w:tc>
          <w:tcPr>
            <w:tcW w:type="dxa" w:w="1296"/>
          </w:tcPr>
          <w:p>
            <w:r/>
            <w:r>
              <w:rPr>
                <w:sz w:val="20"/>
              </w:rPr>
              <w:t>High</w:t>
            </w:r>
          </w:p>
        </w:tc>
        <w:tc>
          <w:tcPr>
            <w:tcW w:type="dxa" w:w="5328"/>
          </w:tcPr>
          <w:p>
            <w:r/>
            <w:r>
              <w:rPr>
                <w:sz w:val="20"/>
              </w:rPr>
              <w:t>Documented family contact after three consecutive absences. Mid-year attendance review in January. Two of the four family engagement evenings scheduled in the second half of the year.</w:t>
            </w:r>
          </w:p>
        </w:tc>
      </w:tr>
      <w:tr>
        <w:tc>
          <w:tcPr>
            <w:tcW w:type="dxa" w:w="2736"/>
          </w:tcPr>
          <w:p>
            <w:r/>
            <w:r>
              <w:rPr>
                <w:sz w:val="20"/>
              </w:rPr>
              <w:t>Tutor turnover mid-year</w:t>
            </w:r>
          </w:p>
        </w:tc>
        <w:tc>
          <w:tcPr>
            <w:tcW w:type="dxa" w:w="1296"/>
          </w:tcPr>
          <w:p>
            <w:r/>
            <w:r>
              <w:rPr>
                <w:sz w:val="20"/>
              </w:rPr>
              <w:t>Moderate</w:t>
            </w:r>
          </w:p>
        </w:tc>
        <w:tc>
          <w:tcPr>
            <w:tcW w:type="dxa" w:w="5328"/>
          </w:tcPr>
          <w:p>
            <w:r/>
            <w:r>
              <w:rPr>
                <w:sz w:val="20"/>
              </w:rPr>
              <w:t>Train a bench of three substitute tutors in the same pre-service cohort. Coverage hours built into the stipend line rather than requested later.</w:t>
            </w:r>
          </w:p>
        </w:tc>
      </w:tr>
      <w:tr>
        <w:tc>
          <w:tcPr>
            <w:tcW w:type="dxa" w:w="2736"/>
          </w:tcPr>
          <w:p>
            <w:r/>
            <w:r>
              <w:rPr>
                <w:sz w:val="20"/>
              </w:rPr>
              <w:t>District data file delayed</w:t>
            </w:r>
          </w:p>
        </w:tc>
        <w:tc>
          <w:tcPr>
            <w:tcW w:type="dxa" w:w="1296"/>
          </w:tcPr>
          <w:p>
            <w:r/>
            <w:r>
              <w:rPr>
                <w:sz w:val="20"/>
              </w:rPr>
              <w:t>Moderate</w:t>
            </w:r>
          </w:p>
        </w:tc>
        <w:tc>
          <w:tcPr>
            <w:tcW w:type="dxa" w:w="5328"/>
          </w:tcPr>
          <w:p>
            <w:r/>
            <w:r>
              <w:rPr>
                <w:sz w:val="20"/>
              </w:rPr>
              <w:t>Data-sharing addendum executed before the first session, with the October baseline delivery date written into it. Program attendance data is independent of the district file and continues regardless.</w:t>
            </w:r>
          </w:p>
        </w:tc>
      </w:tr>
      <w:tr>
        <w:tc>
          <w:tcPr>
            <w:tcW w:type="dxa" w:w="2736"/>
          </w:tcPr>
          <w:p>
            <w:r/>
            <w:r>
              <w:rPr>
                <w:sz w:val="20"/>
              </w:rPr>
              <w:t>Late-activity bus run cancelled or rerouted</w:t>
            </w:r>
          </w:p>
        </w:tc>
        <w:tc>
          <w:tcPr>
            <w:tcW w:type="dxa" w:w="1296"/>
          </w:tcPr>
          <w:p>
            <w:r/>
            <w:r>
              <w:rPr>
                <w:sz w:val="20"/>
              </w:rPr>
              <w:t>Low</w:t>
            </w:r>
          </w:p>
        </w:tc>
        <w:tc>
          <w:tcPr>
            <w:tcW w:type="dxa" w:w="5328"/>
          </w:tcPr>
          <w:p>
            <w:r/>
            <w:r>
              <w:rPr>
                <w:sz w:val="20"/>
              </w:rPr>
              <w:t>Transportation contact named in the memorandum of understanding. Parent pickup window held until 4:45 p.m. as a fallback, with families notified at enrollment.</w:t>
            </w:r>
          </w:p>
        </w:tc>
      </w:tr>
      <w:tr>
        <w:tc>
          <w:tcPr>
            <w:tcW w:type="dxa" w:w="2736"/>
          </w:tcPr>
          <w:p>
            <w:r/>
            <w:r>
              <w:rPr>
                <w:sz w:val="20"/>
              </w:rPr>
              <w:t>Benchmark window shifts on the district calendar</w:t>
            </w:r>
          </w:p>
        </w:tc>
        <w:tc>
          <w:tcPr>
            <w:tcW w:type="dxa" w:w="1296"/>
          </w:tcPr>
          <w:p>
            <w:r/>
            <w:r>
              <w:rPr>
                <w:sz w:val="20"/>
              </w:rPr>
              <w:t>Moderate</w:t>
            </w:r>
          </w:p>
        </w:tc>
        <w:tc>
          <w:tcPr>
            <w:tcW w:type="dxa" w:w="5328"/>
          </w:tcPr>
          <w:p>
            <w:r/>
            <w:r>
              <w:rPr>
                <w:sz w:val="20"/>
              </w:rPr>
              <w:t>Quarterly reporting keyed to the district assessment calendar rather than to fixed calendar dates. Funder notified in the quarterly report if a window moves.</w:t>
            </w:r>
          </w:p>
        </w:tc>
      </w:tr>
      <w:tr>
        <w:tc>
          <w:tcPr>
            <w:tcW w:type="dxa" w:w="2736"/>
          </w:tcPr>
          <w:p>
            <w:r/>
            <w:r>
              <w:rPr>
                <w:sz w:val="20"/>
              </w:rPr>
              <w:t>Building access lost due to a facility issue</w:t>
            </w:r>
          </w:p>
        </w:tc>
        <w:tc>
          <w:tcPr>
            <w:tcW w:type="dxa" w:w="1296"/>
          </w:tcPr>
          <w:p>
            <w:r/>
            <w:r>
              <w:rPr>
                <w:sz w:val="20"/>
              </w:rPr>
              <w:t>Low</w:t>
            </w:r>
          </w:p>
        </w:tc>
        <w:tc>
          <w:tcPr>
            <w:tcW w:type="dxa" w:w="5328"/>
          </w:tcPr>
          <w:p>
            <w:r/>
            <w:r>
              <w:rPr>
                <w:sz w:val="20"/>
              </w:rPr>
              <w:t>Memorandum of understanding names an alternate campus for each site. Sessions missed for facility reasons are reported in the fidelity measure and do not count against a student's attendance.</w:t>
            </w:r>
          </w:p>
        </w:tc>
      </w:tr>
    </w:tbl>
    <w:p/>
    <w:p>
      <w:r>
        <w:br w:type="page"/>
      </w:r>
    </w:p>
    <w:p>
      <w:pPr>
        <w:pStyle w:val="Heading1"/>
      </w:pPr>
      <w:r>
        <w:t>15. Attachments</w:t>
      </w:r>
    </w:p>
    <w:p>
      <w:pPr>
        <w:pStyle w:val="AdaptationNote"/>
      </w:pPr>
      <w:r>
        <w:t>Adapt this section: Send exactly what the funder asks for, in the order they ask for it, and nothing else. The first three items below are the ones education funders will not proceed without.</w:t>
      </w:r>
    </w:p>
    <w:tbl>
      <w:tblPr>
        <w:tblStyle w:val="LightGrid-Accent1"/>
        <w:tblW w:type="auto" w:w="0"/>
        <w:jc w:val="center"/>
        <w:tblLayout w:type="autofit"/>
        <w:tblLook w:firstColumn="1" w:firstRow="1" w:lastColumn="0" w:lastRow="0" w:noHBand="0" w:noVBand="1" w:val="04A0"/>
      </w:tblPr>
      <w:tblGrid>
        <w:gridCol w:w="3120"/>
        <w:gridCol w:w="3120"/>
        <w:gridCol w:w="3120"/>
      </w:tblGrid>
      <w:tr>
        <w:tc>
          <w:tcPr>
            <w:tcW w:type="dxa" w:w="1008"/>
          </w:tcPr>
          <w:p>
            <w:r/>
            <w:r>
              <w:rPr>
                <w:b/>
                <w:sz w:val="20"/>
              </w:rPr>
              <w:t>Attachment</w:t>
            </w:r>
          </w:p>
        </w:tc>
        <w:tc>
          <w:tcPr>
            <w:tcW w:type="dxa" w:w="3744"/>
          </w:tcPr>
          <w:p>
            <w:r/>
            <w:r>
              <w:rPr>
                <w:b/>
                <w:sz w:val="20"/>
              </w:rPr>
              <w:t>Document</w:t>
            </w:r>
          </w:p>
        </w:tc>
        <w:tc>
          <w:tcPr>
            <w:tcW w:type="dxa" w:w="4608"/>
          </w:tcPr>
          <w:p>
            <w:r/>
            <w:r>
              <w:rPr>
                <w:b/>
                <w:sz w:val="20"/>
              </w:rPr>
              <w:t>Why the reviewer wants it</w:t>
            </w:r>
          </w:p>
        </w:tc>
      </w:tr>
      <w:tr>
        <w:tc>
          <w:tcPr>
            <w:tcW w:type="dxa" w:w="1008"/>
          </w:tcPr>
          <w:p>
            <w:r/>
            <w:r>
              <w:rPr>
                <w:sz w:val="20"/>
              </w:rPr>
              <w:t>A</w:t>
            </w:r>
          </w:p>
        </w:tc>
        <w:tc>
          <w:tcPr>
            <w:tcW w:type="dxa" w:w="3744"/>
          </w:tcPr>
          <w:p>
            <w:r/>
            <w:r>
              <w:rPr>
                <w:sz w:val="20"/>
              </w:rPr>
              <w:t>IRS determination letter</w:t>
            </w:r>
          </w:p>
        </w:tc>
        <w:tc>
          <w:tcPr>
            <w:tcW w:type="dxa" w:w="4608"/>
          </w:tcPr>
          <w:p>
            <w:r/>
            <w:r>
              <w:rPr>
                <w:sz w:val="20"/>
              </w:rPr>
              <w:t>Confirms 501(c)(3) status and eligibility</w:t>
            </w:r>
          </w:p>
        </w:tc>
      </w:tr>
      <w:tr>
        <w:tc>
          <w:tcPr>
            <w:tcW w:type="dxa" w:w="1008"/>
          </w:tcPr>
          <w:p>
            <w:r/>
            <w:r>
              <w:rPr>
                <w:sz w:val="20"/>
              </w:rPr>
              <w:t>B</w:t>
            </w:r>
          </w:p>
        </w:tc>
        <w:tc>
          <w:tcPr>
            <w:tcW w:type="dxa" w:w="3744"/>
          </w:tcPr>
          <w:p>
            <w:r/>
            <w:r>
              <w:rPr>
                <w:sz w:val="20"/>
              </w:rPr>
              <w:t>Memorandum of understanding with the school district, signed</w:t>
            </w:r>
          </w:p>
        </w:tc>
        <w:tc>
          <w:tcPr>
            <w:tcW w:type="dxa" w:w="4608"/>
          </w:tcPr>
          <w:p>
            <w:r/>
            <w:r>
              <w:rPr>
                <w:sz w:val="20"/>
              </w:rPr>
              <w:t>Confirms facility use, supervision, transportation and that the program supplements rather than supplants</w:t>
            </w:r>
          </w:p>
        </w:tc>
      </w:tr>
      <w:tr>
        <w:tc>
          <w:tcPr>
            <w:tcW w:type="dxa" w:w="1008"/>
          </w:tcPr>
          <w:p>
            <w:r/>
            <w:r>
              <w:rPr>
                <w:sz w:val="20"/>
              </w:rPr>
              <w:t>C</w:t>
            </w:r>
          </w:p>
        </w:tc>
        <w:tc>
          <w:tcPr>
            <w:tcW w:type="dxa" w:w="3744"/>
          </w:tcPr>
          <w:p>
            <w:r/>
            <w:r>
              <w:rPr>
                <w:sz w:val="20"/>
              </w:rPr>
              <w:t>Data-sharing agreement or FERPA school-official addendum</w:t>
            </w:r>
          </w:p>
        </w:tc>
        <w:tc>
          <w:tcPr>
            <w:tcW w:type="dxa" w:w="4608"/>
          </w:tcPr>
          <w:p>
            <w:r/>
            <w:r>
              <w:rPr>
                <w:sz w:val="20"/>
              </w:rPr>
              <w:t>Confirms you can legally obtain the student data your objectives depend on</w:t>
            </w:r>
          </w:p>
        </w:tc>
      </w:tr>
      <w:tr>
        <w:tc>
          <w:tcPr>
            <w:tcW w:type="dxa" w:w="1008"/>
          </w:tcPr>
          <w:p>
            <w:r/>
            <w:r>
              <w:rPr>
                <w:sz w:val="20"/>
              </w:rPr>
              <w:t>D</w:t>
            </w:r>
          </w:p>
        </w:tc>
        <w:tc>
          <w:tcPr>
            <w:tcW w:type="dxa" w:w="3744"/>
          </w:tcPr>
          <w:p>
            <w:r/>
            <w:r>
              <w:rPr>
                <w:sz w:val="20"/>
              </w:rPr>
              <w:t>Letters of support from the three campus principals</w:t>
            </w:r>
          </w:p>
        </w:tc>
        <w:tc>
          <w:tcPr>
            <w:tcW w:type="dxa" w:w="4608"/>
          </w:tcPr>
          <w:p>
            <w:r/>
            <w:r>
              <w:rPr>
                <w:sz w:val="20"/>
              </w:rPr>
              <w:t>Confirms building-level buy-in, which is separate from central office approval</w:t>
            </w:r>
          </w:p>
        </w:tc>
      </w:tr>
      <w:tr>
        <w:tc>
          <w:tcPr>
            <w:tcW w:type="dxa" w:w="1008"/>
          </w:tcPr>
          <w:p>
            <w:r/>
            <w:r>
              <w:rPr>
                <w:sz w:val="20"/>
              </w:rPr>
              <w:t>E</w:t>
            </w:r>
          </w:p>
        </w:tc>
        <w:tc>
          <w:tcPr>
            <w:tcW w:type="dxa" w:w="3744"/>
          </w:tcPr>
          <w:p>
            <w:r/>
            <w:r>
              <w:rPr>
                <w:sz w:val="20"/>
              </w:rPr>
              <w:t>Board of directors roster with affiliations</w:t>
            </w:r>
          </w:p>
        </w:tc>
        <w:tc>
          <w:tcPr>
            <w:tcW w:type="dxa" w:w="4608"/>
          </w:tcPr>
          <w:p>
            <w:r/>
            <w:r>
              <w:rPr>
                <w:sz w:val="20"/>
              </w:rPr>
              <w:t>Standard governance review</w:t>
            </w:r>
          </w:p>
        </w:tc>
      </w:tr>
      <w:tr>
        <w:tc>
          <w:tcPr>
            <w:tcW w:type="dxa" w:w="1008"/>
          </w:tcPr>
          <w:p>
            <w:r/>
            <w:r>
              <w:rPr>
                <w:sz w:val="20"/>
              </w:rPr>
              <w:t>F</w:t>
            </w:r>
          </w:p>
        </w:tc>
        <w:tc>
          <w:tcPr>
            <w:tcW w:type="dxa" w:w="3744"/>
          </w:tcPr>
          <w:p>
            <w:r/>
            <w:r>
              <w:rPr>
                <w:sz w:val="20"/>
              </w:rPr>
              <w:t>Most recent audited financial statements</w:t>
            </w:r>
          </w:p>
        </w:tc>
        <w:tc>
          <w:tcPr>
            <w:tcW w:type="dxa" w:w="4608"/>
          </w:tcPr>
          <w:p>
            <w:r/>
            <w:r>
              <w:rPr>
                <w:sz w:val="20"/>
              </w:rPr>
              <w:t>Fiscal capacity and audit findings</w:t>
            </w:r>
          </w:p>
        </w:tc>
      </w:tr>
      <w:tr>
        <w:tc>
          <w:tcPr>
            <w:tcW w:type="dxa" w:w="1008"/>
          </w:tcPr>
          <w:p>
            <w:r/>
            <w:r>
              <w:rPr>
                <w:sz w:val="20"/>
              </w:rPr>
              <w:t>G</w:t>
            </w:r>
          </w:p>
        </w:tc>
        <w:tc>
          <w:tcPr>
            <w:tcW w:type="dxa" w:w="3744"/>
          </w:tcPr>
          <w:p>
            <w:r/>
            <w:r>
              <w:rPr>
                <w:sz w:val="20"/>
              </w:rPr>
              <w:t>Most recent IRS Form 990</w:t>
            </w:r>
          </w:p>
        </w:tc>
        <w:tc>
          <w:tcPr>
            <w:tcW w:type="dxa" w:w="4608"/>
          </w:tcPr>
          <w:p>
            <w:r/>
            <w:r>
              <w:rPr>
                <w:sz w:val="20"/>
              </w:rPr>
              <w:t>Public financial record</w:t>
            </w:r>
          </w:p>
        </w:tc>
      </w:tr>
      <w:tr>
        <w:tc>
          <w:tcPr>
            <w:tcW w:type="dxa" w:w="1008"/>
          </w:tcPr>
          <w:p>
            <w:r/>
            <w:r>
              <w:rPr>
                <w:sz w:val="20"/>
              </w:rPr>
              <w:t>H</w:t>
            </w:r>
          </w:p>
        </w:tc>
        <w:tc>
          <w:tcPr>
            <w:tcW w:type="dxa" w:w="3744"/>
          </w:tcPr>
          <w:p>
            <w:r/>
            <w:r>
              <w:rPr>
                <w:sz w:val="20"/>
              </w:rPr>
              <w:t>Current organizational operating budget</w:t>
            </w:r>
          </w:p>
        </w:tc>
        <w:tc>
          <w:tcPr>
            <w:tcW w:type="dxa" w:w="4608"/>
          </w:tcPr>
          <w:p>
            <w:r/>
            <w:r>
              <w:rPr>
                <w:sz w:val="20"/>
              </w:rPr>
              <w:t>Shows the request in proportion to the organization</w:t>
            </w:r>
          </w:p>
        </w:tc>
      </w:tr>
      <w:tr>
        <w:tc>
          <w:tcPr>
            <w:tcW w:type="dxa" w:w="1008"/>
          </w:tcPr>
          <w:p>
            <w:r/>
            <w:r>
              <w:rPr>
                <w:sz w:val="20"/>
              </w:rPr>
              <w:t>I</w:t>
            </w:r>
          </w:p>
        </w:tc>
        <w:tc>
          <w:tcPr>
            <w:tcW w:type="dxa" w:w="3744"/>
          </w:tcPr>
          <w:p>
            <w:r/>
            <w:r>
              <w:rPr>
                <w:sz w:val="20"/>
              </w:rPr>
              <w:t>Job descriptions for funded positions</w:t>
            </w:r>
          </w:p>
        </w:tc>
        <w:tc>
          <w:tcPr>
            <w:tcW w:type="dxa" w:w="4608"/>
          </w:tcPr>
          <w:p>
            <w:r/>
            <w:r>
              <w:rPr>
                <w:sz w:val="20"/>
              </w:rPr>
              <w:t>Confirms the personnel lines describe real roles</w:t>
            </w:r>
          </w:p>
        </w:tc>
      </w:tr>
      <w:tr>
        <w:tc>
          <w:tcPr>
            <w:tcW w:type="dxa" w:w="1008"/>
          </w:tcPr>
          <w:p>
            <w:r/>
            <w:r>
              <w:rPr>
                <w:sz w:val="20"/>
              </w:rPr>
              <w:t>J</w:t>
            </w:r>
          </w:p>
        </w:tc>
        <w:tc>
          <w:tcPr>
            <w:tcW w:type="dxa" w:w="3744"/>
          </w:tcPr>
          <w:p>
            <w:r/>
            <w:r>
              <w:rPr>
                <w:sz w:val="20"/>
              </w:rPr>
              <w:t>Evaluation instruments, including the self-efficacy survey</w:t>
            </w:r>
          </w:p>
        </w:tc>
        <w:tc>
          <w:tcPr>
            <w:tcW w:type="dxa" w:w="4608"/>
          </w:tcPr>
          <w:p>
            <w:r/>
            <w:r>
              <w:rPr>
                <w:sz w:val="20"/>
              </w:rPr>
              <w:t>Lets a reviewer judge the measures rather than take them on trust</w:t>
            </w:r>
          </w:p>
        </w:tc>
      </w:tr>
      <w:tr>
        <w:tc>
          <w:tcPr>
            <w:tcW w:type="dxa" w:w="1008"/>
          </w:tcPr>
          <w:p>
            <w:r/>
            <w:r>
              <w:rPr>
                <w:sz w:val="20"/>
              </w:rPr>
              <w:t>K</w:t>
            </w:r>
          </w:p>
        </w:tc>
        <w:tc>
          <w:tcPr>
            <w:tcW w:type="dxa" w:w="3744"/>
          </w:tcPr>
          <w:p>
            <w:r/>
            <w:r>
              <w:rPr>
                <w:sz w:val="20"/>
              </w:rPr>
              <w:t>Certificate of insurance</w:t>
            </w:r>
          </w:p>
        </w:tc>
        <w:tc>
          <w:tcPr>
            <w:tcW w:type="dxa" w:w="4608"/>
          </w:tcPr>
          <w:p>
            <w:r/>
            <w:r>
              <w:rPr>
                <w:sz w:val="20"/>
              </w:rPr>
              <w:t>Usually required by both the funder and the district</w:t>
            </w:r>
          </w:p>
        </w:tc>
      </w:tr>
      <w:tr>
        <w:tc>
          <w:tcPr>
            <w:tcW w:type="dxa" w:w="1008"/>
          </w:tcPr>
          <w:p>
            <w:r/>
            <w:r>
              <w:rPr>
                <w:sz w:val="20"/>
              </w:rPr>
              <w:t>L</w:t>
            </w:r>
          </w:p>
        </w:tc>
        <w:tc>
          <w:tcPr>
            <w:tcW w:type="dxa" w:w="3744"/>
          </w:tcPr>
          <w:p>
            <w:r/>
            <w:r>
              <w:rPr>
                <w:sz w:val="20"/>
              </w:rPr>
              <w:t>Clearance policy and verification procedure</w:t>
            </w:r>
          </w:p>
        </w:tc>
        <w:tc>
          <w:tcPr>
            <w:tcW w:type="dxa" w:w="4608"/>
          </w:tcPr>
          <w:p>
            <w:r/>
            <w:r>
              <w:rPr>
                <w:sz w:val="20"/>
              </w:rPr>
              <w:t>Confirms compliance before adults work with students</w:t>
            </w:r>
          </w:p>
        </w:tc>
      </w:tr>
    </w:tbl>
    <w:p/>
    <w:p>
      <w:r>
        <w:br w:type="page"/>
      </w:r>
    </w:p>
    <w:p>
      <w:pPr>
        <w:pStyle w:val="Heading1"/>
      </w:pPr>
      <w:r>
        <w:t>Appendix A. Adapting This Proposal to Other K-12 Programs</w:t>
      </w:r>
    </w:p>
    <w:p>
      <w:r>
        <w:t>The structure holds across most K-12 program types. What changes is the dosage figure and the instrument the objective is written against. Change the grade band and subject to match your program, set the dosage your schedule actually delivers, then replace the campus data with your own. Keep the chain intact.</w:t>
      </w:r>
    </w:p>
    <w:tbl>
      <w:tblPr>
        <w:tblStyle w:val="LightGrid-Accent1"/>
        <w:tblW w:type="auto" w:w="0"/>
        <w:jc w:val="center"/>
        <w:tblLayout w:type="autofit"/>
        <w:tblLook w:firstColumn="1" w:firstRow="1" w:lastColumn="0" w:lastRow="0" w:noHBand="0" w:noVBand="1" w:val="04A0"/>
      </w:tblPr>
      <w:tblGrid>
        <w:gridCol w:w="2340"/>
        <w:gridCol w:w="2340"/>
        <w:gridCol w:w="2340"/>
        <w:gridCol w:w="2340"/>
      </w:tblGrid>
      <w:tr>
        <w:tc>
          <w:tcPr>
            <w:tcW w:type="dxa" w:w="1944"/>
          </w:tcPr>
          <w:p>
            <w:r/>
            <w:r>
              <w:rPr>
                <w:b/>
                <w:sz w:val="20"/>
              </w:rPr>
              <w:t>Program type</w:t>
            </w:r>
          </w:p>
        </w:tc>
        <w:tc>
          <w:tcPr>
            <w:tcW w:type="dxa" w:w="2160"/>
          </w:tcPr>
          <w:p>
            <w:r/>
            <w:r>
              <w:rPr>
                <w:b/>
                <w:sz w:val="20"/>
              </w:rPr>
              <w:t>Dosage measure</w:t>
            </w:r>
          </w:p>
        </w:tc>
        <w:tc>
          <w:tcPr>
            <w:tcW w:type="dxa" w:w="2664"/>
          </w:tcPr>
          <w:p>
            <w:r/>
            <w:r>
              <w:rPr>
                <w:b/>
                <w:sz w:val="20"/>
              </w:rPr>
              <w:t>Academic measure</w:t>
            </w:r>
          </w:p>
        </w:tc>
        <w:tc>
          <w:tcPr>
            <w:tcW w:type="dxa" w:w="2592"/>
          </w:tcPr>
          <w:p>
            <w:r/>
            <w:r>
              <w:rPr>
                <w:b/>
                <w:sz w:val="20"/>
              </w:rPr>
              <w:t>What else changes</w:t>
            </w:r>
          </w:p>
        </w:tc>
      </w:tr>
      <w:tr>
        <w:tc>
          <w:tcPr>
            <w:tcW w:type="dxa" w:w="1944"/>
          </w:tcPr>
          <w:p>
            <w:r/>
            <w:r>
              <w:rPr>
                <w:sz w:val="20"/>
              </w:rPr>
              <w:t>After-school math or reading</w:t>
            </w:r>
          </w:p>
        </w:tc>
        <w:tc>
          <w:tcPr>
            <w:tcW w:type="dxa" w:w="2160"/>
          </w:tcPr>
          <w:p>
            <w:r/>
            <w:r>
              <w:rPr>
                <w:sz w:val="20"/>
              </w:rPr>
              <w:t>Sessions attended against a stated threshold</w:t>
            </w:r>
          </w:p>
        </w:tc>
        <w:tc>
          <w:tcPr>
            <w:tcW w:type="dxa" w:w="2664"/>
          </w:tcPr>
          <w:p>
            <w:r/>
            <w:r>
              <w:rPr>
                <w:sz w:val="20"/>
              </w:rPr>
              <w:t>District universal screener or benchmark growth</w:t>
            </w:r>
          </w:p>
        </w:tc>
        <w:tc>
          <w:tcPr>
            <w:tcW w:type="dxa" w:w="2592"/>
          </w:tcPr>
          <w:p>
            <w:r/>
            <w:r>
              <w:rPr>
                <w:sz w:val="20"/>
              </w:rPr>
              <w:t>Nothing structural. This proposal is the model.</w:t>
            </w:r>
          </w:p>
        </w:tc>
      </w:tr>
      <w:tr>
        <w:tc>
          <w:tcPr>
            <w:tcW w:type="dxa" w:w="1944"/>
          </w:tcPr>
          <w:p>
            <w:r/>
            <w:r>
              <w:rPr>
                <w:sz w:val="20"/>
              </w:rPr>
              <w:t>Summer learning</w:t>
            </w:r>
          </w:p>
        </w:tc>
        <w:tc>
          <w:tcPr>
            <w:tcW w:type="dxa" w:w="2160"/>
          </w:tcPr>
          <w:p>
            <w:r/>
            <w:r>
              <w:rPr>
                <w:sz w:val="20"/>
              </w:rPr>
              <w:t>Days attended out of days offered</w:t>
            </w:r>
          </w:p>
        </w:tc>
        <w:tc>
          <w:tcPr>
            <w:tcW w:type="dxa" w:w="2664"/>
          </w:tcPr>
          <w:p>
            <w:r/>
            <w:r>
              <w:rPr>
                <w:sz w:val="20"/>
              </w:rPr>
              <w:t>Spring-to-fall score change on the same instrument</w:t>
            </w:r>
          </w:p>
        </w:tc>
        <w:tc>
          <w:tcPr>
            <w:tcW w:type="dxa" w:w="2592"/>
          </w:tcPr>
          <w:p>
            <w:r/>
            <w:r>
              <w:rPr>
                <w:sz w:val="20"/>
              </w:rPr>
              <w:t>Transportation becomes daily rather than late-activity. The evaluation window is spring to fall, not fall to spring.</w:t>
            </w:r>
          </w:p>
        </w:tc>
      </w:tr>
      <w:tr>
        <w:tc>
          <w:tcPr>
            <w:tcW w:type="dxa" w:w="1944"/>
          </w:tcPr>
          <w:p>
            <w:r/>
            <w:r>
              <w:rPr>
                <w:sz w:val="20"/>
              </w:rPr>
              <w:t>College access and advising</w:t>
            </w:r>
          </w:p>
        </w:tc>
        <w:tc>
          <w:tcPr>
            <w:tcW w:type="dxa" w:w="2160"/>
          </w:tcPr>
          <w:p>
            <w:r/>
            <w:r>
              <w:rPr>
                <w:sz w:val="20"/>
              </w:rPr>
              <w:t>Advising contacts per student</w:t>
            </w:r>
          </w:p>
        </w:tc>
        <w:tc>
          <w:tcPr>
            <w:tcW w:type="dxa" w:w="2664"/>
          </w:tcPr>
          <w:p>
            <w:r/>
            <w:r>
              <w:rPr>
                <w:sz w:val="20"/>
              </w:rPr>
              <w:t>FAFSA completion and application counts from the counseling office</w:t>
            </w:r>
          </w:p>
        </w:tc>
        <w:tc>
          <w:tcPr>
            <w:tcW w:type="dxa" w:w="2592"/>
          </w:tcPr>
          <w:p>
            <w:r/>
            <w:r>
              <w:rPr>
                <w:sz w:val="20"/>
              </w:rPr>
              <w:t>Data comes from the counseling office rather than the assessment office. The MOU covers advisor access to student schedules.</w:t>
            </w:r>
          </w:p>
        </w:tc>
      </w:tr>
      <w:tr>
        <w:tc>
          <w:tcPr>
            <w:tcW w:type="dxa" w:w="1944"/>
          </w:tcPr>
          <w:p>
            <w:r/>
            <w:r>
              <w:rPr>
                <w:sz w:val="20"/>
              </w:rPr>
              <w:t>STEM enrichment</w:t>
            </w:r>
          </w:p>
        </w:tc>
        <w:tc>
          <w:tcPr>
            <w:tcW w:type="dxa" w:w="2160"/>
          </w:tcPr>
          <w:p>
            <w:r/>
            <w:r>
              <w:rPr>
                <w:sz w:val="20"/>
              </w:rPr>
              <w:t>Contact hours per student</w:t>
            </w:r>
          </w:p>
        </w:tc>
        <w:tc>
          <w:tcPr>
            <w:tcW w:type="dxa" w:w="2664"/>
          </w:tcPr>
          <w:p>
            <w:r/>
            <w:r>
              <w:rPr>
                <w:sz w:val="20"/>
              </w:rPr>
              <w:t>Course enrollment and pass rate in the target sequence</w:t>
            </w:r>
          </w:p>
        </w:tc>
        <w:tc>
          <w:tcPr>
            <w:tcW w:type="dxa" w:w="2592"/>
          </w:tcPr>
          <w:p>
            <w:r/>
            <w:r>
              <w:rPr>
                <w:sz w:val="20"/>
              </w:rPr>
              <w:t>Materials and equipment replace assessment licenses as the largest non-personnel line after transportation.</w:t>
            </w:r>
          </w:p>
        </w:tc>
      </w:tr>
      <w:tr>
        <w:tc>
          <w:tcPr>
            <w:tcW w:type="dxa" w:w="1944"/>
          </w:tcPr>
          <w:p>
            <w:r/>
            <w:r>
              <w:rPr>
                <w:sz w:val="20"/>
              </w:rPr>
              <w:t>Family literacy</w:t>
            </w:r>
          </w:p>
        </w:tc>
        <w:tc>
          <w:tcPr>
            <w:tcW w:type="dxa" w:w="2160"/>
          </w:tcPr>
          <w:p>
            <w:r/>
            <w:r>
              <w:rPr>
                <w:sz w:val="20"/>
              </w:rPr>
              <w:t>Sessions attended per family</w:t>
            </w:r>
          </w:p>
        </w:tc>
        <w:tc>
          <w:tcPr>
            <w:tcW w:type="dxa" w:w="2664"/>
          </w:tcPr>
          <w:p>
            <w:r/>
            <w:r>
              <w:rPr>
                <w:sz w:val="20"/>
              </w:rPr>
              <w:t>Early literacy screener results for the enrolled child</w:t>
            </w:r>
          </w:p>
        </w:tc>
        <w:tc>
          <w:tcPr>
            <w:tcW w:type="dxa" w:w="2592"/>
          </w:tcPr>
          <w:p>
            <w:r/>
            <w:r>
              <w:rPr>
                <w:sz w:val="20"/>
              </w:rPr>
              <w:t>The unit of enrollment is the family, so cost per student and cost per family are both reported. Childcare becomes a program cost, not an engagement cost.</w:t>
            </w:r>
          </w:p>
        </w:tc>
      </w:tr>
      <w:tr>
        <w:tc>
          <w:tcPr>
            <w:tcW w:type="dxa" w:w="1944"/>
          </w:tcPr>
          <w:p>
            <w:r/>
            <w:r>
              <w:rPr>
                <w:sz w:val="20"/>
              </w:rPr>
              <w:t>Credit recovery</w:t>
            </w:r>
          </w:p>
        </w:tc>
        <w:tc>
          <w:tcPr>
            <w:tcW w:type="dxa" w:w="2160"/>
          </w:tcPr>
          <w:p>
            <w:r/>
            <w:r>
              <w:rPr>
                <w:sz w:val="20"/>
              </w:rPr>
              <w:t>Modules completed against modules assigned</w:t>
            </w:r>
          </w:p>
        </w:tc>
        <w:tc>
          <w:tcPr>
            <w:tcW w:type="dxa" w:w="2664"/>
          </w:tcPr>
          <w:p>
            <w:r/>
            <w:r>
              <w:rPr>
                <w:sz w:val="20"/>
              </w:rPr>
              <w:t>Credits earned and on-track-to-graduate status</w:t>
            </w:r>
          </w:p>
        </w:tc>
        <w:tc>
          <w:tcPr>
            <w:tcW w:type="dxa" w:w="2592"/>
          </w:tcPr>
          <w:p>
            <w:r/>
            <w:r>
              <w:rPr>
                <w:sz w:val="20"/>
              </w:rPr>
              <w:t>Certified teacher of record required, which changes the personnel structure and raises the per-student cost substantially.</w:t>
            </w:r>
          </w:p>
        </w:tc>
      </w:tr>
    </w:tbl>
    <w:p/>
    <w:p>
      <w:r>
        <w:br w:type="page"/>
      </w:r>
    </w:p>
    <w:p>
      <w:pPr>
        <w:pStyle w:val="Heading1"/>
      </w:pPr>
      <w:r>
        <w:t>Appendix B. Four Objections Education Funders Raise</w:t>
      </w:r>
    </w:p>
    <w:p>
      <w:r>
        <w:t>Write the narrative so it answers these four in advance rather than waiting to be asked. The right-hand column shows where this proposal answers each one.</w:t>
      </w:r>
    </w:p>
    <w:tbl>
      <w:tblPr>
        <w:tblStyle w:val="LightGrid-Accent1"/>
        <w:tblW w:type="auto" w:w="0"/>
        <w:jc w:val="center"/>
        <w:tblLayout w:type="autofit"/>
        <w:tblLook w:firstColumn="1" w:firstRow="1" w:lastColumn="0" w:lastRow="0" w:noHBand="0" w:noVBand="1" w:val="04A0"/>
      </w:tblPr>
      <w:tblGrid>
        <w:gridCol w:w="3120"/>
        <w:gridCol w:w="3120"/>
        <w:gridCol w:w="3120"/>
      </w:tblGrid>
      <w:tr>
        <w:tc>
          <w:tcPr>
            <w:tcW w:type="dxa" w:w="2304"/>
          </w:tcPr>
          <w:p>
            <w:r/>
            <w:r>
              <w:rPr>
                <w:b/>
                <w:sz w:val="20"/>
              </w:rPr>
              <w:t>Objection</w:t>
            </w:r>
          </w:p>
        </w:tc>
        <w:tc>
          <w:tcPr>
            <w:tcW w:type="dxa" w:w="4608"/>
          </w:tcPr>
          <w:p>
            <w:r/>
            <w:r>
              <w:rPr>
                <w:b/>
                <w:sz w:val="20"/>
              </w:rPr>
              <w:t>How to answer it</w:t>
            </w:r>
          </w:p>
        </w:tc>
        <w:tc>
          <w:tcPr>
            <w:tcW w:type="dxa" w:w="2448"/>
          </w:tcPr>
          <w:p>
            <w:r/>
            <w:r>
              <w:rPr>
                <w:b/>
                <w:sz w:val="20"/>
              </w:rPr>
              <w:t>Answered here</w:t>
            </w:r>
          </w:p>
        </w:tc>
      </w:tr>
      <w:tr>
        <w:tc>
          <w:tcPr>
            <w:tcW w:type="dxa" w:w="2304"/>
          </w:tcPr>
          <w:p>
            <w:r/>
            <w:r>
              <w:rPr>
                <w:sz w:val="20"/>
              </w:rPr>
              <w:t>Is this replacing something the school already funds?</w:t>
            </w:r>
          </w:p>
        </w:tc>
        <w:tc>
          <w:tcPr>
            <w:tcW w:type="dxa" w:w="4608"/>
          </w:tcPr>
          <w:p>
            <w:r/>
            <w:r>
              <w:rPr>
                <w:sz w:val="20"/>
              </w:rPr>
              <w:t>State what the school provides and what your program adds, and be explicit about where the line falls. Attach the partnership agreement showing the district agrees with that division.</w:t>
            </w:r>
          </w:p>
        </w:tc>
        <w:tc>
          <w:tcPr>
            <w:tcW w:type="dxa" w:w="2448"/>
          </w:tcPr>
          <w:p>
            <w:r/>
            <w:r>
              <w:rPr>
                <w:sz w:val="20"/>
              </w:rPr>
              <w:t>Section 6.4, and the memorandum of understanding at Attachment B</w:t>
            </w:r>
          </w:p>
        </w:tc>
      </w:tr>
      <w:tr>
        <w:tc>
          <w:tcPr>
            <w:tcW w:type="dxa" w:w="2304"/>
          </w:tcPr>
          <w:p>
            <w:r/>
            <w:r>
              <w:rPr>
                <w:sz w:val="20"/>
              </w:rPr>
              <w:t>Do you have the district's agreement in writing?</w:t>
            </w:r>
          </w:p>
        </w:tc>
        <w:tc>
          <w:tcPr>
            <w:tcW w:type="dxa" w:w="4608"/>
          </w:tcPr>
          <w:p>
            <w:r/>
            <w:r>
              <w:rPr>
                <w:sz w:val="20"/>
              </w:rPr>
              <w:t>A signed memorandum of understanding covering facility use, staff access, supervision and student data sharing answers several reviewer questions at once. Get it before you apply, not after an award.</w:t>
            </w:r>
          </w:p>
        </w:tc>
        <w:tc>
          <w:tcPr>
            <w:tcW w:type="dxa" w:w="2448"/>
          </w:tcPr>
          <w:p>
            <w:r/>
            <w:r>
              <w:rPr>
                <w:sz w:val="20"/>
              </w:rPr>
              <w:t>Cover letter, Section 7.7, Attachments B and C</w:t>
            </w:r>
          </w:p>
        </w:tc>
      </w:tr>
      <w:tr>
        <w:tc>
          <w:tcPr>
            <w:tcW w:type="dxa" w:w="2304"/>
          </w:tcPr>
          <w:p>
            <w:r/>
            <w:r>
              <w:rPr>
                <w:sz w:val="20"/>
              </w:rPr>
              <w:t>How many students actually attended enough to benefit?</w:t>
            </w:r>
          </w:p>
        </w:tc>
        <w:tc>
          <w:tcPr>
            <w:tcW w:type="dxa" w:w="4608"/>
          </w:tcPr>
          <w:p>
            <w:r/>
            <w:r>
              <w:rPr>
                <w:sz w:val="20"/>
              </w:rPr>
              <w:t>Report both numbers. Students enrolled and students meeting your dosage threshold are different figures, and reporting only the larger one is read as evasion.</w:t>
            </w:r>
          </w:p>
        </w:tc>
        <w:tc>
          <w:tcPr>
            <w:tcW w:type="dxa" w:w="2448"/>
          </w:tcPr>
          <w:p>
            <w:r/>
            <w:r>
              <w:rPr>
                <w:sz w:val="20"/>
              </w:rPr>
              <w:t>Sections 7.2, 8.2 and 9.7</w:t>
            </w:r>
          </w:p>
        </w:tc>
      </w:tr>
      <w:tr>
        <w:tc>
          <w:tcPr>
            <w:tcW w:type="dxa" w:w="2304"/>
          </w:tcPr>
          <w:p>
            <w:r/>
            <w:r>
              <w:rPr>
                <w:sz w:val="20"/>
              </w:rPr>
              <w:t>What is your evidence base?</w:t>
            </w:r>
          </w:p>
        </w:tc>
        <w:tc>
          <w:tcPr>
            <w:tcW w:type="dxa" w:w="4608"/>
          </w:tcPr>
          <w:p>
            <w:r/>
            <w:r>
              <w:rPr>
                <w:sz w:val="20"/>
              </w:rPr>
              <w:t>Name the curriculum or model. Cite the What Works Clearinghouse review if one exists. If it does not, present the logic model and commit to studying the intervention, which is the fourth level of evidence and an honest answer.</w:t>
            </w:r>
          </w:p>
        </w:tc>
        <w:tc>
          <w:tcPr>
            <w:tcW w:type="dxa" w:w="2448"/>
          </w:tcPr>
          <w:p>
            <w:r/>
            <w:r>
              <w:rPr>
                <w:sz w:val="20"/>
              </w:rPr>
              <w:t>Sections 7.4, 9.5 and 9.6</w:t>
            </w:r>
          </w:p>
        </w:tc>
      </w:tr>
    </w:tbl>
    <w:p/>
    <w:p>
      <w:r>
        <w:br w:type="page"/>
      </w:r>
    </w:p>
    <w:p>
      <w:pPr>
        <w:pStyle w:val="Heading1"/>
      </w:pPr>
      <w:r>
        <w:t>Appendix C. Section Length Guide</w:t>
      </w:r>
    </w:p>
    <w:p>
      <w:r>
        <w:t>Follow the funder's stated page limit exactly. Where no limit is given, these are the lengths an education reviewer typically expects, and the middle column is what they are checking for in each section.</w:t>
      </w:r>
    </w:p>
    <w:tbl>
      <w:tblPr>
        <w:tblStyle w:val="LightGrid-Accent1"/>
        <w:tblW w:type="auto" w:w="0"/>
        <w:jc w:val="center"/>
        <w:tblLayout w:type="autofit"/>
        <w:tblLook w:firstColumn="1" w:firstRow="1" w:lastColumn="0" w:lastRow="0" w:noHBand="0" w:noVBand="1" w:val="04A0"/>
      </w:tblPr>
      <w:tblGrid>
        <w:gridCol w:w="3120"/>
        <w:gridCol w:w="3120"/>
        <w:gridCol w:w="3120"/>
      </w:tblGrid>
      <w:tr>
        <w:tc>
          <w:tcPr>
            <w:tcW w:type="dxa" w:w="2304"/>
          </w:tcPr>
          <w:p>
            <w:r/>
            <w:r>
              <w:rPr>
                <w:b/>
                <w:sz w:val="20"/>
              </w:rPr>
              <w:t>Section</w:t>
            </w:r>
          </w:p>
        </w:tc>
        <w:tc>
          <w:tcPr>
            <w:tcW w:type="dxa" w:w="5040"/>
          </w:tcPr>
          <w:p>
            <w:r/>
            <w:r>
              <w:rPr>
                <w:b/>
                <w:sz w:val="20"/>
              </w:rPr>
              <w:t>What an education reviewer checks</w:t>
            </w:r>
          </w:p>
        </w:tc>
        <w:tc>
          <w:tcPr>
            <w:tcW w:type="dxa" w:w="2016"/>
          </w:tcPr>
          <w:p>
            <w:r/>
            <w:r>
              <w:rPr>
                <w:b/>
                <w:sz w:val="20"/>
              </w:rPr>
              <w:t>Typical length</w:t>
            </w:r>
          </w:p>
        </w:tc>
      </w:tr>
      <w:tr>
        <w:tc>
          <w:tcPr>
            <w:tcW w:type="dxa" w:w="2304"/>
          </w:tcPr>
          <w:p>
            <w:r/>
            <w:r>
              <w:rPr>
                <w:sz w:val="20"/>
              </w:rPr>
              <w:t>Cover letter</w:t>
            </w:r>
          </w:p>
        </w:tc>
        <w:tc>
          <w:tcPr>
            <w:tcW w:type="dxa" w:w="5040"/>
          </w:tcPr>
          <w:p>
            <w:r/>
            <w:r>
              <w:rPr>
                <w:sz w:val="20"/>
              </w:rPr>
              <w:t>Signed by the executive director, names the school partner</w:t>
            </w:r>
          </w:p>
        </w:tc>
        <w:tc>
          <w:tcPr>
            <w:tcW w:type="dxa" w:w="2016"/>
          </w:tcPr>
          <w:p>
            <w:r/>
            <w:r>
              <w:rPr>
                <w:sz w:val="20"/>
              </w:rPr>
              <w:t>1 page</w:t>
            </w:r>
          </w:p>
        </w:tc>
      </w:tr>
      <w:tr>
        <w:tc>
          <w:tcPr>
            <w:tcW w:type="dxa" w:w="2304"/>
          </w:tcPr>
          <w:p>
            <w:r/>
            <w:r>
              <w:rPr>
                <w:sz w:val="20"/>
              </w:rPr>
              <w:t>Executive summary</w:t>
            </w:r>
          </w:p>
        </w:tc>
        <w:tc>
          <w:tcPr>
            <w:tcW w:type="dxa" w:w="5040"/>
          </w:tcPr>
          <w:p>
            <w:r/>
            <w:r>
              <w:rPr>
                <w:sz w:val="20"/>
              </w:rPr>
              <w:t>Students served, grade band, request amount, single outcome claim</w:t>
            </w:r>
          </w:p>
        </w:tc>
        <w:tc>
          <w:tcPr>
            <w:tcW w:type="dxa" w:w="2016"/>
          </w:tcPr>
          <w:p>
            <w:r/>
            <w:r>
              <w:rPr>
                <w:sz w:val="20"/>
              </w:rPr>
              <w:t>1 page</w:t>
            </w:r>
          </w:p>
        </w:tc>
      </w:tr>
      <w:tr>
        <w:tc>
          <w:tcPr>
            <w:tcW w:type="dxa" w:w="2304"/>
          </w:tcPr>
          <w:p>
            <w:r/>
            <w:r>
              <w:rPr>
                <w:sz w:val="20"/>
              </w:rPr>
              <w:t>Organization background</w:t>
            </w:r>
          </w:p>
        </w:tc>
        <w:tc>
          <w:tcPr>
            <w:tcW w:type="dxa" w:w="5040"/>
          </w:tcPr>
          <w:p>
            <w:r/>
            <w:r>
              <w:rPr>
                <w:sz w:val="20"/>
              </w:rPr>
              <w:t>Years operating in schools, current district relationships</w:t>
            </w:r>
          </w:p>
        </w:tc>
        <w:tc>
          <w:tcPr>
            <w:tcW w:type="dxa" w:w="2016"/>
          </w:tcPr>
          <w:p>
            <w:r/>
            <w:r>
              <w:rPr>
                <w:sz w:val="20"/>
              </w:rPr>
              <w:t>1 page</w:t>
            </w:r>
          </w:p>
        </w:tc>
      </w:tr>
      <w:tr>
        <w:tc>
          <w:tcPr>
            <w:tcW w:type="dxa" w:w="2304"/>
          </w:tcPr>
          <w:p>
            <w:r/>
            <w:r>
              <w:rPr>
                <w:sz w:val="20"/>
              </w:rPr>
              <w:t>Statement of need</w:t>
            </w:r>
          </w:p>
        </w:tc>
        <w:tc>
          <w:tcPr>
            <w:tcW w:type="dxa" w:w="5040"/>
          </w:tcPr>
          <w:p>
            <w:r/>
            <w:r>
              <w:rPr>
                <w:sz w:val="20"/>
              </w:rPr>
              <w:t>School-level data for the named campuses</w:t>
            </w:r>
          </w:p>
        </w:tc>
        <w:tc>
          <w:tcPr>
            <w:tcW w:type="dxa" w:w="2016"/>
          </w:tcPr>
          <w:p>
            <w:r/>
            <w:r>
              <w:rPr>
                <w:sz w:val="20"/>
              </w:rPr>
              <w:t>2 pages</w:t>
            </w:r>
          </w:p>
        </w:tc>
      </w:tr>
      <w:tr>
        <w:tc>
          <w:tcPr>
            <w:tcW w:type="dxa" w:w="2304"/>
          </w:tcPr>
          <w:p>
            <w:r/>
            <w:r>
              <w:rPr>
                <w:sz w:val="20"/>
              </w:rPr>
              <w:t>Program description</w:t>
            </w:r>
          </w:p>
        </w:tc>
        <w:tc>
          <w:tcPr>
            <w:tcW w:type="dxa" w:w="5040"/>
          </w:tcPr>
          <w:p>
            <w:r/>
            <w:r>
              <w:rPr>
                <w:sz w:val="20"/>
              </w:rPr>
              <w:t>Weekly schedule, dosage, staffing ratio, curriculum used</w:t>
            </w:r>
          </w:p>
        </w:tc>
        <w:tc>
          <w:tcPr>
            <w:tcW w:type="dxa" w:w="2016"/>
          </w:tcPr>
          <w:p>
            <w:r/>
            <w:r>
              <w:rPr>
                <w:sz w:val="20"/>
              </w:rPr>
              <w:t>2 to 3 pages</w:t>
            </w:r>
          </w:p>
        </w:tc>
      </w:tr>
      <w:tr>
        <w:tc>
          <w:tcPr>
            <w:tcW w:type="dxa" w:w="2304"/>
          </w:tcPr>
          <w:p>
            <w:r/>
            <w:r>
              <w:rPr>
                <w:sz w:val="20"/>
              </w:rPr>
              <w:t>Goals and objectives</w:t>
            </w:r>
          </w:p>
        </w:tc>
        <w:tc>
          <w:tcPr>
            <w:tcW w:type="dxa" w:w="5040"/>
          </w:tcPr>
          <w:p>
            <w:r/>
            <w:r>
              <w:rPr>
                <w:sz w:val="20"/>
              </w:rPr>
              <w:t>Measurable, with baseline and target</w:t>
            </w:r>
          </w:p>
        </w:tc>
        <w:tc>
          <w:tcPr>
            <w:tcW w:type="dxa" w:w="2016"/>
          </w:tcPr>
          <w:p>
            <w:r/>
            <w:r>
              <w:rPr>
                <w:sz w:val="20"/>
              </w:rPr>
              <w:t>1 page</w:t>
            </w:r>
          </w:p>
        </w:tc>
      </w:tr>
      <w:tr>
        <w:tc>
          <w:tcPr>
            <w:tcW w:type="dxa" w:w="2304"/>
          </w:tcPr>
          <w:p>
            <w:r/>
            <w:r>
              <w:rPr>
                <w:sz w:val="20"/>
              </w:rPr>
              <w:t>Evaluation plan</w:t>
            </w:r>
          </w:p>
        </w:tc>
        <w:tc>
          <w:tcPr>
            <w:tcW w:type="dxa" w:w="5040"/>
          </w:tcPr>
          <w:p>
            <w:r/>
            <w:r>
              <w:rPr>
                <w:sz w:val="20"/>
              </w:rPr>
              <w:t>Named instruments, who collects, when</w:t>
            </w:r>
          </w:p>
        </w:tc>
        <w:tc>
          <w:tcPr>
            <w:tcW w:type="dxa" w:w="2016"/>
          </w:tcPr>
          <w:p>
            <w:r/>
            <w:r>
              <w:rPr>
                <w:sz w:val="20"/>
              </w:rPr>
              <w:t>1 to 2 pages</w:t>
            </w:r>
          </w:p>
        </w:tc>
      </w:tr>
      <w:tr>
        <w:tc>
          <w:tcPr>
            <w:tcW w:type="dxa" w:w="2304"/>
          </w:tcPr>
          <w:p>
            <w:r/>
            <w:r>
              <w:rPr>
                <w:sz w:val="20"/>
              </w:rPr>
              <w:t>Budget and narrative</w:t>
            </w:r>
          </w:p>
        </w:tc>
        <w:tc>
          <w:tcPr>
            <w:tcW w:type="dxa" w:w="5040"/>
          </w:tcPr>
          <w:p>
            <w:r/>
            <w:r>
              <w:rPr>
                <w:sz w:val="20"/>
              </w:rPr>
              <w:t>Cost per student, personnel basis of calculation</w:t>
            </w:r>
          </w:p>
        </w:tc>
        <w:tc>
          <w:tcPr>
            <w:tcW w:type="dxa" w:w="2016"/>
          </w:tcPr>
          <w:p>
            <w:r/>
            <w:r>
              <w:rPr>
                <w:sz w:val="20"/>
              </w:rPr>
              <w:t>2 pages</w:t>
            </w:r>
          </w:p>
        </w:tc>
      </w:tr>
      <w:tr>
        <w:tc>
          <w:tcPr>
            <w:tcW w:type="dxa" w:w="2304"/>
          </w:tcPr>
          <w:p>
            <w:r/>
            <w:r>
              <w:rPr>
                <w:sz w:val="20"/>
              </w:rPr>
              <w:t>Sustainability</w:t>
            </w:r>
          </w:p>
        </w:tc>
        <w:tc>
          <w:tcPr>
            <w:tcW w:type="dxa" w:w="5040"/>
          </w:tcPr>
          <w:p>
            <w:r/>
            <w:r>
              <w:rPr>
                <w:sz w:val="20"/>
              </w:rPr>
              <w:t>Named year-two funding path</w:t>
            </w:r>
          </w:p>
        </w:tc>
        <w:tc>
          <w:tcPr>
            <w:tcW w:type="dxa" w:w="2016"/>
          </w:tcPr>
          <w:p>
            <w:r/>
            <w:r>
              <w:rPr>
                <w:sz w:val="20"/>
              </w:rPr>
              <w:t>1 page</w:t>
            </w:r>
          </w:p>
        </w:tc>
      </w:tr>
      <w:tr>
        <w:tc>
          <w:tcPr>
            <w:tcW w:type="dxa" w:w="2304"/>
          </w:tcPr>
          <w:p>
            <w:r/>
            <w:r>
              <w:rPr>
                <w:sz w:val="20"/>
              </w:rPr>
              <w:t>Attachments</w:t>
            </w:r>
          </w:p>
        </w:tc>
        <w:tc>
          <w:tcPr>
            <w:tcW w:type="dxa" w:w="5040"/>
          </w:tcPr>
          <w:p>
            <w:r/>
            <w:r>
              <w:rPr>
                <w:sz w:val="20"/>
              </w:rPr>
              <w:t>Partnership agreement, data-sharing agreement, IRS letter, board list</w:t>
            </w:r>
          </w:p>
        </w:tc>
        <w:tc>
          <w:tcPr>
            <w:tcW w:type="dxa" w:w="2016"/>
          </w:tcPr>
          <w:p>
            <w:r/>
            <w:r>
              <w:rPr>
                <w:sz w:val="20"/>
              </w:rPr>
              <w:t>Varies</w:t>
            </w:r>
          </w:p>
        </w:tc>
      </w:tr>
    </w:tbl>
    <w:p/>
    <w:p>
      <w:r>
        <w:br w:type="page"/>
      </w:r>
    </w:p>
    <w:p>
      <w:pPr>
        <w:pStyle w:val="Heading1"/>
      </w:pPr>
      <w:r>
        <w:t>Appendix D. Pre-Submission Checklist</w:t>
      </w:r>
    </w:p>
    <w:p>
      <w:pPr>
        <w:pStyle w:val="ListBullet"/>
      </w:pPr>
      <w:r>
        <w:t>Every composite name from this file has been replaced: the organization, the district, the three campuses, the funder.</w:t>
      </w:r>
    </w:p>
    <w:p>
      <w:pPr>
        <w:pStyle w:val="ListBullet"/>
      </w:pPr>
      <w:r>
        <w:t>Every figure in the statement of need traces to a district system you can name, and you have the source in writing.</w:t>
      </w:r>
    </w:p>
    <w:p>
      <w:pPr>
        <w:pStyle w:val="ListBullet"/>
      </w:pPr>
      <w:r>
        <w:t>The dosage figure in Section 7.2 matches the schedule you can actually staff and the ratio you claim in Section 7.3.</w:t>
      </w:r>
    </w:p>
    <w:p>
      <w:pPr>
        <w:pStyle w:val="ListBullet"/>
      </w:pPr>
      <w:r>
        <w:t>Each objective names an instrument, a baseline, a dosage threshold, a target and a deadline, and there are no more than four of them.</w:t>
      </w:r>
    </w:p>
    <w:p>
      <w:pPr>
        <w:pStyle w:val="ListBullet"/>
      </w:pPr>
      <w:r>
        <w:t>The instrument named in each objective is paid for somewhere in the budget.</w:t>
      </w:r>
    </w:p>
    <w:p>
      <w:pPr>
        <w:pStyle w:val="ListBullet"/>
      </w:pPr>
      <w:r>
        <w:t>Every personnel line shows a basis of calculation, and the payroll line covers the right wage base.</w:t>
      </w:r>
    </w:p>
    <w:p>
      <w:pPr>
        <w:pStyle w:val="ListBullet"/>
      </w:pPr>
      <w:r>
        <w:t>The transportation rate is your district's published rate, not an estimate.</w:t>
      </w:r>
    </w:p>
    <w:p>
      <w:pPr>
        <w:pStyle w:val="ListBullet"/>
      </w:pPr>
      <w:r>
        <w:t>The indirect rate and the base it applies to both match the funder's written guidelines.</w:t>
      </w:r>
    </w:p>
    <w:p>
      <w:pPr>
        <w:pStyle w:val="ListBullet"/>
      </w:pPr>
      <w:r>
        <w:t>Cost per student is stated in the narrative in words, not left to the reviewer's arithmetic.</w:t>
      </w:r>
    </w:p>
    <w:p>
      <w:pPr>
        <w:pStyle w:val="ListBullet"/>
      </w:pPr>
      <w:r>
        <w:t>The sustainability section names one path, one person and one decision date.</w:t>
      </w:r>
    </w:p>
    <w:p>
      <w:pPr>
        <w:pStyle w:val="ListBullet"/>
      </w:pPr>
      <w:r>
        <w:t>The memorandum of understanding and the data-sharing agreement are signed, not pending.</w:t>
      </w:r>
    </w:p>
    <w:p>
      <w:pPr>
        <w:pStyle w:val="ListBullet"/>
      </w:pPr>
      <w:r>
        <w:t>The proposal is within the funder's page limit, and the attachments are exactly the ones requested, in the order requested.</w:t>
      </w:r>
    </w:p>
    <w:p>
      <w:pPr>
        <w:pStyle w:val="ListBullet"/>
      </w:pPr>
      <w:r>
        <w:t>Every dollar figure in the executive summary matches the budget table, and every count matches the need statement.</w:t>
      </w:r>
    </w:p>
    <w:p/>
    <w:p>
      <w:pPr>
        <w:pStyle w:val="Heading2"/>
      </w:pPr>
      <w:r>
        <w:t>Find education funders worth applying to</w:t>
      </w:r>
    </w:p>
    <w:p>
      <w:r>
        <w:t>Education grant opportunities sit across federal programs, state education agencies and private foundations, and no single portal lists them together. GrantCue searches federal and state portals and adds foundation data drawn from IRS Form 990-PF filings, so you can browse foundations by state and read each funder's actual grant list, including recipient and grant purpose.</w:t>
      </w:r>
    </w:p>
    <w:p/>
    <w:p>
      <w:pPr>
        <w:jc w:val="center"/>
      </w:pPr>
      <w:r>
        <w:rPr>
          <w:b/>
          <w:color w:val="1F3364"/>
          <w:sz w:val="21"/>
        </w:rPr>
        <w:t>GrantCue - grantcue.com/blog/sample-grant-proposal-education-nonprofit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
      <w:rPr>
        <w:rFonts w:ascii="Calibri" w:hAnsi="Calibri"/>
        <w:color w:val="666666"/>
        <w:sz w:val="17"/>
      </w:rPr>
      <w:t>GrantCue - grantcue.com/blog/sample-grant-proposal-education-nonprofit</w:t>
      <w:tab/>
    </w:r>
    <w:r>
      <w:rPr>
        <w:rFonts w:ascii="Calibri" w:hAnsi="Calibri"/>
        <w:color w:val="666666"/>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F3364"/>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2E4B8B"/>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2E4B8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F336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b w:val="0"/>
      <w:i/>
      <w:iCs/>
      <w:color w:val="444444"/>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40" w:after="240"/>
    </w:pPr>
    <w:rPr>
      <w:rFonts w:ascii="Calibri" w:hAnsi="Calibri"/>
      <w:b/>
      <w:bCs/>
      <w:i/>
      <w:color w:val="5B5B5B"/>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daptationNote">
    <w:name w:val="Adaptation Note"/>
    <w:basedOn w:val="Normal"/>
    <w:pPr>
      <w:spacing w:after="200"/>
      <w:ind w:left="360"/>
    </w:pPr>
    <w:rPr>
      <w:rFonts w:ascii="Calibri" w:hAnsi="Calibri"/>
      <w:i/>
      <w:color w:val="5B5B5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Grant Proposal: K-12 Education Nonprofit Program</dc:title>
  <dc:subject>A complete, adaptable sample grant proposal for education nonprofit programs</dc:subject>
  <dc:creator>GrantCue</dc:creator>
  <cp:keywords>sample grant proposal for education nonprofit, education grant proposal, k-12 grant writing</cp:keywords>
  <dc:description>GrantCue - grantcue.com/blog/sample-grant-proposal-education-nonprofit</dc:description>
  <cp:lastModifiedBy/>
  <cp:revision>1</cp:revision>
  <dcterms:created xsi:type="dcterms:W3CDTF">2013-12-23T23:15:00Z</dcterms:created>
  <dcterms:modified xsi:type="dcterms:W3CDTF">2013-12-23T23:15:00Z</dcterms:modified>
  <cp:category>Grant Writing</cp:category>
</cp:coreProperties>
</file>