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Community Development</w:t>
      </w:r>
    </w:p>
    <w:p>
      <w:pPr>
        <w:pStyle w:val="Subtitle"/>
      </w:pPr>
      <w:r>
        <w:t>A complete, adaptable $175,000 request for an eighteen-month commercial corridor revitalization: facade subgrants, streetscape, business technical assistance and a resident steering committee</w:t>
      </w:r>
    </w:p>
    <w:tbl>
      <w:tblPr>
        <w:tblStyle w:val="TableGrid"/>
        <w:tblW w:type="auto" w:w="0"/>
        <w:tblLook w:firstColumn="1" w:firstRow="1" w:lastColumn="0" w:lastRow="0" w:noHBand="0" w:noVBand="1" w:val="04A0"/>
      </w:tblPr>
      <w:tblGrid>
        <w:gridCol w:w="9360"/>
      </w:tblGrid>
      <w:tr>
        <w:tc>
          <w:tcPr>
            <w:tcW w:type="dxa" w:w="9360"/>
          </w:tcPr>
          <w:p>
            <w:pPr>
              <w:spacing w:after="80"/>
            </w:pPr>
            <w:r/>
            <w:r>
              <w:rPr>
                <w:b/>
              </w:rPr>
              <w:t>How to use this document</w:t>
            </w:r>
          </w:p>
          <w:p>
            <w:pPr>
              <w:spacing w:after="120"/>
            </w:pPr>
            <w:r>
              <w:t>This is a finished community development grant proposal, written out section by section so you can read a complete version before drafting your own. Nothing in it is real. Northgate Corridor Development Corporation, the Northgate Avenue corridor and the City of Ashgrove are a composite built for illustration, and every figure was invented so the arithmetic holds together. No real organization, neighborhood, funder, census tract or grant program is described here, and none of these numbers should be quoted as data.</w:t>
            </w:r>
          </w:p>
          <w:p>
            <w:pPr>
              <w:spacing w:after="120"/>
            </w:pPr>
            <w:r>
              <w:t>The proposal is written for a private place-based funder, because that is the version most organizations write first. Appendix B covers what changes if you are applying through a city or county Community Development Block Grant round instead.</w:t>
            </w:r>
          </w:p>
          <w:p>
            <w:pPr>
              <w:spacing w:after="120"/>
            </w:pPr>
            <w:r>
              <w:t>Square brackets mark the only blanks left in the document, and they are the ones that have to be yours: funder name, dates, contact details, signatures. Everything else is written as finished prose so you can edit against real sentences rather than fill in an outline. Replace three things and the structure holds: the geography, the activity list, and the site control evidence.</w:t>
            </w:r>
          </w:p>
        </w:tc>
      </w:tr>
    </w:tbl>
    <w:p>
      <w:pPr>
        <w:spacing w:after="80"/>
      </w:pPr>
    </w:p>
    <w:p>
      <w:pPr>
        <w:pStyle w:val="Heading1"/>
      </w:pPr>
      <w:r>
        <w:t>Proposal Summary Sheet</w:t>
      </w:r>
    </w:p>
    <w:p>
      <w:pPr>
        <w:pStyle w:val="Caption"/>
      </w:pPr>
      <w:r>
        <w:t>Many funders ask for a cover form with exactly these fields. Fill it before you write, and every later section has to agree with it.</w:t>
      </w:r>
    </w:p>
    <w:tbl>
      <w:tblPr>
        <w:tblStyle w:val="TableGrid"/>
        <w:tblW w:type="auto" w:w="0"/>
        <w:jc w:val="center"/>
        <w:tblLook w:firstColumn="1" w:firstRow="1" w:lastColumn="0" w:lastRow="0" w:noHBand="0" w:noVBand="1" w:val="04A0"/>
      </w:tblPr>
      <w:tblGrid>
        <w:gridCol w:w="4680"/>
        <w:gridCol w:w="4680"/>
      </w:tblGrid>
      <w:tr>
        <w:tc>
          <w:tcPr>
            <w:tcW w:type="dxa" w:w="2736"/>
          </w:tcPr>
          <w:p>
            <w:pPr>
              <w:spacing w:after="40"/>
            </w:pPr>
            <w:r/>
            <w:r>
              <w:rPr>
                <w:b/>
              </w:rPr>
              <w:t>Field</w:t>
            </w:r>
          </w:p>
        </w:tc>
        <w:tc>
          <w:tcPr>
            <w:tcW w:type="dxa" w:w="6624"/>
          </w:tcPr>
          <w:p>
            <w:pPr>
              <w:spacing w:after="40"/>
            </w:pPr>
            <w:r/>
            <w:r>
              <w:rPr>
                <w:b/>
              </w:rPr>
              <w:t>Entry</w:t>
            </w:r>
          </w:p>
        </w:tc>
      </w:tr>
      <w:tr>
        <w:tc>
          <w:tcPr>
            <w:tcW w:type="dxa" w:w="2736"/>
          </w:tcPr>
          <w:p>
            <w:pPr>
              <w:spacing w:after="40"/>
            </w:pPr>
            <w:r/>
            <w:r>
              <w:t>Applicant</w:t>
            </w:r>
          </w:p>
        </w:tc>
        <w:tc>
          <w:tcPr>
            <w:tcW w:type="dxa" w:w="6624"/>
          </w:tcPr>
          <w:p>
            <w:pPr>
              <w:spacing w:after="40"/>
            </w:pPr>
            <w:r/>
            <w:r>
              <w:t>Northgate Corridor Development Corporation (composite example)</w:t>
            </w:r>
          </w:p>
        </w:tc>
      </w:tr>
      <w:tr>
        <w:tc>
          <w:tcPr>
            <w:tcW w:type="dxa" w:w="2736"/>
          </w:tcPr>
          <w:p>
            <w:pPr>
              <w:spacing w:after="40"/>
            </w:pPr>
            <w:r/>
            <w:r>
              <w:t>Tax status</w:t>
            </w:r>
          </w:p>
        </w:tc>
        <w:tc>
          <w:tcPr>
            <w:tcW w:type="dxa" w:w="6624"/>
          </w:tcPr>
          <w:p>
            <w:pPr>
              <w:spacing w:after="40"/>
            </w:pPr>
            <w:r/>
            <w:r>
              <w:t>501(c)(3) public charity, incorporated 2015, EIN [00-0000000]</w:t>
            </w:r>
          </w:p>
        </w:tc>
      </w:tr>
      <w:tr>
        <w:tc>
          <w:tcPr>
            <w:tcW w:type="dxa" w:w="2736"/>
          </w:tcPr>
          <w:p>
            <w:pPr>
              <w:spacing w:after="40"/>
            </w:pPr>
            <w:r/>
            <w:r>
              <w:t>Project title</w:t>
            </w:r>
          </w:p>
        </w:tc>
        <w:tc>
          <w:tcPr>
            <w:tcW w:type="dxa" w:w="6624"/>
          </w:tcPr>
          <w:p>
            <w:pPr>
              <w:spacing w:after="40"/>
            </w:pPr>
            <w:r/>
            <w:r>
              <w:t>Northgate Corridor Revitalization: Facades, Streetscape and Business Support</w:t>
            </w:r>
          </w:p>
        </w:tc>
      </w:tr>
      <w:tr>
        <w:tc>
          <w:tcPr>
            <w:tcW w:type="dxa" w:w="2736"/>
          </w:tcPr>
          <w:p>
            <w:pPr>
              <w:spacing w:after="40"/>
            </w:pPr>
            <w:r/>
            <w:r>
              <w:t>Amount requested</w:t>
            </w:r>
          </w:p>
        </w:tc>
        <w:tc>
          <w:tcPr>
            <w:tcW w:type="dxa" w:w="6624"/>
          </w:tcPr>
          <w:p>
            <w:pPr>
              <w:spacing w:after="40"/>
            </w:pPr>
            <w:r/>
            <w:r>
              <w:t>$175,000</w:t>
            </w:r>
          </w:p>
        </w:tc>
      </w:tr>
      <w:tr>
        <w:tc>
          <w:tcPr>
            <w:tcW w:type="dxa" w:w="2736"/>
          </w:tcPr>
          <w:p>
            <w:pPr>
              <w:spacing w:after="40"/>
            </w:pPr>
            <w:r/>
            <w:r>
              <w:t>Project period</w:t>
            </w:r>
          </w:p>
        </w:tc>
        <w:tc>
          <w:tcPr>
            <w:tcW w:type="dxa" w:w="6624"/>
          </w:tcPr>
          <w:p>
            <w:pPr>
              <w:spacing w:after="40"/>
            </w:pPr>
            <w:r/>
            <w:r>
              <w:t>18 months, [start date] through [end date]</w:t>
            </w:r>
          </w:p>
        </w:tc>
      </w:tr>
      <w:tr>
        <w:tc>
          <w:tcPr>
            <w:tcW w:type="dxa" w:w="2736"/>
          </w:tcPr>
          <w:p>
            <w:pPr>
              <w:spacing w:after="40"/>
            </w:pPr>
            <w:r/>
            <w:r>
              <w:t>Total project cost</w:t>
            </w:r>
          </w:p>
        </w:tc>
        <w:tc>
          <w:tcPr>
            <w:tcW w:type="dxa" w:w="6624"/>
          </w:tcPr>
          <w:p>
            <w:pPr>
              <w:spacing w:after="40"/>
            </w:pPr>
            <w:r/>
            <w:r>
              <w:t>$227,100</w:t>
            </w:r>
          </w:p>
        </w:tc>
      </w:tr>
      <w:tr>
        <w:tc>
          <w:tcPr>
            <w:tcW w:type="dxa" w:w="2736"/>
          </w:tcPr>
          <w:p>
            <w:pPr>
              <w:spacing w:after="40"/>
            </w:pPr>
            <w:r/>
            <w:r>
              <w:t>Committed leverage</w:t>
            </w:r>
          </w:p>
        </w:tc>
        <w:tc>
          <w:tcPr>
            <w:tcW w:type="dxa" w:w="6624"/>
          </w:tcPr>
          <w:p>
            <w:pPr>
              <w:spacing w:after="40"/>
            </w:pPr>
            <w:r/>
            <w:r>
              <w:t>$52,100, or 23 percent of total project cost</w:t>
            </w:r>
          </w:p>
        </w:tc>
      </w:tr>
      <w:tr>
        <w:tc>
          <w:tcPr>
            <w:tcW w:type="dxa" w:w="2736"/>
          </w:tcPr>
          <w:p>
            <w:pPr>
              <w:spacing w:after="40"/>
            </w:pPr>
            <w:r/>
            <w:r>
              <w:t>Service area</w:t>
            </w:r>
          </w:p>
        </w:tc>
        <w:tc>
          <w:tcPr>
            <w:tcW w:type="dxa" w:w="6624"/>
          </w:tcPr>
          <w:p>
            <w:pPr>
              <w:spacing w:after="40"/>
            </w:pPr>
            <w:r/>
            <w:r>
              <w:t>Northgate Avenue, 900 through 1400 blocks, Fourth Ward, City of Ashgrove</w:t>
            </w:r>
          </w:p>
        </w:tc>
      </w:tr>
      <w:tr>
        <w:tc>
          <w:tcPr>
            <w:tcW w:type="dxa" w:w="2736"/>
          </w:tcPr>
          <w:p>
            <w:pPr>
              <w:spacing w:after="40"/>
            </w:pPr>
            <w:r/>
            <w:r>
              <w:t>Service area population</w:t>
            </w:r>
          </w:p>
        </w:tc>
        <w:tc>
          <w:tcPr>
            <w:tcW w:type="dxa" w:w="6624"/>
          </w:tcPr>
          <w:p>
            <w:pPr>
              <w:spacing w:after="40"/>
            </w:pPr>
            <w:r/>
            <w:r>
              <w:t>7,940 residents in 3,140 households across two census tracts</w:t>
            </w:r>
          </w:p>
        </w:tc>
      </w:tr>
      <w:tr>
        <w:tc>
          <w:tcPr>
            <w:tcW w:type="dxa" w:w="2736"/>
          </w:tcPr>
          <w:p>
            <w:pPr>
              <w:spacing w:after="40"/>
            </w:pPr>
            <w:r/>
            <w:r>
              <w:t>Direct beneficiaries</w:t>
            </w:r>
          </w:p>
        </w:tc>
        <w:tc>
          <w:tcPr>
            <w:tcW w:type="dxa" w:w="6624"/>
          </w:tcPr>
          <w:p>
            <w:pPr>
              <w:spacing w:after="40"/>
            </w:pPr>
            <w:r/>
            <w:r>
              <w:t>6 storefront facades, 14 businesses receiving technical assistance, 16 steering committee members</w:t>
            </w:r>
          </w:p>
        </w:tc>
      </w:tr>
      <w:tr>
        <w:tc>
          <w:tcPr>
            <w:tcW w:type="dxa" w:w="2736"/>
          </w:tcPr>
          <w:p>
            <w:pPr>
              <w:spacing w:after="40"/>
            </w:pPr>
            <w:r/>
            <w:r>
              <w:t>Prior funding from this funder</w:t>
            </w:r>
          </w:p>
        </w:tc>
        <w:tc>
          <w:tcPr>
            <w:tcW w:type="dxa" w:w="6624"/>
          </w:tcPr>
          <w:p>
            <w:pPr>
              <w:spacing w:after="40"/>
            </w:pPr>
            <w:r/>
            <w:r>
              <w:t>[None, or the amount, year and purpose of prior support]</w:t>
            </w:r>
          </w:p>
        </w:tc>
      </w:tr>
      <w:tr>
        <w:tc>
          <w:tcPr>
            <w:tcW w:type="dxa" w:w="2736"/>
          </w:tcPr>
          <w:p>
            <w:pPr>
              <w:spacing w:after="40"/>
            </w:pPr>
            <w:r/>
            <w:r>
              <w:t>Primary contact</w:t>
            </w:r>
          </w:p>
        </w:tc>
        <w:tc>
          <w:tcPr>
            <w:tcW w:type="dxa" w:w="6624"/>
          </w:tcPr>
          <w:p>
            <w:pPr>
              <w:spacing w:after="40"/>
            </w:pPr>
            <w:r/>
            <w:r>
              <w:t>[Name], Executive Director, [phone], [email]</w:t>
            </w:r>
          </w:p>
        </w:tc>
      </w:tr>
    </w:tbl>
    <w:p>
      <w:pPr>
        <w:spacing w:after="80"/>
      </w:pPr>
    </w:p>
    <w:p>
      <w:r>
        <w:br w:type="page"/>
      </w:r>
    </w:p>
    <w:p>
      <w:pPr>
        <w:pStyle w:val="Heading1"/>
      </w:pPr>
      <w:r>
        <w:t>Cover Letter</w:t>
      </w:r>
    </w:p>
    <w:p>
      <w:pPr>
        <w:pStyle w:val="Caption"/>
      </w:pPr>
      <w:r>
        <w:t>One page. Name the corridor, the ward and the dollar figure in the first sentence, then name the local partner who is already at the table. Print it on letterhead and sign it in ink.</w:t>
      </w:r>
    </w:p>
    <w:p>
      <w:pPr>
        <w:spacing w:after="0"/>
      </w:pPr>
      <w:r>
        <w:t>[Date]</w:t>
      </w:r>
    </w:p>
    <w:p>
      <w:pPr>
        <w:spacing w:after="0"/>
      </w:pPr>
      <w:r>
        <w:t>[Program officer name], [Title]</w:t>
      </w:r>
    </w:p>
    <w:p>
      <w:pPr>
        <w:spacing w:after="0"/>
      </w:pPr>
      <w:r>
        <w:t>[Funder legal name]</w:t>
      </w:r>
    </w:p>
    <w:p>
      <w:pPr>
        <w:spacing w:after="0"/>
      </w:pPr>
      <w:r>
        <w:t>[Street address]</w:t>
      </w:r>
    </w:p>
    <w:p>
      <w:r>
        <w:t>[City, State ZIP]</w:t>
      </w:r>
    </w:p>
    <w:p>
      <w:r>
        <w:t>Dear [Program officer name]:</w:t>
      </w:r>
    </w:p>
    <w:p>
      <w:r>
        <w:t>Northgate Corridor Development Corporation requests $175,000 over eighteen months to restore six blocks of the Northgate Avenue commercial corridor in Ashgrove's Fourth Ward, where twelve of forty-three ground-floor storefronts stand vacant and three of those are boarded.</w:t>
      </w:r>
    </w:p>
    <w:p>
      <w:r>
        <w:t>The request pays for four activities, listed here in the order residents ranked them at our spring door-knock survey. Facade improvement subgrants will bring six storefronts back to a leasable condition. A streetscape of planters, pedestrian lighting and benches will go in along the same six blocks with the City's written consent. Two hundred hours of contracted technical assistance will go to corridor businesses on licensing, bookkeeping and lease review. A resident steering committee of sixteen neighbors and business owners will set the facade priority order and approve each design before it is bid.</w:t>
      </w:r>
    </w:p>
    <w:p>
      <w:r>
        <w:t>Northgate CDC has worked this corridor for eleven years. We own two parcels on it in fee, hold executed facade agreements with the owners of four more, and carry a letter from the Ashgrove Department of Public Works authorizing the right-of-way work. Nothing in this request depends on a property we do not already control, and the proposal names the two corridor buildings that are out of scope for exactly that reason.</w:t>
      </w:r>
    </w:p>
    <w:p>
      <w:r>
        <w:t>Maintenance is settled before any money moves. The Northgate Business Association has committed in writing to planter care and litter collection for two years past the grant period. The City will assume the pedestrian lighting once it is energized and inspected. The CDC carries the liability rider on the benches, and that premium is a budget line rather than a promise. Committed leverage totals $52,100, and every dollar of it is backed by a document listed in the budget narrative.</w:t>
      </w:r>
    </w:p>
    <w:p>
      <w:r>
        <w:t>We would welcome a walk of the corridor with you before the review closes. Our audited financial statements for the last three fiscal years, the board roster, and the signed agreements referenced above are attached.</w:t>
      </w:r>
    </w:p>
    <w:p>
      <w:r>
        <w:t>Sincerely,</w:t>
      </w:r>
    </w:p>
    <w:p>
      <w:pPr>
        <w:spacing w:after="0"/>
      </w:pPr>
      <w:r>
        <w:t>[Signature]</w:t>
      </w:r>
    </w:p>
    <w:p>
      <w:pPr>
        <w:spacing w:after="0"/>
      </w:pPr>
      <w:r>
        <w:t>[Name], Executive Director</w:t>
      </w:r>
    </w:p>
    <w:p>
      <w:r>
        <w:t>Northgate Corridor Development Corporation</w:t>
      </w:r>
    </w:p>
    <w:p>
      <w:r>
        <w:t>Enclosures: IRS determination letter; audited financial statements FY2024 through FY2026; board roster with affiliations; six executed facade agreements; Department of Public Works right-of-way letter; Northgate Business Association maintenance commitment; corridor condition survey; project budget and narrative.</w:t>
      </w:r>
    </w:p>
    <w:p>
      <w:r>
        <w:br w:type="page"/>
      </w:r>
    </w:p>
    <w:p>
      <w:pPr>
        <w:pStyle w:val="Heading1"/>
      </w:pPr>
      <w:r>
        <w:t>1. Executive Summary</w:t>
      </w:r>
    </w:p>
    <w:p>
      <w:pPr>
        <w:pStyle w:val="Caption"/>
      </w:pPr>
      <w:r>
        <w:t>About 250 words. Lead with the physical change, then the people it serves. A community development reviewer is looking for a place in the first sentence.</w:t>
      </w:r>
    </w:p>
    <w:p>
      <w:r>
        <w:t>Northgate CDC requests $175,000 over eighteen months to return six vacant or deteriorated storefronts on Northgate Avenue to leasable ground-floor use and to rebuild the pedestrian environment on the same six blocks.</w:t>
      </w:r>
    </w:p>
    <w:p>
      <w:r>
        <w:t>Ground-floor vacancy on the corridor is 28 percent. That figure was counted rather than estimated: staff walked the 900 through 1400 blocks twice this year and recorded twelve empty storefronts out of forty-three, three of them boarded at the sidewalk. The two census tracts the corridor runs through have median household incomes of $38,900 and $41,600 against $61,300 citywide, and 54 percent of households in the combined area are low- and moderate-income. The thirty-one businesses still operating on the corridor employ ninety-six people.</w:t>
      </w:r>
    </w:p>
    <w:p>
      <w:r>
        <w:t>The project has four parts. Facade subgrants of up to $7,000 will improve six storefronts, each matched by at least $2,500 from the property owner and covered by a five-year maintenance covenant and a three-year rent restriction. A streetscape of twelve planters, eight pedestrian light fixtures and six benches will be installed in the public right of way with city labor. Two hundred hours of contracted technical assistance will support fourteen corridor businesses. A steering committee of twelve residents and four business owners, paid a stipend for each meeting, will set the facade priority order and approve every design.</w:t>
      </w:r>
    </w:p>
    <w:p>
      <w:r>
        <w:t>By month eighteen the corridor should show no more than eight vacant storefronts, six completed facades, twelve jobs created or retained, and a business association that has grown from nine paid members to twenty. Committed leverage of $52,100 brings total project cost to $227,100.</w:t>
      </w:r>
    </w:p>
    <w:p>
      <w:pPr>
        <w:pStyle w:val="Heading1"/>
      </w:pPr>
      <w:r>
        <w:t>2. Statement of Need</w:t>
      </w:r>
    </w:p>
    <w:p>
      <w:pPr>
        <w:pStyle w:val="Caption"/>
      </w:pPr>
      <w:r>
        <w:t>About 700 words. Geographic before demographic. Draw the boundary, name the streets, then attach data to that boundary. A citywide poverty rate proves nothing about six blocks.</w:t>
      </w:r>
    </w:p>
    <w:p>
      <w:pPr>
        <w:pStyle w:val="Heading2"/>
      </w:pPr>
      <w:r>
        <w:t>2.1 The boundary</w:t>
      </w:r>
    </w:p>
    <w:p>
      <w:r>
        <w:t>The service area is Northgate Avenue from the 900 block at 9th Street to the 1400 block at 15th Street, six blocks, both sides of the street, in the Fourth Ward of Ashgrove. The corridor is the only commercial frontage serving the residential blocks that surround it, and the nearest full grocery is 1.4 miles east. The two census tracts the corridor sits in hold 7,940 residents in 3,140 households. Every figure in this section refers to that boundary and no larger one.</w:t>
      </w:r>
    </w:p>
    <w:p>
      <w:pPr>
        <w:pStyle w:val="Heading2"/>
      </w:pPr>
      <w:r>
        <w:t>2.2 What we counted on the corridor</w:t>
      </w:r>
    </w:p>
    <w:p>
      <w:r>
        <w:t>Staff and two steering committee volunteers walked the corridor in March and again in June of this year, recording every ground-floor storefront by address and marking it occupied, vacant, or boarded. The second walk confirmed the first within one unit. Anyone can repeat this count in two hours, which is the point of reporting it.</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008"/>
          </w:tcPr>
          <w:p>
            <w:pPr>
              <w:spacing w:after="40"/>
            </w:pPr>
            <w:r/>
            <w:r>
              <w:rPr>
                <w:b/>
              </w:rPr>
              <w:t>Block</w:t>
            </w:r>
          </w:p>
        </w:tc>
        <w:tc>
          <w:tcPr>
            <w:tcW w:type="dxa" w:w="2448"/>
          </w:tcPr>
          <w:p>
            <w:pPr>
              <w:spacing w:after="40"/>
            </w:pPr>
            <w:r/>
            <w:r>
              <w:rPr>
                <w:b/>
              </w:rPr>
              <w:t>Ground-floor storefronts</w:t>
            </w:r>
          </w:p>
        </w:tc>
        <w:tc>
          <w:tcPr>
            <w:tcW w:type="dxa" w:w="1008"/>
          </w:tcPr>
          <w:p>
            <w:pPr>
              <w:spacing w:after="40"/>
            </w:pPr>
            <w:r/>
            <w:r>
              <w:rPr>
                <w:b/>
              </w:rPr>
              <w:t>Vacant</w:t>
            </w:r>
          </w:p>
        </w:tc>
        <w:tc>
          <w:tcPr>
            <w:tcW w:type="dxa" w:w="1152"/>
          </w:tcPr>
          <w:p>
            <w:pPr>
              <w:spacing w:after="40"/>
            </w:pPr>
            <w:r/>
            <w:r>
              <w:rPr>
                <w:b/>
              </w:rPr>
              <w:t>Boarded</w:t>
            </w:r>
          </w:p>
        </w:tc>
        <w:tc>
          <w:tcPr>
            <w:tcW w:type="dxa" w:w="3744"/>
          </w:tcPr>
          <w:p>
            <w:pPr>
              <w:spacing w:after="40"/>
            </w:pPr>
            <w:r/>
            <w:r>
              <w:rPr>
                <w:b/>
              </w:rPr>
              <w:t>Note</w:t>
            </w:r>
          </w:p>
        </w:tc>
      </w:tr>
      <w:tr>
        <w:tc>
          <w:tcPr>
            <w:tcW w:type="dxa" w:w="1008"/>
          </w:tcPr>
          <w:p>
            <w:pPr>
              <w:spacing w:after="40"/>
            </w:pPr>
            <w:r/>
            <w:r>
              <w:t>900</w:t>
            </w:r>
          </w:p>
        </w:tc>
        <w:tc>
          <w:tcPr>
            <w:tcW w:type="dxa" w:w="2448"/>
          </w:tcPr>
          <w:p>
            <w:pPr>
              <w:spacing w:after="40"/>
            </w:pPr>
            <w:r/>
            <w:r>
              <w:t>8</w:t>
            </w:r>
          </w:p>
        </w:tc>
        <w:tc>
          <w:tcPr>
            <w:tcW w:type="dxa" w:w="1008"/>
          </w:tcPr>
          <w:p>
            <w:pPr>
              <w:spacing w:after="40"/>
            </w:pPr>
            <w:r/>
            <w:r>
              <w:t>2</w:t>
            </w:r>
          </w:p>
        </w:tc>
        <w:tc>
          <w:tcPr>
            <w:tcW w:type="dxa" w:w="1152"/>
          </w:tcPr>
          <w:p>
            <w:pPr>
              <w:spacing w:after="40"/>
            </w:pPr>
            <w:r/>
            <w:r>
              <w:t>1</w:t>
            </w:r>
          </w:p>
        </w:tc>
        <w:tc>
          <w:tcPr>
            <w:tcW w:type="dxa" w:w="3744"/>
          </w:tcPr>
          <w:p>
            <w:pPr>
              <w:spacing w:after="40"/>
            </w:pPr>
            <w:r/>
            <w:r>
              <w:t>Corner building vacant since 2023</w:t>
            </w:r>
          </w:p>
        </w:tc>
      </w:tr>
      <w:tr>
        <w:tc>
          <w:tcPr>
            <w:tcW w:type="dxa" w:w="1008"/>
          </w:tcPr>
          <w:p>
            <w:pPr>
              <w:spacing w:after="40"/>
            </w:pPr>
            <w:r/>
            <w:r>
              <w:t>1000</w:t>
            </w:r>
          </w:p>
        </w:tc>
        <w:tc>
          <w:tcPr>
            <w:tcW w:type="dxa" w:w="2448"/>
          </w:tcPr>
          <w:p>
            <w:pPr>
              <w:spacing w:after="40"/>
            </w:pPr>
            <w:r/>
            <w:r>
              <w:t>7</w:t>
            </w:r>
          </w:p>
        </w:tc>
        <w:tc>
          <w:tcPr>
            <w:tcW w:type="dxa" w:w="1008"/>
          </w:tcPr>
          <w:p>
            <w:pPr>
              <w:spacing w:after="40"/>
            </w:pPr>
            <w:r/>
            <w:r>
              <w:t>2</w:t>
            </w:r>
          </w:p>
        </w:tc>
        <w:tc>
          <w:tcPr>
            <w:tcW w:type="dxa" w:w="1152"/>
          </w:tcPr>
          <w:p>
            <w:pPr>
              <w:spacing w:after="40"/>
            </w:pPr>
            <w:r/>
            <w:r>
              <w:t>0</w:t>
            </w:r>
          </w:p>
        </w:tc>
        <w:tc>
          <w:tcPr>
            <w:tcW w:type="dxa" w:w="3744"/>
          </w:tcPr>
          <w:p>
            <w:pPr>
              <w:spacing w:after="40"/>
            </w:pPr>
            <w:r/>
            <w:r>
              <w:t>One unit in active lease negotiation</w:t>
            </w:r>
          </w:p>
        </w:tc>
      </w:tr>
      <w:tr>
        <w:tc>
          <w:tcPr>
            <w:tcW w:type="dxa" w:w="1008"/>
          </w:tcPr>
          <w:p>
            <w:pPr>
              <w:spacing w:after="40"/>
            </w:pPr>
            <w:r/>
            <w:r>
              <w:t>1100</w:t>
            </w:r>
          </w:p>
        </w:tc>
        <w:tc>
          <w:tcPr>
            <w:tcW w:type="dxa" w:w="2448"/>
          </w:tcPr>
          <w:p>
            <w:pPr>
              <w:spacing w:after="40"/>
            </w:pPr>
            <w:r/>
            <w:r>
              <w:t>6</w:t>
            </w:r>
          </w:p>
        </w:tc>
        <w:tc>
          <w:tcPr>
            <w:tcW w:type="dxa" w:w="1008"/>
          </w:tcPr>
          <w:p>
            <w:pPr>
              <w:spacing w:after="40"/>
            </w:pPr>
            <w:r/>
            <w:r>
              <w:t>1</w:t>
            </w:r>
          </w:p>
        </w:tc>
        <w:tc>
          <w:tcPr>
            <w:tcW w:type="dxa" w:w="1152"/>
          </w:tcPr>
          <w:p>
            <w:pPr>
              <w:spacing w:after="40"/>
            </w:pPr>
            <w:r/>
            <w:r>
              <w:t>0</w:t>
            </w:r>
          </w:p>
        </w:tc>
        <w:tc>
          <w:tcPr>
            <w:tcW w:type="dxa" w:w="3744"/>
          </w:tcPr>
          <w:p>
            <w:pPr>
              <w:spacing w:after="40"/>
            </w:pPr>
            <w:r/>
            <w:r>
              <w:t>CDC owns 1118</w:t>
            </w:r>
          </w:p>
        </w:tc>
      </w:tr>
      <w:tr>
        <w:tc>
          <w:tcPr>
            <w:tcW w:type="dxa" w:w="1008"/>
          </w:tcPr>
          <w:p>
            <w:pPr>
              <w:spacing w:after="40"/>
            </w:pPr>
            <w:r/>
            <w:r>
              <w:t>1200</w:t>
            </w:r>
          </w:p>
        </w:tc>
        <w:tc>
          <w:tcPr>
            <w:tcW w:type="dxa" w:w="2448"/>
          </w:tcPr>
          <w:p>
            <w:pPr>
              <w:spacing w:after="40"/>
            </w:pPr>
            <w:r/>
            <w:r>
              <w:t>8</w:t>
            </w:r>
          </w:p>
        </w:tc>
        <w:tc>
          <w:tcPr>
            <w:tcW w:type="dxa" w:w="1008"/>
          </w:tcPr>
          <w:p>
            <w:pPr>
              <w:spacing w:after="40"/>
            </w:pPr>
            <w:r/>
            <w:r>
              <w:t>3</w:t>
            </w:r>
          </w:p>
        </w:tc>
        <w:tc>
          <w:tcPr>
            <w:tcW w:type="dxa" w:w="1152"/>
          </w:tcPr>
          <w:p>
            <w:pPr>
              <w:spacing w:after="40"/>
            </w:pPr>
            <w:r/>
            <w:r>
              <w:t>1</w:t>
            </w:r>
          </w:p>
        </w:tc>
        <w:tc>
          <w:tcPr>
            <w:tcW w:type="dxa" w:w="3744"/>
          </w:tcPr>
          <w:p>
            <w:pPr>
              <w:spacing w:after="40"/>
            </w:pPr>
            <w:r/>
            <w:r>
              <w:t>Highest vacancy on the corridor</w:t>
            </w:r>
          </w:p>
        </w:tc>
      </w:tr>
      <w:tr>
        <w:tc>
          <w:tcPr>
            <w:tcW w:type="dxa" w:w="1008"/>
          </w:tcPr>
          <w:p>
            <w:pPr>
              <w:spacing w:after="40"/>
            </w:pPr>
            <w:r/>
            <w:r>
              <w:t>1300</w:t>
            </w:r>
          </w:p>
        </w:tc>
        <w:tc>
          <w:tcPr>
            <w:tcW w:type="dxa" w:w="2448"/>
          </w:tcPr>
          <w:p>
            <w:pPr>
              <w:spacing w:after="40"/>
            </w:pPr>
            <w:r/>
            <w:r>
              <w:t>7</w:t>
            </w:r>
          </w:p>
        </w:tc>
        <w:tc>
          <w:tcPr>
            <w:tcW w:type="dxa" w:w="1008"/>
          </w:tcPr>
          <w:p>
            <w:pPr>
              <w:spacing w:after="40"/>
            </w:pPr>
            <w:r/>
            <w:r>
              <w:t>2</w:t>
            </w:r>
          </w:p>
        </w:tc>
        <w:tc>
          <w:tcPr>
            <w:tcW w:type="dxa" w:w="1152"/>
          </w:tcPr>
          <w:p>
            <w:pPr>
              <w:spacing w:after="40"/>
            </w:pPr>
            <w:r/>
            <w:r>
              <w:t>0</w:t>
            </w:r>
          </w:p>
        </w:tc>
        <w:tc>
          <w:tcPr>
            <w:tcW w:type="dxa" w:w="3744"/>
          </w:tcPr>
          <w:p>
            <w:pPr>
              <w:spacing w:after="40"/>
            </w:pPr>
            <w:r/>
            <w:r>
              <w:t>Two anchor businesses, both over 15 years</w:t>
            </w:r>
          </w:p>
        </w:tc>
      </w:tr>
      <w:tr>
        <w:tc>
          <w:tcPr>
            <w:tcW w:type="dxa" w:w="1008"/>
          </w:tcPr>
          <w:p>
            <w:pPr>
              <w:spacing w:after="40"/>
            </w:pPr>
            <w:r/>
            <w:r>
              <w:t>1400</w:t>
            </w:r>
          </w:p>
        </w:tc>
        <w:tc>
          <w:tcPr>
            <w:tcW w:type="dxa" w:w="2448"/>
          </w:tcPr>
          <w:p>
            <w:pPr>
              <w:spacing w:after="40"/>
            </w:pPr>
            <w:r/>
            <w:r>
              <w:t>7</w:t>
            </w:r>
          </w:p>
        </w:tc>
        <w:tc>
          <w:tcPr>
            <w:tcW w:type="dxa" w:w="1008"/>
          </w:tcPr>
          <w:p>
            <w:pPr>
              <w:spacing w:after="40"/>
            </w:pPr>
            <w:r/>
            <w:r>
              <w:t>2</w:t>
            </w:r>
          </w:p>
        </w:tc>
        <w:tc>
          <w:tcPr>
            <w:tcW w:type="dxa" w:w="1152"/>
          </w:tcPr>
          <w:p>
            <w:pPr>
              <w:spacing w:after="40"/>
            </w:pPr>
            <w:r/>
            <w:r>
              <w:t>1</w:t>
            </w:r>
          </w:p>
        </w:tc>
        <w:tc>
          <w:tcPr>
            <w:tcW w:type="dxa" w:w="3744"/>
          </w:tcPr>
          <w:p>
            <w:pPr>
              <w:spacing w:after="40"/>
            </w:pPr>
            <w:r/>
            <w:r>
              <w:t>Tax-delinquent parcel at 1418</w:t>
            </w:r>
          </w:p>
        </w:tc>
      </w:tr>
      <w:tr>
        <w:tc>
          <w:tcPr>
            <w:tcW w:type="dxa" w:w="1008"/>
          </w:tcPr>
          <w:p>
            <w:pPr>
              <w:spacing w:after="40"/>
            </w:pPr>
            <w:r/>
            <w:r>
              <w:rPr>
                <w:b/>
              </w:rPr>
              <w:t>Total</w:t>
            </w:r>
          </w:p>
        </w:tc>
        <w:tc>
          <w:tcPr>
            <w:tcW w:type="dxa" w:w="2448"/>
          </w:tcPr>
          <w:p>
            <w:pPr>
              <w:spacing w:after="40"/>
            </w:pPr>
            <w:r/>
            <w:r>
              <w:rPr>
                <w:b/>
              </w:rPr>
              <w:t>43</w:t>
            </w:r>
          </w:p>
        </w:tc>
        <w:tc>
          <w:tcPr>
            <w:tcW w:type="dxa" w:w="1008"/>
          </w:tcPr>
          <w:p>
            <w:pPr>
              <w:spacing w:after="40"/>
            </w:pPr>
            <w:r/>
            <w:r>
              <w:rPr>
                <w:b/>
              </w:rPr>
              <w:t>12</w:t>
            </w:r>
          </w:p>
        </w:tc>
        <w:tc>
          <w:tcPr>
            <w:tcW w:type="dxa" w:w="1152"/>
          </w:tcPr>
          <w:p>
            <w:pPr>
              <w:spacing w:after="40"/>
            </w:pPr>
            <w:r/>
            <w:r>
              <w:rPr>
                <w:b/>
              </w:rPr>
              <w:t>3</w:t>
            </w:r>
          </w:p>
        </w:tc>
        <w:tc>
          <w:tcPr>
            <w:tcW w:type="dxa" w:w="3744"/>
          </w:tcPr>
          <w:p>
            <w:pPr>
              <w:spacing w:after="40"/>
            </w:pPr>
            <w:r/>
            <w:r>
              <w:rPr>
                <w:b/>
              </w:rPr>
              <w:t>28 percent ground-floor vacancy</w:t>
            </w:r>
          </w:p>
        </w:tc>
      </w:tr>
    </w:tbl>
    <w:p>
      <w:pPr>
        <w:spacing w:after="80"/>
      </w:pPr>
    </w:p>
    <w:p>
      <w:r>
        <w:t>Vacancy on the corridor was 19 percent when the CDC last counted it in 2021 and is 28 percent now. The three boarded storefronts are the visible part of the problem, and they sit at the two ends and the middle of the corridor rather than clustered, so the impression of decline reaches the whole six blocks.</w:t>
      </w:r>
    </w:p>
    <w:p>
      <w:pPr>
        <w:pStyle w:val="Heading2"/>
      </w:pPr>
      <w:r>
        <w:t>2.3 Who lives in the service area</w:t>
      </w:r>
    </w:p>
    <w:p>
      <w:r>
        <w:t>American Community Survey five-year estimates for the two tracts report median household incomes of $38,900 and $41,600 against $61,300 for Ashgrove as a whole (table B19013). Renter-occupied units are 61 percent of occupied housing in the combined tracts against 44 percent citywide (table B25003), and residential vacancy is 11 percent (table B25004). Fifty-four percent of households in the combined area are low- and moderate-income by the federal definition, which matters because the City's own funding round requires an area benefit above 51 percent.</w:t>
      </w:r>
    </w:p>
    <w:p>
      <w:pPr>
        <w:pStyle w:val="Caption"/>
      </w:pPr>
      <w:r>
        <w:t>Replace the figures above with your own tract numbers, the ACS table identifiers you actually pulled, and the vintage of the estimate. If you are applying through a CDBG round, use HUD's Low- and Moderate-Income Summary Data for the income test rather than raw ACS medians, because that is the dataset the jurisdiction will check against.</w:t>
      </w:r>
    </w:p>
    <w:p>
      <w:pPr>
        <w:pStyle w:val="Heading2"/>
      </w:pPr>
      <w:r>
        <w:t>2.4 What residents asked for</w:t>
      </w:r>
    </w:p>
    <w:p>
      <w:r>
        <w:t>In April the CDC knocked doors on the eight residential blocks adjacent to the corridor and collected 212 completed surveys, a 21 percent response rate against the 1,010 doors attempted. Respondents were asked to rank seven possible corridor improvements. The top three were storefront appearance and boarded windows at 68 percent, lighting and feeling safe walking after dark at 61 percent, and having somewhere to sit or wait for the bus at 44 percent. Parking ranked last at 9 percent, which is the finding that changed our project. An earlier draft of this work included a parking study.</w:t>
      </w:r>
    </w:p>
    <w:p>
      <w:r>
        <w:t>The same survey asked what people currently leave the neighborhood to buy. Groceries, pharmacy items and haircuts were the three most common answers, and two of the three are uses that could occupy a restored storefront on this corridor at the rents the market supports.</w:t>
      </w:r>
    </w:p>
    <w:p>
      <w:pPr>
        <w:pStyle w:val="Heading2"/>
      </w:pPr>
      <w:r>
        <w:t>2.5 What happens without the project</w:t>
      </w:r>
    </w:p>
    <w:p>
      <w:r>
        <w:t>Two of the three boarded storefronts are owned by people who live in Ashgrove and have told us directly that they will not put their own money into a building on a block that looks the way this one looks. That is the loop the project is built to break. Facade money is not decoration. It is the smallest intervention that changes an owner's arithmetic, and the four executed agreements attached to this proposal are evidence that it works on this corridor with these owners.</w:t>
      </w:r>
    </w:p>
    <w:p>
      <w:r>
        <w:t>The corridor also sits in the path of the 15th Street transit improvements the City has scheduled for the year after this grant period. Corridors adjacent to a transit investment tend to see rents move before they see tenants improve, which is why the facade agreements in this project carry a three-year rent restriction and why Section 10 addresses displacement directly rather than waiting for a reviewer to raise it.</w:t>
      </w:r>
    </w:p>
    <w:p>
      <w:pPr>
        <w:pStyle w:val="Heading1"/>
      </w:pPr>
      <w:r>
        <w:t>3. Project Description</w:t>
      </w:r>
    </w:p>
    <w:p>
      <w:pPr>
        <w:pStyle w:val="Caption"/>
      </w:pPr>
      <w:r>
        <w:t>About 900 words. Activity list, site control status parcel by parcel, permits, construction sequence. This is the section where a reviewer decides whether you have built anything before.</w:t>
      </w:r>
    </w:p>
    <w:p>
      <w:r>
        <w:t>The project has four activities running over eighteen months in three stages. Predevelopment runs months one through four, construction months five through fourteen, and closeout months fifteen through eighteen. No construction dollar moves before the environmental assessment and the boundary survey are in hand.</w:t>
      </w:r>
    </w:p>
    <w:p>
      <w:pPr>
        <w:pStyle w:val="Heading2"/>
      </w:pPr>
      <w:r>
        <w:t>3.1 Activity one: facade improvement subgrants</w:t>
      </w:r>
    </w:p>
    <w:p>
      <w:r>
        <w:t>Six storefronts receive facade subgrants of up to $7,000 each, for a total of $42,000. Eligible work is limited to the street-facing elevation and the elements a passer-by sees: storefront glazing and the removal of plywood, entry doors and hardware, signage and awnings, masonry repair and tuckpointing, exterior lighting, and painting. Interior work, roofs and mechanical systems are not eligible under this grant, and the proposal does not pretend otherwise.</w:t>
      </w:r>
    </w:p>
    <w:p>
      <w:r>
        <w:t>Each property owner contributes not less than $2,500 toward the work, so the six storefronts carry a combined investment of $57,000 against a $42,000 request. Each owner signs a facade agreement before design begins. That agreement contains a five-year maintenance covenant on the improved elevation, a three-year restriction on rent increases for the ground-floor tenant, and a right of entry for the CDC and its contractor. The steering committee sets the order in which the six projects proceed, and approves each design against written guidelines the committee itself adopts in month three.</w:t>
      </w:r>
    </w:p>
    <w:p>
      <w:r>
        <w:t>Work is bid competitively. The CDC solicits at least three quotes per storefront, contracts directly with the selected contractor, and pays on completed work verified by our project manager rather than reimbursing the owner. Holding the contract keeps quality and payment control with the CDC and keeps the subgrant from becoming a cash transfer.</w:t>
      </w:r>
    </w:p>
    <w:p>
      <w:pPr>
        <w:pStyle w:val="Heading2"/>
      </w:pPr>
      <w:r>
        <w:t>3.2 Activity two: streetscape</w:t>
      </w:r>
    </w:p>
    <w:p>
      <w:r>
        <w:t>The streetscape covers the same six blocks: twelve planters, eight pedestrian-scale light fixtures, and six benches, installed in the public right of way. Fixtures and furnishings match the standards in the City's own right-of-way manual, which is why the Department of Public Works agreed to install them with a city crew. The Department's letter, attached, authorizes the installation, waives permit fees, commits approximately one hundred hours of crew time, and states that the City will accept and thereafter maintain the lighting once it is energized and inspected.</w:t>
      </w:r>
    </w:p>
    <w:p>
      <w:r>
        <w:t>Placement follows the steering committee's walk of the corridor in month two. Lighting concentrates on the 1200 block, where the survey reported the sharpest drop in reported safety after dark, and benches go at the two bus stops and outside the corridor's two anchor businesses.</w:t>
      </w:r>
    </w:p>
    <w:p>
      <w:pPr>
        <w:pStyle w:val="Heading2"/>
      </w:pPr>
      <w:r>
        <w:t>3.3 Activity three: business technical assistance</w:t>
      </w:r>
    </w:p>
    <w:p>
      <w:r>
        <w:t>Two hundred contracted hours are delivered to corridor businesses across months five through seventeen, budgeted at $60 an hour. Scope is licensing and permits, bookkeeping setup, lease review before signature, and point-of-sale or basic digital presence work. We expect fourteen businesses to use the hours, with an average engagement of fourteen hours and a cap of twenty-five hours per business so the fund is not consumed by two clients. Businesses sign an engagement log recording hours and subject, which is also the evaluation instrument in Section 6.</w:t>
      </w:r>
    </w:p>
    <w:p>
      <w:r>
        <w:t>Lease review earns its place on that list. Four of the businesses on this corridor are operating on a handshake or on a lease their landlord's attorney wrote, and a tenant with no written renewal right is not a tenant a facade investment protects.</w:t>
      </w:r>
    </w:p>
    <w:p>
      <w:pPr>
        <w:pStyle w:val="Heading2"/>
      </w:pPr>
      <w:r>
        <w:t>3.4 Activity four: resident steering committee</w:t>
      </w:r>
    </w:p>
    <w:p>
      <w:r>
        <w:t>A steering committee of sixteen governs the project: twelve residents of the two census tracts and four corridor business owners. The committee meets monthly for eighteen months. Members receive a $50 stipend for each meeting attended, and the budget carries interpretation at every meeting and translation of every document members are asked to act on. Section 4 sets out how members are selected and what the committee actually decides.</w:t>
      </w:r>
    </w:p>
    <w:p>
      <w:pPr>
        <w:pStyle w:val="Heading2"/>
      </w:pPr>
      <w:r>
        <w:t>3.5 Site control, asset by asset</w:t>
      </w:r>
    </w:p>
    <w:p>
      <w:r>
        <w:t>Site control is stated here for every physical asset the grant touches. Where control is not documented, the asset is out of scope, and Section 3.6 names those buildings.</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tcPr>
          <w:p>
            <w:pPr>
              <w:spacing w:after="40"/>
            </w:pPr>
            <w:r/>
            <w:r>
              <w:rPr>
                <w:b/>
              </w:rPr>
              <w:t>Asset</w:t>
            </w:r>
          </w:p>
        </w:tc>
        <w:tc>
          <w:tcPr>
            <w:tcW w:type="dxa" w:w="1944"/>
          </w:tcPr>
          <w:p>
            <w:pPr>
              <w:spacing w:after="40"/>
            </w:pPr>
            <w:r/>
            <w:r>
              <w:rPr>
                <w:b/>
              </w:rPr>
              <w:t>Address</w:t>
            </w:r>
          </w:p>
        </w:tc>
        <w:tc>
          <w:tcPr>
            <w:tcW w:type="dxa" w:w="1872"/>
          </w:tcPr>
          <w:p>
            <w:pPr>
              <w:spacing w:after="40"/>
            </w:pPr>
            <w:r/>
            <w:r>
              <w:rPr>
                <w:b/>
              </w:rPr>
              <w:t>Form of control</w:t>
            </w:r>
          </w:p>
        </w:tc>
        <w:tc>
          <w:tcPr>
            <w:tcW w:type="dxa" w:w="2304"/>
          </w:tcPr>
          <w:p>
            <w:pPr>
              <w:spacing w:after="40"/>
            </w:pPr>
            <w:r/>
            <w:r>
              <w:rPr>
                <w:b/>
              </w:rPr>
              <w:t>Evidence</w:t>
            </w:r>
          </w:p>
        </w:tc>
        <w:tc>
          <w:tcPr>
            <w:tcW w:type="dxa" w:w="1368"/>
          </w:tcPr>
          <w:p>
            <w:pPr>
              <w:spacing w:after="40"/>
            </w:pPr>
            <w:r/>
            <w:r>
              <w:rPr>
                <w:b/>
              </w:rPr>
              <w:t>Status</w:t>
            </w:r>
          </w:p>
        </w:tc>
      </w:tr>
      <w:tr>
        <w:tc>
          <w:tcPr>
            <w:tcW w:type="dxa" w:w="1872"/>
          </w:tcPr>
          <w:p>
            <w:pPr>
              <w:spacing w:after="40"/>
            </w:pPr>
            <w:r/>
            <w:r>
              <w:t>Parcel A, one storefront</w:t>
            </w:r>
          </w:p>
        </w:tc>
        <w:tc>
          <w:tcPr>
            <w:tcW w:type="dxa" w:w="1944"/>
          </w:tcPr>
          <w:p>
            <w:pPr>
              <w:spacing w:after="40"/>
            </w:pPr>
            <w:r/>
            <w:r>
              <w:t>1042 Northgate Ave</w:t>
            </w:r>
          </w:p>
        </w:tc>
        <w:tc>
          <w:tcPr>
            <w:tcW w:type="dxa" w:w="1872"/>
          </w:tcPr>
          <w:p>
            <w:pPr>
              <w:spacing w:after="40"/>
            </w:pPr>
            <w:r/>
            <w:r>
              <w:t>Owned in fee</w:t>
            </w:r>
          </w:p>
        </w:tc>
        <w:tc>
          <w:tcPr>
            <w:tcW w:type="dxa" w:w="2304"/>
          </w:tcPr>
          <w:p>
            <w:pPr>
              <w:spacing w:after="40"/>
            </w:pPr>
            <w:r/>
            <w:r>
              <w:t>Recorded deed, 2019</w:t>
            </w:r>
          </w:p>
        </w:tc>
        <w:tc>
          <w:tcPr>
            <w:tcW w:type="dxa" w:w="1368"/>
          </w:tcPr>
          <w:p>
            <w:pPr>
              <w:spacing w:after="40"/>
            </w:pPr>
            <w:r/>
            <w:r>
              <w:t>Complete</w:t>
            </w:r>
          </w:p>
        </w:tc>
      </w:tr>
      <w:tr>
        <w:tc>
          <w:tcPr>
            <w:tcW w:type="dxa" w:w="1872"/>
          </w:tcPr>
          <w:p>
            <w:pPr>
              <w:spacing w:after="40"/>
            </w:pPr>
            <w:r/>
            <w:r>
              <w:t>Parcel B, one storefront</w:t>
            </w:r>
          </w:p>
        </w:tc>
        <w:tc>
          <w:tcPr>
            <w:tcW w:type="dxa" w:w="1944"/>
          </w:tcPr>
          <w:p>
            <w:pPr>
              <w:spacing w:after="40"/>
            </w:pPr>
            <w:r/>
            <w:r>
              <w:t>1118 Northgate Ave</w:t>
            </w:r>
          </w:p>
        </w:tc>
        <w:tc>
          <w:tcPr>
            <w:tcW w:type="dxa" w:w="1872"/>
          </w:tcPr>
          <w:p>
            <w:pPr>
              <w:spacing w:after="40"/>
            </w:pPr>
            <w:r/>
            <w:r>
              <w:t>Owned in fee</w:t>
            </w:r>
          </w:p>
        </w:tc>
        <w:tc>
          <w:tcPr>
            <w:tcW w:type="dxa" w:w="2304"/>
          </w:tcPr>
          <w:p>
            <w:pPr>
              <w:spacing w:after="40"/>
            </w:pPr>
            <w:r/>
            <w:r>
              <w:t>Recorded deed, 2022</w:t>
            </w:r>
          </w:p>
        </w:tc>
        <w:tc>
          <w:tcPr>
            <w:tcW w:type="dxa" w:w="1368"/>
          </w:tcPr>
          <w:p>
            <w:pPr>
              <w:spacing w:after="40"/>
            </w:pPr>
            <w:r/>
            <w:r>
              <w:t>Complete</w:t>
            </w:r>
          </w:p>
        </w:tc>
      </w:tr>
      <w:tr>
        <w:tc>
          <w:tcPr>
            <w:tcW w:type="dxa" w:w="1872"/>
          </w:tcPr>
          <w:p>
            <w:pPr>
              <w:spacing w:after="40"/>
            </w:pPr>
            <w:r/>
            <w:r>
              <w:t>Storefront 3</w:t>
            </w:r>
          </w:p>
        </w:tc>
        <w:tc>
          <w:tcPr>
            <w:tcW w:type="dxa" w:w="1944"/>
          </w:tcPr>
          <w:p>
            <w:pPr>
              <w:spacing w:after="40"/>
            </w:pPr>
            <w:r/>
            <w:r>
              <w:t>918 Northgate Ave</w:t>
            </w:r>
          </w:p>
        </w:tc>
        <w:tc>
          <w:tcPr>
            <w:tcW w:type="dxa" w:w="1872"/>
          </w:tcPr>
          <w:p>
            <w:pPr>
              <w:spacing w:after="40"/>
            </w:pPr>
            <w:r/>
            <w:r>
              <w:t>Owner facade agreement</w:t>
            </w:r>
          </w:p>
        </w:tc>
        <w:tc>
          <w:tcPr>
            <w:tcW w:type="dxa" w:w="2304"/>
          </w:tcPr>
          <w:p>
            <w:pPr>
              <w:spacing w:after="40"/>
            </w:pPr>
            <w:r/>
            <w:r>
              <w:t>Executed agreement [date]</w:t>
            </w:r>
          </w:p>
        </w:tc>
        <w:tc>
          <w:tcPr>
            <w:tcW w:type="dxa" w:w="1368"/>
          </w:tcPr>
          <w:p>
            <w:pPr>
              <w:spacing w:after="40"/>
            </w:pPr>
            <w:r/>
            <w:r>
              <w:t>Executed</w:t>
            </w:r>
          </w:p>
        </w:tc>
      </w:tr>
      <w:tr>
        <w:tc>
          <w:tcPr>
            <w:tcW w:type="dxa" w:w="1872"/>
          </w:tcPr>
          <w:p>
            <w:pPr>
              <w:spacing w:after="40"/>
            </w:pPr>
            <w:r/>
            <w:r>
              <w:t>Storefront 4</w:t>
            </w:r>
          </w:p>
        </w:tc>
        <w:tc>
          <w:tcPr>
            <w:tcW w:type="dxa" w:w="1944"/>
          </w:tcPr>
          <w:p>
            <w:pPr>
              <w:spacing w:after="40"/>
            </w:pPr>
            <w:r/>
            <w:r>
              <w:t>1006 Northgate Ave</w:t>
            </w:r>
          </w:p>
        </w:tc>
        <w:tc>
          <w:tcPr>
            <w:tcW w:type="dxa" w:w="1872"/>
          </w:tcPr>
          <w:p>
            <w:pPr>
              <w:spacing w:after="40"/>
            </w:pPr>
            <w:r/>
            <w:r>
              <w:t>Owner facade agreement</w:t>
            </w:r>
          </w:p>
        </w:tc>
        <w:tc>
          <w:tcPr>
            <w:tcW w:type="dxa" w:w="2304"/>
          </w:tcPr>
          <w:p>
            <w:pPr>
              <w:spacing w:after="40"/>
            </w:pPr>
            <w:r/>
            <w:r>
              <w:t>Executed agreement [date]</w:t>
            </w:r>
          </w:p>
        </w:tc>
        <w:tc>
          <w:tcPr>
            <w:tcW w:type="dxa" w:w="1368"/>
          </w:tcPr>
          <w:p>
            <w:pPr>
              <w:spacing w:after="40"/>
            </w:pPr>
            <w:r/>
            <w:r>
              <w:t>Executed</w:t>
            </w:r>
          </w:p>
        </w:tc>
      </w:tr>
      <w:tr>
        <w:tc>
          <w:tcPr>
            <w:tcW w:type="dxa" w:w="1872"/>
          </w:tcPr>
          <w:p>
            <w:pPr>
              <w:spacing w:after="40"/>
            </w:pPr>
            <w:r/>
            <w:r>
              <w:t>Storefront 5</w:t>
            </w:r>
          </w:p>
        </w:tc>
        <w:tc>
          <w:tcPr>
            <w:tcW w:type="dxa" w:w="1944"/>
          </w:tcPr>
          <w:p>
            <w:pPr>
              <w:spacing w:after="40"/>
            </w:pPr>
            <w:r/>
            <w:r>
              <w:t>1211 Northgate Ave</w:t>
            </w:r>
          </w:p>
        </w:tc>
        <w:tc>
          <w:tcPr>
            <w:tcW w:type="dxa" w:w="1872"/>
          </w:tcPr>
          <w:p>
            <w:pPr>
              <w:spacing w:after="40"/>
            </w:pPr>
            <w:r/>
            <w:r>
              <w:t>Owner facade agreement</w:t>
            </w:r>
          </w:p>
        </w:tc>
        <w:tc>
          <w:tcPr>
            <w:tcW w:type="dxa" w:w="2304"/>
          </w:tcPr>
          <w:p>
            <w:pPr>
              <w:spacing w:after="40"/>
            </w:pPr>
            <w:r/>
            <w:r>
              <w:t>Executed agreement [date]</w:t>
            </w:r>
          </w:p>
        </w:tc>
        <w:tc>
          <w:tcPr>
            <w:tcW w:type="dxa" w:w="1368"/>
          </w:tcPr>
          <w:p>
            <w:pPr>
              <w:spacing w:after="40"/>
            </w:pPr>
            <w:r/>
            <w:r>
              <w:t>Executed</w:t>
            </w:r>
          </w:p>
        </w:tc>
      </w:tr>
      <w:tr>
        <w:tc>
          <w:tcPr>
            <w:tcW w:type="dxa" w:w="1872"/>
          </w:tcPr>
          <w:p>
            <w:pPr>
              <w:spacing w:after="40"/>
            </w:pPr>
            <w:r/>
            <w:r>
              <w:t>Storefront 6</w:t>
            </w:r>
          </w:p>
        </w:tc>
        <w:tc>
          <w:tcPr>
            <w:tcW w:type="dxa" w:w="1944"/>
          </w:tcPr>
          <w:p>
            <w:pPr>
              <w:spacing w:after="40"/>
            </w:pPr>
            <w:r/>
            <w:r>
              <w:t>1350 Northgate Ave</w:t>
            </w:r>
          </w:p>
        </w:tc>
        <w:tc>
          <w:tcPr>
            <w:tcW w:type="dxa" w:w="1872"/>
          </w:tcPr>
          <w:p>
            <w:pPr>
              <w:spacing w:after="40"/>
            </w:pPr>
            <w:r/>
            <w:r>
              <w:t>Owner facade agreement</w:t>
            </w:r>
          </w:p>
        </w:tc>
        <w:tc>
          <w:tcPr>
            <w:tcW w:type="dxa" w:w="2304"/>
          </w:tcPr>
          <w:p>
            <w:pPr>
              <w:spacing w:after="40"/>
            </w:pPr>
            <w:r/>
            <w:r>
              <w:t>Executed agreement [date]</w:t>
            </w:r>
          </w:p>
        </w:tc>
        <w:tc>
          <w:tcPr>
            <w:tcW w:type="dxa" w:w="1368"/>
          </w:tcPr>
          <w:p>
            <w:pPr>
              <w:spacing w:after="40"/>
            </w:pPr>
            <w:r/>
            <w:r>
              <w:t>Executed</w:t>
            </w:r>
          </w:p>
        </w:tc>
      </w:tr>
      <w:tr>
        <w:tc>
          <w:tcPr>
            <w:tcW w:type="dxa" w:w="1872"/>
          </w:tcPr>
          <w:p>
            <w:pPr>
              <w:spacing w:after="40"/>
            </w:pPr>
            <w:r/>
            <w:r>
              <w:t>Public right of way</w:t>
            </w:r>
          </w:p>
        </w:tc>
        <w:tc>
          <w:tcPr>
            <w:tcW w:type="dxa" w:w="1944"/>
          </w:tcPr>
          <w:p>
            <w:pPr>
              <w:spacing w:after="40"/>
            </w:pPr>
            <w:r/>
            <w:r>
              <w:t>900 to 1400 blocks</w:t>
            </w:r>
          </w:p>
        </w:tc>
        <w:tc>
          <w:tcPr>
            <w:tcW w:type="dxa" w:w="1872"/>
          </w:tcPr>
          <w:p>
            <w:pPr>
              <w:spacing w:after="40"/>
            </w:pPr>
            <w:r/>
            <w:r>
              <w:t>Municipal consent</w:t>
            </w:r>
          </w:p>
        </w:tc>
        <w:tc>
          <w:tcPr>
            <w:tcW w:type="dxa" w:w="2304"/>
          </w:tcPr>
          <w:p>
            <w:pPr>
              <w:spacing w:after="40"/>
            </w:pPr>
            <w:r/>
            <w:r>
              <w:t>DPW letter [date], with acceptance clause</w:t>
            </w:r>
          </w:p>
        </w:tc>
        <w:tc>
          <w:tcPr>
            <w:tcW w:type="dxa" w:w="1368"/>
          </w:tcPr>
          <w:p>
            <w:pPr>
              <w:spacing w:after="40"/>
            </w:pPr>
            <w:r/>
            <w:r>
              <w:t>Received</w:t>
            </w:r>
          </w:p>
        </w:tc>
      </w:tr>
    </w:tbl>
    <w:p>
      <w:pPr>
        <w:spacing w:after="80"/>
      </w:pPr>
    </w:p>
    <w:p>
      <w:pPr>
        <w:pStyle w:val="Heading2"/>
      </w:pPr>
      <w:r>
        <w:t>3.6 What is out of scope, and why</w:t>
      </w:r>
    </w:p>
    <w:p>
      <w:r>
        <w:t>Two corridor buildings are excluded from this request. The boarded storefront at 1206 Northgate Avenue is held by an out-of-state owner who has not responded to four written contacts, and we will not budget work on a building we cannot get into. The building at 1418 Northgate Avenue is tax delinquent and in the county's collection process, and its title will not be clear inside this grant period. Both remain CDC priorities and both are excluded from this budget. Naming them is more persuasive than a proposal that quietly counts forty-three storefronts and hopes no one walks the block. Of the three boarded storefronts on the corridor, only 918 Northgate Avenue is inside this request, under an executed facade agreement, which is why the boarded-storefront target is two or fewer rather than one.</w:t>
      </w:r>
    </w:p>
    <w:p>
      <w:pPr>
        <w:pStyle w:val="Heading2"/>
      </w:pPr>
      <w:r>
        <w:t>3.7 Eighteen-month schedule</w:t>
      </w:r>
    </w:p>
    <w:tbl>
      <w:tblPr>
        <w:tblStyle w:val="TableGrid"/>
        <w:tblW w:type="auto" w:w="0"/>
        <w:jc w:val="center"/>
        <w:tblLook w:firstColumn="1" w:firstRow="1" w:lastColumn="0" w:lastRow="0" w:noHBand="0" w:noVBand="1" w:val="04A0"/>
      </w:tblPr>
      <w:tblGrid>
        <w:gridCol w:w="3120"/>
        <w:gridCol w:w="3120"/>
        <w:gridCol w:w="3120"/>
      </w:tblGrid>
      <w:tr>
        <w:tc>
          <w:tcPr>
            <w:tcW w:type="dxa" w:w="1656"/>
          </w:tcPr>
          <w:p>
            <w:pPr>
              <w:spacing w:after="40"/>
            </w:pPr>
            <w:r/>
            <w:r>
              <w:rPr>
                <w:b/>
              </w:rPr>
              <w:t>Stage</w:t>
            </w:r>
          </w:p>
        </w:tc>
        <w:tc>
          <w:tcPr>
            <w:tcW w:type="dxa" w:w="1152"/>
          </w:tcPr>
          <w:p>
            <w:pPr>
              <w:spacing w:after="40"/>
            </w:pPr>
            <w:r/>
            <w:r>
              <w:rPr>
                <w:b/>
              </w:rPr>
              <w:t>Months</w:t>
            </w:r>
          </w:p>
        </w:tc>
        <w:tc>
          <w:tcPr>
            <w:tcW w:type="dxa" w:w="6552"/>
          </w:tcPr>
          <w:p>
            <w:pPr>
              <w:spacing w:after="40"/>
            </w:pPr>
            <w:r/>
            <w:r>
              <w:rPr>
                <w:b/>
              </w:rPr>
              <w:t>Milestones</w:t>
            </w:r>
          </w:p>
        </w:tc>
      </w:tr>
      <w:tr>
        <w:tc>
          <w:tcPr>
            <w:tcW w:type="dxa" w:w="1656"/>
          </w:tcPr>
          <w:p>
            <w:pPr>
              <w:spacing w:after="40"/>
            </w:pPr>
            <w:r/>
            <w:r>
              <w:t>Predevelopment</w:t>
            </w:r>
          </w:p>
        </w:tc>
        <w:tc>
          <w:tcPr>
            <w:tcW w:type="dxa" w:w="1152"/>
          </w:tcPr>
          <w:p>
            <w:pPr>
              <w:spacing w:after="40"/>
            </w:pPr>
            <w:r/>
            <w:r>
              <w:t>1 to 4</w:t>
            </w:r>
          </w:p>
        </w:tc>
        <w:tc>
          <w:tcPr>
            <w:tcW w:type="dxa" w:w="6552"/>
          </w:tcPr>
          <w:p>
            <w:pPr>
              <w:spacing w:after="40"/>
            </w:pPr>
            <w:r/>
            <w:r>
              <w:t>Steering committee seated and trained (m1); baseline vacancy walk and intercept survey (m1); Phase I environmental site assessment ordered on both CDC parcels (m1); boundary survey ordered (m2); committee walk and streetscape placement plan (m2); facade design guidelines adopted (m3); assessment and survey results reviewed (m4); facade priority order set and six projects scoped (m4)</w:t>
            </w:r>
          </w:p>
        </w:tc>
      </w:tr>
      <w:tr>
        <w:tc>
          <w:tcPr>
            <w:tcW w:type="dxa" w:w="1656"/>
          </w:tcPr>
          <w:p>
            <w:pPr>
              <w:spacing w:after="40"/>
            </w:pPr>
            <w:r/>
            <w:r>
              <w:t>Construction</w:t>
            </w:r>
          </w:p>
        </w:tc>
        <w:tc>
          <w:tcPr>
            <w:tcW w:type="dxa" w:w="1152"/>
          </w:tcPr>
          <w:p>
            <w:pPr>
              <w:spacing w:after="40"/>
            </w:pPr>
            <w:r/>
            <w:r>
              <w:t>5 to 14</w:t>
            </w:r>
          </w:p>
        </w:tc>
        <w:tc>
          <w:tcPr>
            <w:tcW w:type="dxa" w:w="6552"/>
          </w:tcPr>
          <w:p>
            <w:pPr>
              <w:spacing w:after="40"/>
            </w:pPr>
            <w:r/>
            <w:r>
              <w:t>Facade work bid and contracts awarded (m5); technical assistance engagements begin (m5); first three facades under construction (m6 to m9); streetscape materials ordered (m6); DPW installation window (m8 to m10); mid-point vacancy walk (m9); second three facades under construction (m10 to m13); punch list on first three facades (m11); repeat intercept survey, same season as the baseline (m13)</w:t>
            </w:r>
          </w:p>
        </w:tc>
      </w:tr>
      <w:tr>
        <w:tc>
          <w:tcPr>
            <w:tcW w:type="dxa" w:w="1656"/>
          </w:tcPr>
          <w:p>
            <w:pPr>
              <w:spacing w:after="40"/>
            </w:pPr>
            <w:r/>
            <w:r>
              <w:t>Closeout</w:t>
            </w:r>
          </w:p>
        </w:tc>
        <w:tc>
          <w:tcPr>
            <w:tcW w:type="dxa" w:w="1152"/>
          </w:tcPr>
          <w:p>
            <w:pPr>
              <w:spacing w:after="40"/>
            </w:pPr>
            <w:r/>
            <w:r>
              <w:t>15 to 18</w:t>
            </w:r>
          </w:p>
        </w:tc>
        <w:tc>
          <w:tcPr>
            <w:tcW w:type="dxa" w:w="6552"/>
          </w:tcPr>
          <w:p>
            <w:pPr>
              <w:spacing w:after="40"/>
            </w:pPr>
            <w:r/>
            <w:r>
              <w:t>Final inspections on all six facades (m15); lighting energized, inspected and accepted by the City (m15); maintenance handover meeting with the business association (m16); closing vacancy walk (m17); employer headcount collection (m17); final financial and narrative report (m18)</w:t>
            </w:r>
          </w:p>
        </w:tc>
      </w:tr>
    </w:tbl>
    <w:p>
      <w:pPr>
        <w:spacing w:after="80"/>
      </w:pPr>
    </w:p>
    <w:p>
      <w:r>
        <w:t>The sequence is the argument. The environmental assessment and the survey clear in month four, before the first construction contract is signed in month five. Facade work is split into two waves so that lessons from the first three storefronts reach the second three, and so a contractor delay on one building does not stall the corridor. The streetscape installation window sits inside the city crew's warm-weather schedule, and closeout leaves three months for inspections, acceptance and the final count.</w:t>
      </w:r>
    </w:p>
    <w:p>
      <w:pPr>
        <w:pStyle w:val="Heading1"/>
      </w:pPr>
      <w:r>
        <w:t>4. Community Engagement Plan</w:t>
      </w:r>
    </w:p>
    <w:p>
      <w:pPr>
        <w:pStyle w:val="Caption"/>
      </w:pPr>
      <w:r>
        <w:t>About 400 words. Composition, cadence, translation, and decision rights. A committee that advises is not the same as a committee that decides, and reviewers can tell which one you mean.</w:t>
      </w:r>
    </w:p>
    <w:p>
      <w:r>
        <w:t>The steering committee has sixteen seats: twelve for residents of the two census tracts and four for business owners operating on the corridor. Resident seats were filled from the door-knock survey, where 47 respondents asked to be contacted, and from two open meetings held at a partner congregation on the 1200 block. Seats are for the life of the project, with a mid-point refresh in month nine to replace anyone who has stopped attending. Address verification at intake confirms that resident members live inside the boundary, and we report that number every quarter.</w:t>
      </w:r>
    </w:p>
    <w:p>
      <w:r>
        <w:t>The committee meets monthly, on a weeknight evening, in the same room each time, with childcare and food provided and a $50 stipend paid at the meeting. Paying stipends is a deliberate design choice. An unpaid advisory committee selects for people who can afford to spend an evening a month on it, and that is not the corridor's population. Live interpretation is provided at every meeting, and any document members are asked to vote on is translated and distributed at least five days ahead of the vote rather than handed out at the table.</w:t>
      </w:r>
    </w:p>
    <w:p>
      <w:r>
        <w:t>Decision rights are written down in the committee charter and are not advisory. The committee sets the priority order of the six facade projects. The committee adopts the facade design guidelines and approves each individual design before it goes to bid. The committee approves the streetscape placement plan, including where each bench and light goes. The committee reviews project spending against budget at the quarterly meetings and receives the same financial report the board receives.</w:t>
      </w:r>
    </w:p>
    <w:p>
      <w:r>
        <w:t>Four things sit outside the committee's authority, and the charter says so plainly: contractor selection, which follows the CDC's procurement policy on competitive quotes; anything that would breach a facade agreement or the city right-of-way letter; the CDC's own personnel decisions; and any change that would put the project outside the scope funded by this grant, which requires the funder's written approval first. Being clear about the limits is what makes the rest of the list credible.</w:t>
      </w:r>
    </w:p>
    <w:p>
      <w:r>
        <w:t>Two committee members sit on the CDC board as full voting directors, which is how committee decisions reach governance rather than stopping at staff. Both recuse themselves from any board vote touching their own property or business, under the conflict of interest policy attached.</w:t>
      </w:r>
    </w:p>
    <w:p>
      <w:pPr>
        <w:pStyle w:val="Heading1"/>
      </w:pPr>
      <w:r>
        <w:t>5. Goals and Outcome Measures</w:t>
      </w:r>
    </w:p>
    <w:p>
      <w:pPr>
        <w:pStyle w:val="Caption"/>
      </w:pPr>
      <w:r>
        <w:t>About 500 words. Neighborhood-level indicators, each with a baseline. Pick fewer measures than you think you need and collect the baseline before the first invoice.</w:t>
      </w:r>
    </w:p>
    <w:p>
      <w:r>
        <w:t>Goal one: reduce ground-floor vacancy on the six-block corridor and return boarded storefronts to leasable condition. Goal two: strengthen the businesses already operating on the corridor so that improvement holds after the grant closes. Goal three: build a resident and business body with standing to steer corridor investment beyond this project.</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664"/>
          </w:tcPr>
          <w:p>
            <w:pPr>
              <w:spacing w:after="40"/>
            </w:pPr>
            <w:r/>
            <w:r>
              <w:rPr>
                <w:b/>
              </w:rPr>
              <w:t>Measure</w:t>
            </w:r>
          </w:p>
        </w:tc>
        <w:tc>
          <w:tcPr>
            <w:tcW w:type="dxa" w:w="2520"/>
          </w:tcPr>
          <w:p>
            <w:pPr>
              <w:spacing w:after="40"/>
            </w:pPr>
            <w:r/>
            <w:r>
              <w:rPr>
                <w:b/>
              </w:rPr>
              <w:t>Baseline</w:t>
            </w:r>
          </w:p>
        </w:tc>
        <w:tc>
          <w:tcPr>
            <w:tcW w:type="dxa" w:w="2160"/>
          </w:tcPr>
          <w:p>
            <w:pPr>
              <w:spacing w:after="40"/>
            </w:pPr>
            <w:r/>
            <w:r>
              <w:rPr>
                <w:b/>
              </w:rPr>
              <w:t>Target at month 18</w:t>
            </w:r>
          </w:p>
        </w:tc>
        <w:tc>
          <w:tcPr>
            <w:tcW w:type="dxa" w:w="2016"/>
          </w:tcPr>
          <w:p>
            <w:pPr>
              <w:spacing w:after="40"/>
            </w:pPr>
            <w:r/>
            <w:r>
              <w:rPr>
                <w:b/>
              </w:rPr>
              <w:t>Source</w:t>
            </w:r>
          </w:p>
        </w:tc>
      </w:tr>
      <w:tr>
        <w:tc>
          <w:tcPr>
            <w:tcW w:type="dxa" w:w="2664"/>
          </w:tcPr>
          <w:p>
            <w:pPr>
              <w:spacing w:after="40"/>
            </w:pPr>
            <w:r/>
            <w:r>
              <w:t>Ground-floor vacancy rate, six blocks</w:t>
            </w:r>
          </w:p>
        </w:tc>
        <w:tc>
          <w:tcPr>
            <w:tcW w:type="dxa" w:w="2520"/>
          </w:tcPr>
          <w:p>
            <w:pPr>
              <w:spacing w:after="40"/>
            </w:pPr>
            <w:r/>
            <w:r>
              <w:t>28 percent, 12 of 43, March and June 2026</w:t>
            </w:r>
          </w:p>
        </w:tc>
        <w:tc>
          <w:tcPr>
            <w:tcW w:type="dxa" w:w="2160"/>
          </w:tcPr>
          <w:p>
            <w:pPr>
              <w:spacing w:after="40"/>
            </w:pPr>
            <w:r/>
            <w:r>
              <w:t>No more than 19 percent, 8 of 43</w:t>
            </w:r>
          </w:p>
        </w:tc>
        <w:tc>
          <w:tcPr>
            <w:tcW w:type="dxa" w:w="2016"/>
          </w:tcPr>
          <w:p>
            <w:pPr>
              <w:spacing w:after="40"/>
            </w:pPr>
            <w:r/>
            <w:r>
              <w:t>Walk-and-count, twice yearly</w:t>
            </w:r>
          </w:p>
        </w:tc>
      </w:tr>
      <w:tr>
        <w:tc>
          <w:tcPr>
            <w:tcW w:type="dxa" w:w="2664"/>
          </w:tcPr>
          <w:p>
            <w:pPr>
              <w:spacing w:after="40"/>
            </w:pPr>
            <w:r/>
            <w:r>
              <w:t>Storefronts improved to completion</w:t>
            </w:r>
          </w:p>
        </w:tc>
        <w:tc>
          <w:tcPr>
            <w:tcW w:type="dxa" w:w="2520"/>
          </w:tcPr>
          <w:p>
            <w:pPr>
              <w:spacing w:after="40"/>
            </w:pPr>
            <w:r/>
            <w:r>
              <w:t>0</w:t>
            </w:r>
          </w:p>
        </w:tc>
        <w:tc>
          <w:tcPr>
            <w:tcW w:type="dxa" w:w="2160"/>
          </w:tcPr>
          <w:p>
            <w:pPr>
              <w:spacing w:after="40"/>
            </w:pPr>
            <w:r/>
            <w:r>
              <w:t>6 with final inspection passed</w:t>
            </w:r>
          </w:p>
        </w:tc>
        <w:tc>
          <w:tcPr>
            <w:tcW w:type="dxa" w:w="2016"/>
          </w:tcPr>
          <w:p>
            <w:pPr>
              <w:spacing w:after="40"/>
            </w:pPr>
            <w:r/>
            <w:r>
              <w:t>Contractor closeout and inspection file</w:t>
            </w:r>
          </w:p>
        </w:tc>
      </w:tr>
      <w:tr>
        <w:tc>
          <w:tcPr>
            <w:tcW w:type="dxa" w:w="2664"/>
          </w:tcPr>
          <w:p>
            <w:pPr>
              <w:spacing w:after="40"/>
            </w:pPr>
            <w:r/>
            <w:r>
              <w:t>Boarded storefronts on the corridor</w:t>
            </w:r>
          </w:p>
        </w:tc>
        <w:tc>
          <w:tcPr>
            <w:tcW w:type="dxa" w:w="2520"/>
          </w:tcPr>
          <w:p>
            <w:pPr>
              <w:spacing w:after="40"/>
            </w:pPr>
            <w:r/>
            <w:r>
              <w:t>3</w:t>
            </w:r>
          </w:p>
        </w:tc>
        <w:tc>
          <w:tcPr>
            <w:tcW w:type="dxa" w:w="2160"/>
          </w:tcPr>
          <w:p>
            <w:pPr>
              <w:spacing w:after="40"/>
            </w:pPr>
            <w:r/>
            <w:r>
              <w:t>2 or fewer</w:t>
            </w:r>
          </w:p>
        </w:tc>
        <w:tc>
          <w:tcPr>
            <w:tcW w:type="dxa" w:w="2016"/>
          </w:tcPr>
          <w:p>
            <w:pPr>
              <w:spacing w:after="40"/>
            </w:pPr>
            <w:r/>
            <w:r>
              <w:t>Walk-and-count</w:t>
            </w:r>
          </w:p>
        </w:tc>
      </w:tr>
      <w:tr>
        <w:tc>
          <w:tcPr>
            <w:tcW w:type="dxa" w:w="2664"/>
          </w:tcPr>
          <w:p>
            <w:pPr>
              <w:spacing w:after="40"/>
            </w:pPr>
            <w:r/>
            <w:r>
              <w:t>Businesses receiving technical assistance</w:t>
            </w:r>
          </w:p>
        </w:tc>
        <w:tc>
          <w:tcPr>
            <w:tcW w:type="dxa" w:w="2520"/>
          </w:tcPr>
          <w:p>
            <w:pPr>
              <w:spacing w:after="40"/>
            </w:pPr>
            <w:r/>
            <w:r>
              <w:t>0</w:t>
            </w:r>
          </w:p>
        </w:tc>
        <w:tc>
          <w:tcPr>
            <w:tcW w:type="dxa" w:w="2160"/>
          </w:tcPr>
          <w:p>
            <w:pPr>
              <w:spacing w:after="40"/>
            </w:pPr>
            <w:r/>
            <w:r>
              <w:t>14 businesses, 200 hours delivered</w:t>
            </w:r>
          </w:p>
        </w:tc>
        <w:tc>
          <w:tcPr>
            <w:tcW w:type="dxa" w:w="2016"/>
          </w:tcPr>
          <w:p>
            <w:pPr>
              <w:spacing w:after="40"/>
            </w:pPr>
            <w:r/>
            <w:r>
              <w:t>Signed engagement logs</w:t>
            </w:r>
          </w:p>
        </w:tc>
      </w:tr>
      <w:tr>
        <w:tc>
          <w:tcPr>
            <w:tcW w:type="dxa" w:w="2664"/>
          </w:tcPr>
          <w:p>
            <w:pPr>
              <w:spacing w:after="40"/>
            </w:pPr>
            <w:r/>
            <w:r>
              <w:t>Jobs created or retained on the corridor</w:t>
            </w:r>
          </w:p>
        </w:tc>
        <w:tc>
          <w:tcPr>
            <w:tcW w:type="dxa" w:w="2520"/>
          </w:tcPr>
          <w:p>
            <w:pPr>
              <w:spacing w:after="40"/>
            </w:pPr>
            <w:r/>
            <w:r>
              <w:t>96 across 31 operating businesses, June 2026</w:t>
            </w:r>
          </w:p>
        </w:tc>
        <w:tc>
          <w:tcPr>
            <w:tcW w:type="dxa" w:w="2160"/>
          </w:tcPr>
          <w:p>
            <w:pPr>
              <w:spacing w:after="40"/>
            </w:pPr>
            <w:r/>
            <w:r>
              <w:t>12 net created or retained</w:t>
            </w:r>
          </w:p>
        </w:tc>
        <w:tc>
          <w:tcPr>
            <w:tcW w:type="dxa" w:w="2016"/>
          </w:tcPr>
          <w:p>
            <w:pPr>
              <w:spacing w:after="40"/>
            </w:pPr>
            <w:r/>
            <w:r>
              <w:t>Employer-reported headcount at months 6 and 18</w:t>
            </w:r>
          </w:p>
        </w:tc>
      </w:tr>
      <w:tr>
        <w:tc>
          <w:tcPr>
            <w:tcW w:type="dxa" w:w="2664"/>
          </w:tcPr>
          <w:p>
            <w:pPr>
              <w:spacing w:after="40"/>
            </w:pPr>
            <w:r/>
            <w:r>
              <w:t>Steering committee members living in the two tracts</w:t>
            </w:r>
          </w:p>
        </w:tc>
        <w:tc>
          <w:tcPr>
            <w:tcW w:type="dxa" w:w="2520"/>
          </w:tcPr>
          <w:p>
            <w:pPr>
              <w:spacing w:after="40"/>
            </w:pPr>
            <w:r/>
            <w:r>
              <w:t>Not applicable at start</w:t>
            </w:r>
          </w:p>
        </w:tc>
        <w:tc>
          <w:tcPr>
            <w:tcW w:type="dxa" w:w="2160"/>
          </w:tcPr>
          <w:p>
            <w:pPr>
              <w:spacing w:after="40"/>
            </w:pPr>
            <w:r/>
            <w:r>
              <w:t>12 or more of 16 at every quarter</w:t>
            </w:r>
          </w:p>
        </w:tc>
        <w:tc>
          <w:tcPr>
            <w:tcW w:type="dxa" w:w="2016"/>
          </w:tcPr>
          <w:p>
            <w:pPr>
              <w:spacing w:after="40"/>
            </w:pPr>
            <w:r/>
            <w:r>
              <w:t>Address verification at intake</w:t>
            </w:r>
          </w:p>
        </w:tc>
      </w:tr>
      <w:tr>
        <w:tc>
          <w:tcPr>
            <w:tcW w:type="dxa" w:w="2664"/>
          </w:tcPr>
          <w:p>
            <w:pPr>
              <w:spacing w:after="40"/>
            </w:pPr>
            <w:r/>
            <w:r>
              <w:t>Business association paid membership</w:t>
            </w:r>
          </w:p>
        </w:tc>
        <w:tc>
          <w:tcPr>
            <w:tcW w:type="dxa" w:w="2520"/>
          </w:tcPr>
          <w:p>
            <w:pPr>
              <w:spacing w:after="40"/>
            </w:pPr>
            <w:r/>
            <w:r>
              <w:t>9 paid members</w:t>
            </w:r>
          </w:p>
        </w:tc>
        <w:tc>
          <w:tcPr>
            <w:tcW w:type="dxa" w:w="2160"/>
          </w:tcPr>
          <w:p>
            <w:pPr>
              <w:spacing w:after="40"/>
            </w:pPr>
            <w:r/>
            <w:r>
              <w:t>20 paid members</w:t>
            </w:r>
          </w:p>
        </w:tc>
        <w:tc>
          <w:tcPr>
            <w:tcW w:type="dxa" w:w="2016"/>
          </w:tcPr>
          <w:p>
            <w:pPr>
              <w:spacing w:after="40"/>
            </w:pPr>
            <w:r/>
            <w:r>
              <w:t>Association roster and dues record</w:t>
            </w:r>
          </w:p>
        </w:tc>
      </w:tr>
      <w:tr>
        <w:tc>
          <w:tcPr>
            <w:tcW w:type="dxa" w:w="2664"/>
          </w:tcPr>
          <w:p>
            <w:pPr>
              <w:spacing w:after="40"/>
            </w:pPr>
            <w:r/>
            <w:r>
              <w:t>Reported sense of safety after dark</w:t>
            </w:r>
          </w:p>
        </w:tc>
        <w:tc>
          <w:tcPr>
            <w:tcW w:type="dxa" w:w="2520"/>
          </w:tcPr>
          <w:p>
            <w:pPr>
              <w:spacing w:after="40"/>
            </w:pPr>
            <w:r/>
            <w:r>
              <w:t>34 percent of respondents, n=120, June 2026</w:t>
            </w:r>
          </w:p>
        </w:tc>
        <w:tc>
          <w:tcPr>
            <w:tcW w:type="dxa" w:w="2160"/>
          </w:tcPr>
          <w:p>
            <w:pPr>
              <w:spacing w:after="40"/>
            </w:pPr>
            <w:r/>
            <w:r>
              <w:t>50 percent of respondents</w:t>
            </w:r>
          </w:p>
        </w:tc>
        <w:tc>
          <w:tcPr>
            <w:tcW w:type="dxa" w:w="2016"/>
          </w:tcPr>
          <w:p>
            <w:pPr>
              <w:spacing w:after="40"/>
            </w:pPr>
            <w:r/>
            <w:r>
              <w:t>Intercept survey, same two blocks, same season</w:t>
            </w:r>
          </w:p>
        </w:tc>
      </w:tr>
    </w:tbl>
    <w:p>
      <w:pPr>
        <w:spacing w:after="80"/>
      </w:pPr>
    </w:p>
    <w:p>
      <w:r>
        <w:t>Five of these eight measures need a baseline collected before work starts, and all five were collected before this proposal was written. The vacancy count takes one person two hours with a clipboard. The intercept survey takes two volunteers a Saturday afternoon and a Thursday evening on the same two blocks. The employer headcount is a one-question call to thirty-one businesses. None of it is expensive, and without it the outcome claims at the end of the grant would have nothing to be compared against.</w:t>
      </w:r>
    </w:p>
    <w:p>
      <w:r>
        <w:t>The targets are deliberately modest. Eight vacancies rather than twelve is four storefronts, and twelve jobs across thirty-one businesses is roughly a third of one employee each. A corridor does not turn over in eighteen months, and a proposal that claims it will is telling a reviewer that its author has not done this before. What we will be able to show is directional movement on measures anybody can independently verify by walking the same blocks we walked.</w:t>
      </w:r>
    </w:p>
    <w:p>
      <w:r>
        <w:t>Two measures are counted but not targeted, because the CDC does not control them and will not claim credit for them: ground-floor rents per square foot on the corridor, collected from executed leases the CDC sees, and the number of corridor storefronts changing tenant during the period. Both belong in the final report as context for the displacement discussion in Section 10.</w:t>
      </w:r>
    </w:p>
    <w:p>
      <w:pPr>
        <w:pStyle w:val="Heading1"/>
      </w:pPr>
      <w:r>
        <w:t>6. Evaluation Plan</w:t>
      </w:r>
    </w:p>
    <w:p>
      <w:pPr>
        <w:pStyle w:val="Caption"/>
      </w:pPr>
      <w:r>
        <w:t>About 400 words. Name the instrument, the person who owns each number, and the reporting rhythm. Evaluation that names no owner does not happen.</w:t>
      </w:r>
    </w:p>
    <w:p>
      <w:r>
        <w:t>Evaluation is internal and is built from counts the CDC already knows how to collect. There is no external evaluator in this budget, because at this scale an evaluation contract would consume money that should go into storefronts, and because the measures are physical counts rather than behavioral claims that need an independent instrument.</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448"/>
          </w:tcPr>
          <w:p>
            <w:pPr>
              <w:spacing w:after="40"/>
            </w:pPr>
            <w:r/>
            <w:r>
              <w:rPr>
                <w:b/>
              </w:rPr>
              <w:t>Measure</w:t>
            </w:r>
          </w:p>
        </w:tc>
        <w:tc>
          <w:tcPr>
            <w:tcW w:type="dxa" w:w="2880"/>
          </w:tcPr>
          <w:p>
            <w:pPr>
              <w:spacing w:after="40"/>
            </w:pPr>
            <w:r/>
            <w:r>
              <w:rPr>
                <w:b/>
              </w:rPr>
              <w:t>Instrument</w:t>
            </w:r>
          </w:p>
        </w:tc>
        <w:tc>
          <w:tcPr>
            <w:tcW w:type="dxa" w:w="2376"/>
          </w:tcPr>
          <w:p>
            <w:pPr>
              <w:spacing w:after="40"/>
            </w:pPr>
            <w:r/>
            <w:r>
              <w:rPr>
                <w:b/>
              </w:rPr>
              <w:t>Owner</w:t>
            </w:r>
          </w:p>
        </w:tc>
        <w:tc>
          <w:tcPr>
            <w:tcW w:type="dxa" w:w="1656"/>
          </w:tcPr>
          <w:p>
            <w:pPr>
              <w:spacing w:after="40"/>
            </w:pPr>
            <w:r/>
            <w:r>
              <w:rPr>
                <w:b/>
              </w:rPr>
              <w:t>Frequency</w:t>
            </w:r>
          </w:p>
        </w:tc>
      </w:tr>
      <w:tr>
        <w:tc>
          <w:tcPr>
            <w:tcW w:type="dxa" w:w="2448"/>
          </w:tcPr>
          <w:p>
            <w:pPr>
              <w:spacing w:after="40"/>
            </w:pPr>
            <w:r/>
            <w:r>
              <w:t>Vacancy and boarded count</w:t>
            </w:r>
          </w:p>
        </w:tc>
        <w:tc>
          <w:tcPr>
            <w:tcW w:type="dxa" w:w="2880"/>
          </w:tcPr>
          <w:p>
            <w:pPr>
              <w:spacing w:after="40"/>
            </w:pPr>
            <w:r/>
            <w:r>
              <w:t>Walk-and-count form, by address</w:t>
            </w:r>
          </w:p>
        </w:tc>
        <w:tc>
          <w:tcPr>
            <w:tcW w:type="dxa" w:w="2376"/>
          </w:tcPr>
          <w:p>
            <w:pPr>
              <w:spacing w:after="40"/>
            </w:pPr>
            <w:r/>
            <w:r>
              <w:t>Project manager with two committee volunteers</w:t>
            </w:r>
          </w:p>
        </w:tc>
        <w:tc>
          <w:tcPr>
            <w:tcW w:type="dxa" w:w="1656"/>
          </w:tcPr>
          <w:p>
            <w:pPr>
              <w:spacing w:after="40"/>
            </w:pPr>
            <w:r/>
            <w:r>
              <w:t>Months 1, 9 and 17</w:t>
            </w:r>
          </w:p>
        </w:tc>
      </w:tr>
      <w:tr>
        <w:tc>
          <w:tcPr>
            <w:tcW w:type="dxa" w:w="2448"/>
          </w:tcPr>
          <w:p>
            <w:pPr>
              <w:spacing w:after="40"/>
            </w:pPr>
            <w:r/>
            <w:r>
              <w:t>Facade completion</w:t>
            </w:r>
          </w:p>
        </w:tc>
        <w:tc>
          <w:tcPr>
            <w:tcW w:type="dxa" w:w="2880"/>
          </w:tcPr>
          <w:p>
            <w:pPr>
              <w:spacing w:after="40"/>
            </w:pPr>
            <w:r/>
            <w:r>
              <w:t>Contractor closeout packet, photographs before and after, inspection sign-off</w:t>
            </w:r>
          </w:p>
        </w:tc>
        <w:tc>
          <w:tcPr>
            <w:tcW w:type="dxa" w:w="2376"/>
          </w:tcPr>
          <w:p>
            <w:pPr>
              <w:spacing w:after="40"/>
            </w:pPr>
            <w:r/>
            <w:r>
              <w:t>Project manager</w:t>
            </w:r>
          </w:p>
        </w:tc>
        <w:tc>
          <w:tcPr>
            <w:tcW w:type="dxa" w:w="1656"/>
          </w:tcPr>
          <w:p>
            <w:pPr>
              <w:spacing w:after="40"/>
            </w:pPr>
            <w:r/>
            <w:r>
              <w:t>At each completion</w:t>
            </w:r>
          </w:p>
        </w:tc>
      </w:tr>
      <w:tr>
        <w:tc>
          <w:tcPr>
            <w:tcW w:type="dxa" w:w="2448"/>
          </w:tcPr>
          <w:p>
            <w:pPr>
              <w:spacing w:after="40"/>
            </w:pPr>
            <w:r/>
            <w:r>
              <w:t>Technical assistance delivery</w:t>
            </w:r>
          </w:p>
        </w:tc>
        <w:tc>
          <w:tcPr>
            <w:tcW w:type="dxa" w:w="2880"/>
          </w:tcPr>
          <w:p>
            <w:pPr>
              <w:spacing w:after="40"/>
            </w:pPr>
            <w:r/>
            <w:r>
              <w:t>Signed engagement log, hours and subject</w:t>
            </w:r>
          </w:p>
        </w:tc>
        <w:tc>
          <w:tcPr>
            <w:tcW w:type="dxa" w:w="2376"/>
          </w:tcPr>
          <w:p>
            <w:pPr>
              <w:spacing w:after="40"/>
            </w:pPr>
            <w:r/>
            <w:r>
              <w:t>Contracted provider, filed with CDC</w:t>
            </w:r>
          </w:p>
        </w:tc>
        <w:tc>
          <w:tcPr>
            <w:tcW w:type="dxa" w:w="1656"/>
          </w:tcPr>
          <w:p>
            <w:pPr>
              <w:spacing w:after="40"/>
            </w:pPr>
            <w:r/>
            <w:r>
              <w:t>Monthly</w:t>
            </w:r>
          </w:p>
        </w:tc>
      </w:tr>
      <w:tr>
        <w:tc>
          <w:tcPr>
            <w:tcW w:type="dxa" w:w="2448"/>
          </w:tcPr>
          <w:p>
            <w:pPr>
              <w:spacing w:after="40"/>
            </w:pPr>
            <w:r/>
            <w:r>
              <w:t>Jobs created or retained</w:t>
            </w:r>
          </w:p>
        </w:tc>
        <w:tc>
          <w:tcPr>
            <w:tcW w:type="dxa" w:w="2880"/>
          </w:tcPr>
          <w:p>
            <w:pPr>
              <w:spacing w:after="40"/>
            </w:pPr>
            <w:r/>
            <w:r>
              <w:t>One-question employer call, headcount at a fixed date</w:t>
            </w:r>
          </w:p>
        </w:tc>
        <w:tc>
          <w:tcPr>
            <w:tcW w:type="dxa" w:w="2376"/>
          </w:tcPr>
          <w:p>
            <w:pPr>
              <w:spacing w:after="40"/>
            </w:pPr>
            <w:r/>
            <w:r>
              <w:t>Executive director</w:t>
            </w:r>
          </w:p>
        </w:tc>
        <w:tc>
          <w:tcPr>
            <w:tcW w:type="dxa" w:w="1656"/>
          </w:tcPr>
          <w:p>
            <w:pPr>
              <w:spacing w:after="40"/>
            </w:pPr>
            <w:r/>
            <w:r>
              <w:t>Months 6 and 18</w:t>
            </w:r>
          </w:p>
        </w:tc>
      </w:tr>
      <w:tr>
        <w:tc>
          <w:tcPr>
            <w:tcW w:type="dxa" w:w="2448"/>
          </w:tcPr>
          <w:p>
            <w:pPr>
              <w:spacing w:after="40"/>
            </w:pPr>
            <w:r/>
            <w:r>
              <w:t>Committee composition and attendance</w:t>
            </w:r>
          </w:p>
        </w:tc>
        <w:tc>
          <w:tcPr>
            <w:tcW w:type="dxa" w:w="2880"/>
          </w:tcPr>
          <w:p>
            <w:pPr>
              <w:spacing w:after="40"/>
            </w:pPr>
            <w:r/>
            <w:r>
              <w:t>Sign-in sheet and address verification at intake</w:t>
            </w:r>
          </w:p>
        </w:tc>
        <w:tc>
          <w:tcPr>
            <w:tcW w:type="dxa" w:w="2376"/>
          </w:tcPr>
          <w:p>
            <w:pPr>
              <w:spacing w:after="40"/>
            </w:pPr>
            <w:r/>
            <w:r>
              <w:t>Project manager</w:t>
            </w:r>
          </w:p>
        </w:tc>
        <w:tc>
          <w:tcPr>
            <w:tcW w:type="dxa" w:w="1656"/>
          </w:tcPr>
          <w:p>
            <w:pPr>
              <w:spacing w:after="40"/>
            </w:pPr>
            <w:r/>
            <w:r>
              <w:t>Every meeting, reported quarterly</w:t>
            </w:r>
          </w:p>
        </w:tc>
      </w:tr>
      <w:tr>
        <w:tc>
          <w:tcPr>
            <w:tcW w:type="dxa" w:w="2448"/>
          </w:tcPr>
          <w:p>
            <w:pPr>
              <w:spacing w:after="40"/>
            </w:pPr>
            <w:r/>
            <w:r>
              <w:t>Association membership</w:t>
            </w:r>
          </w:p>
        </w:tc>
        <w:tc>
          <w:tcPr>
            <w:tcW w:type="dxa" w:w="2880"/>
          </w:tcPr>
          <w:p>
            <w:pPr>
              <w:spacing w:after="40"/>
            </w:pPr>
            <w:r/>
            <w:r>
              <w:t>Dues record and roster</w:t>
            </w:r>
          </w:p>
        </w:tc>
        <w:tc>
          <w:tcPr>
            <w:tcW w:type="dxa" w:w="2376"/>
          </w:tcPr>
          <w:p>
            <w:pPr>
              <w:spacing w:after="40"/>
            </w:pPr>
            <w:r/>
            <w:r>
              <w:t>Business association treasurer, shared with CDC</w:t>
            </w:r>
          </w:p>
        </w:tc>
        <w:tc>
          <w:tcPr>
            <w:tcW w:type="dxa" w:w="1656"/>
          </w:tcPr>
          <w:p>
            <w:pPr>
              <w:spacing w:after="40"/>
            </w:pPr>
            <w:r/>
            <w:r>
              <w:t>Quarterly</w:t>
            </w:r>
          </w:p>
        </w:tc>
      </w:tr>
      <w:tr>
        <w:tc>
          <w:tcPr>
            <w:tcW w:type="dxa" w:w="2448"/>
          </w:tcPr>
          <w:p>
            <w:pPr>
              <w:spacing w:after="40"/>
            </w:pPr>
            <w:r/>
            <w:r>
              <w:t>Sense of safety</w:t>
            </w:r>
          </w:p>
        </w:tc>
        <w:tc>
          <w:tcPr>
            <w:tcW w:type="dxa" w:w="2880"/>
          </w:tcPr>
          <w:p>
            <w:pPr>
              <w:spacing w:after="40"/>
            </w:pPr>
            <w:r/>
            <w:r>
              <w:t>Intercept survey, 8 questions, target n=120</w:t>
            </w:r>
          </w:p>
        </w:tc>
        <w:tc>
          <w:tcPr>
            <w:tcW w:type="dxa" w:w="2376"/>
          </w:tcPr>
          <w:p>
            <w:pPr>
              <w:spacing w:after="40"/>
            </w:pPr>
            <w:r/>
            <w:r>
              <w:t>Project manager with volunteers</w:t>
            </w:r>
          </w:p>
        </w:tc>
        <w:tc>
          <w:tcPr>
            <w:tcW w:type="dxa" w:w="1656"/>
          </w:tcPr>
          <w:p>
            <w:pPr>
              <w:spacing w:after="40"/>
            </w:pPr>
            <w:r/>
            <w:r>
              <w:t>Months 1 and 13, same season</w:t>
            </w:r>
          </w:p>
        </w:tc>
      </w:tr>
      <w:tr>
        <w:tc>
          <w:tcPr>
            <w:tcW w:type="dxa" w:w="2448"/>
          </w:tcPr>
          <w:p>
            <w:pPr>
              <w:spacing w:after="40"/>
            </w:pPr>
            <w:r/>
            <w:r>
              <w:t>Budget to actual</w:t>
            </w:r>
          </w:p>
        </w:tc>
        <w:tc>
          <w:tcPr>
            <w:tcW w:type="dxa" w:w="2880"/>
          </w:tcPr>
          <w:p>
            <w:pPr>
              <w:spacing w:after="40"/>
            </w:pPr>
            <w:r/>
            <w:r>
              <w:t>Accounting system report by grant line</w:t>
            </w:r>
          </w:p>
        </w:tc>
        <w:tc>
          <w:tcPr>
            <w:tcW w:type="dxa" w:w="2376"/>
          </w:tcPr>
          <w:p>
            <w:pPr>
              <w:spacing w:after="40"/>
            </w:pPr>
            <w:r/>
            <w:r>
              <w:t>Finance manager</w:t>
            </w:r>
          </w:p>
        </w:tc>
        <w:tc>
          <w:tcPr>
            <w:tcW w:type="dxa" w:w="1656"/>
          </w:tcPr>
          <w:p>
            <w:pPr>
              <w:spacing w:after="40"/>
            </w:pPr>
            <w:r/>
            <w:r>
              <w:t>Monthly, reviewed quarterly by the committee</w:t>
            </w:r>
          </w:p>
        </w:tc>
      </w:tr>
    </w:tbl>
    <w:p>
      <w:pPr>
        <w:spacing w:after="80"/>
      </w:pPr>
    </w:p>
    <w:p>
      <w:r>
        <w:t>The intercept survey repeats in the same season as the baseline for a reason. A count of how safe people feel walking a corridor after dark will move with daylight hours and weather regardless of what the grant does, so month one in June and month thirteen in June is the only comparison worth reporting. If the funder's period forces an off-season repeat, we will say so in the report rather than present the two numbers as if they were comparable.</w:t>
      </w:r>
    </w:p>
    <w:p>
      <w:r>
        <w:t>Reporting runs on a fixed rhythm: a written interim report at month nine covering the vacancy re-count, facade progress, technical assistance hours and budget to actual; a final report at month eighteen covering every measure in Section 5 against its baseline; and a short email note within ten business days of any material change to scope, schedule or budget. Data lives in a shared project file the committee can see, not in one staff member's spreadsheet.</w:t>
      </w:r>
    </w:p>
    <w:p>
      <w:r>
        <w:t>We will report the measures that miss their targets as plainly as the ones that hit. A funder who finds out from a site visit that four of six facades finished rather than six has learned something worse than a shortfall.</w:t>
      </w:r>
    </w:p>
    <w:p>
      <w:r>
        <w:br w:type="page"/>
      </w:r>
    </w:p>
    <w:p>
      <w:pPr>
        <w:pStyle w:val="Heading1"/>
      </w:pPr>
      <w:r>
        <w:t>7. Budget and Budget Narrative</w:t>
      </w:r>
    </w:p>
    <w:p>
      <w:pPr>
        <w:pStyle w:val="Caption"/>
      </w:pPr>
      <w:r>
        <w:t>Two pages. Hard costs, soft costs and subgrants separated, with a leverage column marked committed, applied or planned. Reviewers read the leverage column first.</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2952"/>
          </w:tcPr>
          <w:p>
            <w:pPr>
              <w:spacing w:after="40"/>
            </w:pPr>
            <w:r/>
            <w:r>
              <w:rPr>
                <w:b/>
              </w:rPr>
              <w:t>Line item</w:t>
            </w:r>
          </w:p>
        </w:tc>
        <w:tc>
          <w:tcPr>
            <w:tcW w:type="dxa" w:w="1152"/>
          </w:tcPr>
          <w:p>
            <w:pPr>
              <w:spacing w:after="40"/>
            </w:pPr>
            <w:r/>
            <w:r>
              <w:rPr>
                <w:b/>
              </w:rPr>
              <w:t>Request</w:t>
            </w:r>
          </w:p>
        </w:tc>
        <w:tc>
          <w:tcPr>
            <w:tcW w:type="dxa" w:w="1152"/>
          </w:tcPr>
          <w:p>
            <w:pPr>
              <w:spacing w:after="40"/>
            </w:pPr>
            <w:r/>
            <w:r>
              <w:rPr>
                <w:b/>
              </w:rPr>
              <w:t>Leverage</w:t>
            </w:r>
          </w:p>
        </w:tc>
        <w:tc>
          <w:tcPr>
            <w:tcW w:type="dxa" w:w="2952"/>
          </w:tcPr>
          <w:p>
            <w:pPr>
              <w:spacing w:after="40"/>
            </w:pPr>
            <w:r/>
            <w:r>
              <w:rPr>
                <w:b/>
              </w:rPr>
              <w:t>Leverage source</w:t>
            </w:r>
          </w:p>
        </w:tc>
        <w:tc>
          <w:tcPr>
            <w:tcW w:type="dxa" w:w="1152"/>
          </w:tcPr>
          <w:p>
            <w:pPr>
              <w:spacing w:after="40"/>
            </w:pPr>
            <w:r/>
            <w:r>
              <w:rPr>
                <w:b/>
              </w:rPr>
              <w:t>Status</w:t>
            </w:r>
          </w:p>
        </w:tc>
      </w:tr>
      <w:tr>
        <w:tc>
          <w:tcPr>
            <w:tcW w:type="dxa" w:w="2952"/>
          </w:tcPr>
          <w:p>
            <w:pPr>
              <w:spacing w:after="40"/>
            </w:pPr>
            <w:r/>
            <w:r>
              <w:rPr>
                <w:b/>
              </w:rPr>
              <w:t>Hard costs</w:t>
            </w:r>
          </w:p>
        </w:tc>
        <w:tc>
          <w:tcPr>
            <w:tcW w:type="dxa" w:w="1152"/>
          </w:tcPr>
          <w:p>
            <w:pPr>
              <w:spacing w:after="40"/>
            </w:pPr>
            <w:r/>
            <w:r>
              <w:rPr>
                <w:b/>
              </w:rPr>
            </w:r>
          </w:p>
        </w:tc>
        <w:tc>
          <w:tcPr>
            <w:tcW w:type="dxa" w:w="1152"/>
          </w:tcPr>
          <w:p>
            <w:pPr>
              <w:spacing w:after="40"/>
            </w:pPr>
            <w:r/>
            <w:r>
              <w:rPr>
                <w:b/>
              </w:rPr>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t>Streetscape materials and installation</w:t>
            </w:r>
          </w:p>
        </w:tc>
        <w:tc>
          <w:tcPr>
            <w:tcW w:type="dxa" w:w="1152"/>
          </w:tcPr>
          <w:p>
            <w:pPr>
              <w:spacing w:after="40"/>
            </w:pPr>
            <w:r/>
            <w:r>
              <w:t>$21,000</w:t>
            </w:r>
          </w:p>
        </w:tc>
        <w:tc>
          <w:tcPr>
            <w:tcW w:type="dxa" w:w="1152"/>
          </w:tcPr>
          <w:p>
            <w:pPr>
              <w:spacing w:after="40"/>
            </w:pPr>
            <w:r/>
            <w:r>
              <w:t>$9,500</w:t>
            </w:r>
          </w:p>
        </w:tc>
        <w:tc>
          <w:tcPr>
            <w:tcW w:type="dxa" w:w="2952"/>
          </w:tcPr>
          <w:p>
            <w:pPr>
              <w:spacing w:after="40"/>
            </w:pPr>
            <w:r/>
            <w:r>
              <w:t>City permit fee waiver and public works crew</w:t>
            </w:r>
          </w:p>
        </w:tc>
        <w:tc>
          <w:tcPr>
            <w:tcW w:type="dxa" w:w="1152"/>
          </w:tcPr>
          <w:p>
            <w:pPr>
              <w:spacing w:after="40"/>
            </w:pPr>
            <w:r/>
            <w:r>
              <w:t>Committed</w:t>
            </w:r>
          </w:p>
        </w:tc>
      </w:tr>
      <w:tr>
        <w:tc>
          <w:tcPr>
            <w:tcW w:type="dxa" w:w="2952"/>
          </w:tcPr>
          <w:p>
            <w:pPr>
              <w:spacing w:after="40"/>
            </w:pPr>
            <w:r/>
            <w:r>
              <w:rPr>
                <w:b/>
              </w:rPr>
              <w:t>Subtotal, hard costs</w:t>
            </w:r>
          </w:p>
        </w:tc>
        <w:tc>
          <w:tcPr>
            <w:tcW w:type="dxa" w:w="1152"/>
          </w:tcPr>
          <w:p>
            <w:pPr>
              <w:spacing w:after="40"/>
            </w:pPr>
            <w:r/>
            <w:r>
              <w:rPr>
                <w:b/>
              </w:rPr>
              <w:t>$21,000</w:t>
            </w:r>
          </w:p>
        </w:tc>
        <w:tc>
          <w:tcPr>
            <w:tcW w:type="dxa" w:w="1152"/>
          </w:tcPr>
          <w:p>
            <w:pPr>
              <w:spacing w:after="40"/>
            </w:pPr>
            <w:r/>
            <w:r>
              <w:rPr>
                <w:b/>
              </w:rPr>
              <w:t>$9,500</w:t>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rPr>
                <w:b/>
              </w:rPr>
              <w:t>Subgrants</w:t>
            </w:r>
          </w:p>
        </w:tc>
        <w:tc>
          <w:tcPr>
            <w:tcW w:type="dxa" w:w="1152"/>
          </w:tcPr>
          <w:p>
            <w:pPr>
              <w:spacing w:after="40"/>
            </w:pPr>
            <w:r/>
            <w:r>
              <w:rPr>
                <w:b/>
              </w:rPr>
            </w:r>
          </w:p>
        </w:tc>
        <w:tc>
          <w:tcPr>
            <w:tcW w:type="dxa" w:w="1152"/>
          </w:tcPr>
          <w:p>
            <w:pPr>
              <w:spacing w:after="40"/>
            </w:pPr>
            <w:r/>
            <w:r>
              <w:rPr>
                <w:b/>
              </w:rPr>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t>Facade subgrants to 6 storefronts</w:t>
            </w:r>
          </w:p>
        </w:tc>
        <w:tc>
          <w:tcPr>
            <w:tcW w:type="dxa" w:w="1152"/>
          </w:tcPr>
          <w:p>
            <w:pPr>
              <w:spacing w:after="40"/>
            </w:pPr>
            <w:r/>
            <w:r>
              <w:t>$42,000</w:t>
            </w:r>
          </w:p>
        </w:tc>
        <w:tc>
          <w:tcPr>
            <w:tcW w:type="dxa" w:w="1152"/>
          </w:tcPr>
          <w:p>
            <w:pPr>
              <w:spacing w:after="40"/>
            </w:pPr>
            <w:r/>
            <w:r>
              <w:t>$15,000</w:t>
            </w:r>
          </w:p>
        </w:tc>
        <w:tc>
          <w:tcPr>
            <w:tcW w:type="dxa" w:w="2952"/>
          </w:tcPr>
          <w:p>
            <w:pPr>
              <w:spacing w:after="40"/>
            </w:pPr>
            <w:r/>
            <w:r>
              <w:t>Property owner match, $2,500 minimum each</w:t>
            </w:r>
          </w:p>
        </w:tc>
        <w:tc>
          <w:tcPr>
            <w:tcW w:type="dxa" w:w="1152"/>
          </w:tcPr>
          <w:p>
            <w:pPr>
              <w:spacing w:after="40"/>
            </w:pPr>
            <w:r/>
            <w:r>
              <w:t>Committed</w:t>
            </w:r>
          </w:p>
        </w:tc>
      </w:tr>
      <w:tr>
        <w:tc>
          <w:tcPr>
            <w:tcW w:type="dxa" w:w="2952"/>
          </w:tcPr>
          <w:p>
            <w:pPr>
              <w:spacing w:after="40"/>
            </w:pPr>
            <w:r/>
            <w:r>
              <w:rPr>
                <w:b/>
              </w:rPr>
              <w:t>Subtotal, subgrants</w:t>
            </w:r>
          </w:p>
        </w:tc>
        <w:tc>
          <w:tcPr>
            <w:tcW w:type="dxa" w:w="1152"/>
          </w:tcPr>
          <w:p>
            <w:pPr>
              <w:spacing w:after="40"/>
            </w:pPr>
            <w:r/>
            <w:r>
              <w:rPr>
                <w:b/>
              </w:rPr>
              <w:t>$42,000</w:t>
            </w:r>
          </w:p>
        </w:tc>
        <w:tc>
          <w:tcPr>
            <w:tcW w:type="dxa" w:w="1152"/>
          </w:tcPr>
          <w:p>
            <w:pPr>
              <w:spacing w:after="40"/>
            </w:pPr>
            <w:r/>
            <w:r>
              <w:rPr>
                <w:b/>
              </w:rPr>
              <w:t>$15,000</w:t>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rPr>
                <w:b/>
              </w:rPr>
              <w:t>Soft costs</w:t>
            </w:r>
          </w:p>
        </w:tc>
        <w:tc>
          <w:tcPr>
            <w:tcW w:type="dxa" w:w="1152"/>
          </w:tcPr>
          <w:p>
            <w:pPr>
              <w:spacing w:after="40"/>
            </w:pPr>
            <w:r/>
            <w:r>
              <w:rPr>
                <w:b/>
              </w:rPr>
            </w:r>
          </w:p>
        </w:tc>
        <w:tc>
          <w:tcPr>
            <w:tcW w:type="dxa" w:w="1152"/>
          </w:tcPr>
          <w:p>
            <w:pPr>
              <w:spacing w:after="40"/>
            </w:pPr>
            <w:r/>
            <w:r>
              <w:rPr>
                <w:b/>
              </w:rPr>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t>Project manager, 0.5 FTE, 18 months</w:t>
            </w:r>
          </w:p>
        </w:tc>
        <w:tc>
          <w:tcPr>
            <w:tcW w:type="dxa" w:w="1152"/>
          </w:tcPr>
          <w:p>
            <w:pPr>
              <w:spacing w:after="40"/>
            </w:pPr>
            <w:r/>
            <w:r>
              <w:t>$52,000</w:t>
            </w:r>
          </w:p>
        </w:tc>
        <w:tc>
          <w:tcPr>
            <w:tcW w:type="dxa" w:w="1152"/>
          </w:tcPr>
          <w:p>
            <w:pPr>
              <w:spacing w:after="40"/>
            </w:pPr>
            <w:r/>
            <w:r>
              <w:t>$18,000</w:t>
            </w:r>
          </w:p>
        </w:tc>
        <w:tc>
          <w:tcPr>
            <w:tcW w:type="dxa" w:w="2952"/>
          </w:tcPr>
          <w:p>
            <w:pPr>
              <w:spacing w:after="40"/>
            </w:pPr>
            <w:r/>
            <w:r>
              <w:t>CDC operating support, executive director supervision</w:t>
            </w:r>
          </w:p>
        </w:tc>
        <w:tc>
          <w:tcPr>
            <w:tcW w:type="dxa" w:w="1152"/>
          </w:tcPr>
          <w:p>
            <w:pPr>
              <w:spacing w:after="40"/>
            </w:pPr>
            <w:r/>
            <w:r>
              <w:t>Committed</w:t>
            </w:r>
          </w:p>
        </w:tc>
      </w:tr>
      <w:tr>
        <w:tc>
          <w:tcPr>
            <w:tcW w:type="dxa" w:w="2952"/>
          </w:tcPr>
          <w:p>
            <w:pPr>
              <w:spacing w:after="40"/>
            </w:pPr>
            <w:r/>
            <w:r>
              <w:t>Environmental site assessment and boundary survey</w:t>
            </w:r>
          </w:p>
        </w:tc>
        <w:tc>
          <w:tcPr>
            <w:tcW w:type="dxa" w:w="1152"/>
          </w:tcPr>
          <w:p>
            <w:pPr>
              <w:spacing w:after="40"/>
            </w:pPr>
            <w:r/>
            <w:r>
              <w:t>$18,000</w:t>
            </w:r>
          </w:p>
        </w:tc>
        <w:tc>
          <w:tcPr>
            <w:tcW w:type="dxa" w:w="1152"/>
          </w:tcPr>
          <w:p>
            <w:pPr>
              <w:spacing w:after="40"/>
            </w:pPr>
            <w:r/>
            <w:r>
              <w:t>$0</w:t>
            </w:r>
          </w:p>
        </w:tc>
        <w:tc>
          <w:tcPr>
            <w:tcW w:type="dxa" w:w="2952"/>
          </w:tcPr>
          <w:p>
            <w:pPr>
              <w:spacing w:after="40"/>
            </w:pPr>
            <w:r/>
            <w:r>
              <w:t>None</w:t>
            </w:r>
          </w:p>
        </w:tc>
        <w:tc>
          <w:tcPr>
            <w:tcW w:type="dxa" w:w="1152"/>
          </w:tcPr>
          <w:p>
            <w:pPr>
              <w:spacing w:after="40"/>
            </w:pPr>
            <w:r/>
            <w:r>
              <w:t>n/a</w:t>
            </w:r>
          </w:p>
        </w:tc>
      </w:tr>
      <w:tr>
        <w:tc>
          <w:tcPr>
            <w:tcW w:type="dxa" w:w="2952"/>
          </w:tcPr>
          <w:p>
            <w:pPr>
              <w:spacing w:after="40"/>
            </w:pPr>
            <w:r/>
            <w:r>
              <w:t>Resident steering committee stipends</w:t>
            </w:r>
          </w:p>
        </w:tc>
        <w:tc>
          <w:tcPr>
            <w:tcW w:type="dxa" w:w="1152"/>
          </w:tcPr>
          <w:p>
            <w:pPr>
              <w:spacing w:after="40"/>
            </w:pPr>
            <w:r/>
            <w:r>
              <w:t>$14,400</w:t>
            </w:r>
          </w:p>
        </w:tc>
        <w:tc>
          <w:tcPr>
            <w:tcW w:type="dxa" w:w="1152"/>
          </w:tcPr>
          <w:p>
            <w:pPr>
              <w:spacing w:after="40"/>
            </w:pPr>
            <w:r/>
            <w:r>
              <w:t>$3,600</w:t>
            </w:r>
          </w:p>
        </w:tc>
        <w:tc>
          <w:tcPr>
            <w:tcW w:type="dxa" w:w="2952"/>
          </w:tcPr>
          <w:p>
            <w:pPr>
              <w:spacing w:after="40"/>
            </w:pPr>
            <w:r/>
            <w:r>
              <w:t>In-kind meeting space, partner congregation</w:t>
            </w:r>
          </w:p>
        </w:tc>
        <w:tc>
          <w:tcPr>
            <w:tcW w:type="dxa" w:w="1152"/>
          </w:tcPr>
          <w:p>
            <w:pPr>
              <w:spacing w:after="40"/>
            </w:pPr>
            <w:r/>
            <w:r>
              <w:t>Committed</w:t>
            </w:r>
          </w:p>
        </w:tc>
      </w:tr>
      <w:tr>
        <w:tc>
          <w:tcPr>
            <w:tcW w:type="dxa" w:w="2952"/>
          </w:tcPr>
          <w:p>
            <w:pPr>
              <w:spacing w:after="40"/>
            </w:pPr>
            <w:r/>
            <w:r>
              <w:t>Contracted business technical assistance, 200 hours</w:t>
            </w:r>
          </w:p>
        </w:tc>
        <w:tc>
          <w:tcPr>
            <w:tcW w:type="dxa" w:w="1152"/>
          </w:tcPr>
          <w:p>
            <w:pPr>
              <w:spacing w:after="40"/>
            </w:pPr>
            <w:r/>
            <w:r>
              <w:t>$12,000</w:t>
            </w:r>
          </w:p>
        </w:tc>
        <w:tc>
          <w:tcPr>
            <w:tcW w:type="dxa" w:w="1152"/>
          </w:tcPr>
          <w:p>
            <w:pPr>
              <w:spacing w:after="40"/>
            </w:pPr>
            <w:r/>
            <w:r>
              <w:t>$6,000</w:t>
            </w:r>
          </w:p>
        </w:tc>
        <w:tc>
          <w:tcPr>
            <w:tcW w:type="dxa" w:w="2952"/>
          </w:tcPr>
          <w:p>
            <w:pPr>
              <w:spacing w:after="40"/>
            </w:pPr>
            <w:r/>
            <w:r>
              <w:t>Pro bono hours, local accounting firm</w:t>
            </w:r>
          </w:p>
        </w:tc>
        <w:tc>
          <w:tcPr>
            <w:tcW w:type="dxa" w:w="1152"/>
          </w:tcPr>
          <w:p>
            <w:pPr>
              <w:spacing w:after="40"/>
            </w:pPr>
            <w:r/>
            <w:r>
              <w:t>Committed</w:t>
            </w:r>
          </w:p>
        </w:tc>
      </w:tr>
      <w:tr>
        <w:tc>
          <w:tcPr>
            <w:tcW w:type="dxa" w:w="2952"/>
          </w:tcPr>
          <w:p>
            <w:pPr>
              <w:spacing w:after="40"/>
            </w:pPr>
            <w:r/>
            <w:r>
              <w:t>Translation and interpretation</w:t>
            </w:r>
          </w:p>
        </w:tc>
        <w:tc>
          <w:tcPr>
            <w:tcW w:type="dxa" w:w="1152"/>
          </w:tcPr>
          <w:p>
            <w:pPr>
              <w:spacing w:after="40"/>
            </w:pPr>
            <w:r/>
            <w:r>
              <w:t>$4,200</w:t>
            </w:r>
          </w:p>
        </w:tc>
        <w:tc>
          <w:tcPr>
            <w:tcW w:type="dxa" w:w="1152"/>
          </w:tcPr>
          <w:p>
            <w:pPr>
              <w:spacing w:after="40"/>
            </w:pPr>
            <w:r/>
            <w:r>
              <w:t>$0</w:t>
            </w:r>
          </w:p>
        </w:tc>
        <w:tc>
          <w:tcPr>
            <w:tcW w:type="dxa" w:w="2952"/>
          </w:tcPr>
          <w:p>
            <w:pPr>
              <w:spacing w:after="40"/>
            </w:pPr>
            <w:r/>
            <w:r>
              <w:t>None</w:t>
            </w:r>
          </w:p>
        </w:tc>
        <w:tc>
          <w:tcPr>
            <w:tcW w:type="dxa" w:w="1152"/>
          </w:tcPr>
          <w:p>
            <w:pPr>
              <w:spacing w:after="40"/>
            </w:pPr>
            <w:r/>
            <w:r>
              <w:t>n/a</w:t>
            </w:r>
          </w:p>
        </w:tc>
      </w:tr>
      <w:tr>
        <w:tc>
          <w:tcPr>
            <w:tcW w:type="dxa" w:w="2952"/>
          </w:tcPr>
          <w:p>
            <w:pPr>
              <w:spacing w:after="40"/>
            </w:pPr>
            <w:r/>
            <w:r>
              <w:t>Insurance and permits</w:t>
            </w:r>
          </w:p>
        </w:tc>
        <w:tc>
          <w:tcPr>
            <w:tcW w:type="dxa" w:w="1152"/>
          </w:tcPr>
          <w:p>
            <w:pPr>
              <w:spacing w:after="40"/>
            </w:pPr>
            <w:r/>
            <w:r>
              <w:t>$3,400</w:t>
            </w:r>
          </w:p>
        </w:tc>
        <w:tc>
          <w:tcPr>
            <w:tcW w:type="dxa" w:w="1152"/>
          </w:tcPr>
          <w:p>
            <w:pPr>
              <w:spacing w:after="40"/>
            </w:pPr>
            <w:r/>
            <w:r>
              <w:t>$0</w:t>
            </w:r>
          </w:p>
        </w:tc>
        <w:tc>
          <w:tcPr>
            <w:tcW w:type="dxa" w:w="2952"/>
          </w:tcPr>
          <w:p>
            <w:pPr>
              <w:spacing w:after="40"/>
            </w:pPr>
            <w:r/>
            <w:r>
              <w:t>None</w:t>
            </w:r>
          </w:p>
        </w:tc>
        <w:tc>
          <w:tcPr>
            <w:tcW w:type="dxa" w:w="1152"/>
          </w:tcPr>
          <w:p>
            <w:pPr>
              <w:spacing w:after="40"/>
            </w:pPr>
            <w:r/>
            <w:r>
              <w:t>n/a</w:t>
            </w:r>
          </w:p>
        </w:tc>
      </w:tr>
      <w:tr>
        <w:tc>
          <w:tcPr>
            <w:tcW w:type="dxa" w:w="2952"/>
          </w:tcPr>
          <w:p>
            <w:pPr>
              <w:spacing w:after="40"/>
            </w:pPr>
            <w:r/>
            <w:r>
              <w:t>Indirect costs</w:t>
            </w:r>
          </w:p>
        </w:tc>
        <w:tc>
          <w:tcPr>
            <w:tcW w:type="dxa" w:w="1152"/>
          </w:tcPr>
          <w:p>
            <w:pPr>
              <w:spacing w:after="40"/>
            </w:pPr>
            <w:r/>
            <w:r>
              <w:t>$8,000</w:t>
            </w:r>
          </w:p>
        </w:tc>
        <w:tc>
          <w:tcPr>
            <w:tcW w:type="dxa" w:w="1152"/>
          </w:tcPr>
          <w:p>
            <w:pPr>
              <w:spacing w:after="40"/>
            </w:pPr>
            <w:r/>
            <w:r>
              <w:t>$0</w:t>
            </w:r>
          </w:p>
        </w:tc>
        <w:tc>
          <w:tcPr>
            <w:tcW w:type="dxa" w:w="2952"/>
          </w:tcPr>
          <w:p>
            <w:pPr>
              <w:spacing w:after="40"/>
            </w:pPr>
            <w:r/>
            <w:r>
              <w:t>At the rate stated in the funder's policy</w:t>
            </w:r>
          </w:p>
        </w:tc>
        <w:tc>
          <w:tcPr>
            <w:tcW w:type="dxa" w:w="1152"/>
          </w:tcPr>
          <w:p>
            <w:pPr>
              <w:spacing w:after="40"/>
            </w:pPr>
            <w:r/>
            <w:r>
              <w:t>n/a</w:t>
            </w:r>
          </w:p>
        </w:tc>
      </w:tr>
      <w:tr>
        <w:tc>
          <w:tcPr>
            <w:tcW w:type="dxa" w:w="2952"/>
          </w:tcPr>
          <w:p>
            <w:pPr>
              <w:spacing w:after="40"/>
            </w:pPr>
            <w:r/>
            <w:r>
              <w:rPr>
                <w:b/>
              </w:rPr>
              <w:t>Subtotal, soft costs</w:t>
            </w:r>
          </w:p>
        </w:tc>
        <w:tc>
          <w:tcPr>
            <w:tcW w:type="dxa" w:w="1152"/>
          </w:tcPr>
          <w:p>
            <w:pPr>
              <w:spacing w:after="40"/>
            </w:pPr>
            <w:r/>
            <w:r>
              <w:rPr>
                <w:b/>
              </w:rPr>
              <w:t>$112,000</w:t>
            </w:r>
          </w:p>
        </w:tc>
        <w:tc>
          <w:tcPr>
            <w:tcW w:type="dxa" w:w="1152"/>
          </w:tcPr>
          <w:p>
            <w:pPr>
              <w:spacing w:after="40"/>
            </w:pPr>
            <w:r/>
            <w:r>
              <w:rPr>
                <w:b/>
              </w:rPr>
              <w:t>$27,600</w:t>
            </w:r>
          </w:p>
        </w:tc>
        <w:tc>
          <w:tcPr>
            <w:tcW w:type="dxa" w:w="2952"/>
          </w:tcPr>
          <w:p>
            <w:pPr>
              <w:spacing w:after="40"/>
            </w:pPr>
            <w:r/>
            <w:r>
              <w:rPr>
                <w:b/>
              </w:rPr>
            </w:r>
          </w:p>
        </w:tc>
        <w:tc>
          <w:tcPr>
            <w:tcW w:type="dxa" w:w="1152"/>
          </w:tcPr>
          <w:p>
            <w:pPr>
              <w:spacing w:after="40"/>
            </w:pPr>
            <w:r/>
            <w:r>
              <w:rPr>
                <w:b/>
              </w:rPr>
            </w:r>
          </w:p>
        </w:tc>
      </w:tr>
      <w:tr>
        <w:tc>
          <w:tcPr>
            <w:tcW w:type="dxa" w:w="2952"/>
          </w:tcPr>
          <w:p>
            <w:pPr>
              <w:spacing w:after="40"/>
            </w:pPr>
            <w:r/>
            <w:r>
              <w:rPr>
                <w:b/>
              </w:rPr>
              <w:t>Total</w:t>
            </w:r>
          </w:p>
        </w:tc>
        <w:tc>
          <w:tcPr>
            <w:tcW w:type="dxa" w:w="1152"/>
          </w:tcPr>
          <w:p>
            <w:pPr>
              <w:spacing w:after="40"/>
            </w:pPr>
            <w:r/>
            <w:r>
              <w:rPr>
                <w:b/>
              </w:rPr>
              <w:t>$175,000</w:t>
            </w:r>
          </w:p>
        </w:tc>
        <w:tc>
          <w:tcPr>
            <w:tcW w:type="dxa" w:w="1152"/>
          </w:tcPr>
          <w:p>
            <w:pPr>
              <w:spacing w:after="40"/>
            </w:pPr>
            <w:r/>
            <w:r>
              <w:rPr>
                <w:b/>
              </w:rPr>
              <w:t>$52,100</w:t>
            </w:r>
          </w:p>
        </w:tc>
        <w:tc>
          <w:tcPr>
            <w:tcW w:type="dxa" w:w="2952"/>
          </w:tcPr>
          <w:p>
            <w:pPr>
              <w:spacing w:after="40"/>
            </w:pPr>
            <w:r/>
            <w:r>
              <w:rPr>
                <w:b/>
              </w:rPr>
              <w:t>Total project cost $227,100</w:t>
            </w:r>
          </w:p>
        </w:tc>
        <w:tc>
          <w:tcPr>
            <w:tcW w:type="dxa" w:w="1152"/>
          </w:tcPr>
          <w:p>
            <w:pPr>
              <w:spacing w:after="40"/>
            </w:pPr>
            <w:r/>
            <w:r>
              <w:rPr>
                <w:b/>
              </w:rPr>
            </w:r>
          </w:p>
        </w:tc>
      </w:tr>
    </w:tbl>
    <w:p>
      <w:pPr>
        <w:spacing w:after="80"/>
      </w:pPr>
    </w:p>
    <w:p>
      <w:pPr>
        <w:pStyle w:val="Heading2"/>
      </w:pPr>
      <w:r>
        <w:t>7.1 Budget narrative</w:t>
      </w:r>
    </w:p>
    <w:p>
      <w:r>
        <w:t>Project manager, 0.5 FTE, 18 months, $52,000. A half-time project manager runs procurement, contractor supervision, committee staffing and all data collection. The position is budgeted at a $55,000 full-time salary plus fringe at 26 percent, or $69,300 annually, taken at half time for eighteen months, which is $51,975 and is rounded to $52,000. Leverage of $18,000 is the executive director's supervision time at 0.15 FTE over the same eighteen months, paid from the CDC's unrestricted operating budget.</w:t>
      </w:r>
    </w:p>
    <w:p>
      <w:r>
        <w:t>Facade subgrants to six storefronts, $42,000. Six subgrants capped at $7,000 each. Each property owner contributes at least $2,500, which is $15,000 across the six and is committed in the executed facade agreements attached. Total facade investment is $57,000, an average of $9,500 per storefront. The CDC contracts the work directly and pays contractors on verified completion.</w:t>
      </w:r>
    </w:p>
    <w:p>
      <w:r>
        <w:t>Streetscape materials and installation, $21,000. Twelve planters at $450 is $5,400. Eight pedestrian light fixtures at $1,375 is $11,000. Six benches at $650 is $3,900. Anchors and mounting hardware are $700. Quotes from two suppliers are attached. Leverage of $9,500 is the City's waiver of $2,000 in permit fees plus roughly one hundred hours of public works crew time valued at $75 loaded, both stated in the Department of Public Works letter.</w:t>
      </w:r>
    </w:p>
    <w:p>
      <w:r>
        <w:t>Environmental site assessment and boundary survey, $18,000. A Phase I environmental site assessment on each of the two CDC-owned parcels at $3,500 is $7,000. A $6,500 allowance is held for limited Phase II soil sampling in case a Phase I finding requires it, and will be released back to facade work if it is not needed. An ALTA boundary survey of the two parcels is $4,500. This line carries no leverage and no reviewer enjoys it, but a lender or a public funder will ask for the assessment later, and finding contamination in month four is survivable while finding it in month twelve is not.</w:t>
      </w:r>
    </w:p>
    <w:p>
      <w:r>
        <w:t>Resident steering committee stipends, $14,400. Sixteen members at $50 per meeting across eighteen monthly meetings. Stipends are reported to recipients as required and are paid whether or not the member votes with staff. Leverage of $3,600 is donated meeting space, eighteen evenings valued at $200, from a partner congregation on the 1200 block.</w:t>
      </w:r>
    </w:p>
    <w:p>
      <w:r>
        <w:t>Contracted business technical assistance, 200 hours, $12,000. Two hundred hours at $60, delivered under a written scope with an hour cap per business. Leverage of $6,000 is forty pro bono hours from a local accounting firm at its standard $150 rate, committed by letter, covering bookkeeping setup only.</w:t>
      </w:r>
    </w:p>
    <w:p>
      <w:r>
        <w:t>Translation and interpretation, $4,200. Live interpretation at eighteen committee meetings at $150 is $2,700. Written translation of five documents at $300 is $1,500. This line is usually the first thing cut from a community development budget and it should be the last, because a committee that cannot read the design guidelines it is voting on is not governing anything.</w:t>
      </w:r>
    </w:p>
    <w:p>
      <w:r>
        <w:t>Insurance and permits, $3,400. A general liability rider covering the benches and planters for eighteen months is $1,900. Building and right-of-way permits not covered by the City's waiver are $1,500. Insurance belongs in the budget rather than in the sustainability narrative, because a maintenance promise with no premium behind it is not a plan.</w:t>
      </w:r>
    </w:p>
    <w:p>
      <w:r>
        <w:t>Indirect costs, $8,000. The funder's published policy allows administrative cost recovery of up to 5 percent of the total request. $8,000 is 4.6 percent of $175,000 and covers accounting, audit allocation, insurance beyond the project rider, and occupancy for the project manager.</w:t>
      </w:r>
    </w:p>
    <w:p>
      <w:pPr>
        <w:pStyle w:val="Heading2"/>
      </w:pPr>
      <w:r>
        <w:t>7.2 Leverage status</w:t>
      </w:r>
    </w:p>
    <w:p>
      <w:r>
        <w:t>Every leverage line in the table above is marked committed, and each is backed by a document in the attachments: the board-approved operating budget for the supervision time, six executed facade agreements for the owner match, the Department of Public Works letter for the fee waiver and crew time, a letter from the partner congregation for the meeting space, and a letter from the accounting firm for the pro bono hours. The CDC has no applied or planned leverage in this project, and if it did, the table would say so. A funder who discovers that a committed match was an aspiration will discount every other number in the file, including the ones that were true.</w:t>
      </w:r>
    </w:p>
    <w:p>
      <w:pPr>
        <w:pStyle w:val="Caption"/>
      </w:pPr>
      <w:r>
        <w:t>If you are applying through a public round, add a column for the funding source of each line, since federal, state and local dollars often cannot pay for the same cost. Check whether the jurisdiction caps administrative costs, and whether your indirect rate must be a negotiated rate or the 15 percent de minimis rate available under 2 CFR 200.414 (eCFR, accessed September 2026).</w:t>
      </w:r>
    </w:p>
    <w:p>
      <w:pPr>
        <w:pStyle w:val="Heading1"/>
      </w:pPr>
      <w:r>
        <w:t>8. Sustainability and Maintenance</w:t>
      </w:r>
    </w:p>
    <w:p>
      <w:pPr>
        <w:pStyle w:val="Caption"/>
      </w:pPr>
      <w:r>
        <w:t>About 350 words. Name who owns, insures and maintains each improvement after the grant closes, and attach the agreement. A program ends when the money ends. A streetscape sits there.</w:t>
      </w:r>
    </w:p>
    <w:p>
      <w:r>
        <w:t>A rebuilt corridor outlives its grant, so every physical asset in this project has a named owner, a named responsibility and a signed document before installation.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00"/>
          </w:tcPr>
          <w:p>
            <w:pPr>
              <w:spacing w:after="40"/>
            </w:pPr>
            <w:r/>
            <w:r>
              <w:rPr>
                <w:b/>
              </w:rPr>
              <w:t>Asset</w:t>
            </w:r>
          </w:p>
        </w:tc>
        <w:tc>
          <w:tcPr>
            <w:tcW w:type="dxa" w:w="2088"/>
          </w:tcPr>
          <w:p>
            <w:pPr>
              <w:spacing w:after="40"/>
            </w:pPr>
            <w:r/>
            <w:r>
              <w:rPr>
                <w:b/>
              </w:rPr>
              <w:t>Responsible party</w:t>
            </w:r>
          </w:p>
        </w:tc>
        <w:tc>
          <w:tcPr>
            <w:tcW w:type="dxa" w:w="2304"/>
          </w:tcPr>
          <w:p>
            <w:pPr>
              <w:spacing w:after="40"/>
            </w:pPr>
            <w:r/>
            <w:r>
              <w:rPr>
                <w:b/>
              </w:rPr>
              <w:t>Responsibility</w:t>
            </w:r>
          </w:p>
        </w:tc>
        <w:tc>
          <w:tcPr>
            <w:tcW w:type="dxa" w:w="1944"/>
          </w:tcPr>
          <w:p>
            <w:pPr>
              <w:spacing w:after="40"/>
            </w:pPr>
            <w:r/>
            <w:r>
              <w:rPr>
                <w:b/>
              </w:rPr>
              <w:t>Evidence</w:t>
            </w:r>
          </w:p>
        </w:tc>
        <w:tc>
          <w:tcPr>
            <w:tcW w:type="dxa" w:w="2376"/>
          </w:tcPr>
          <w:p>
            <w:pPr>
              <w:spacing w:after="40"/>
            </w:pPr>
            <w:r/>
            <w:r>
              <w:rPr>
                <w:b/>
              </w:rPr>
              <w:t>Term</w:t>
            </w:r>
          </w:p>
        </w:tc>
      </w:tr>
      <w:tr>
        <w:tc>
          <w:tcPr>
            <w:tcW w:type="dxa" w:w="1800"/>
          </w:tcPr>
          <w:p>
            <w:pPr>
              <w:spacing w:after="40"/>
            </w:pPr>
            <w:r/>
            <w:r>
              <w:t>12 planters</w:t>
            </w:r>
          </w:p>
        </w:tc>
        <w:tc>
          <w:tcPr>
            <w:tcW w:type="dxa" w:w="2088"/>
          </w:tcPr>
          <w:p>
            <w:pPr>
              <w:spacing w:after="40"/>
            </w:pPr>
            <w:r/>
            <w:r>
              <w:t>Northgate Business Association</w:t>
            </w:r>
          </w:p>
        </w:tc>
        <w:tc>
          <w:tcPr>
            <w:tcW w:type="dxa" w:w="2304"/>
          </w:tcPr>
          <w:p>
            <w:pPr>
              <w:spacing w:after="40"/>
            </w:pPr>
            <w:r/>
            <w:r>
              <w:t>Watering, seasonal planting, litter collection</w:t>
            </w:r>
          </w:p>
        </w:tc>
        <w:tc>
          <w:tcPr>
            <w:tcW w:type="dxa" w:w="1944"/>
          </w:tcPr>
          <w:p>
            <w:pPr>
              <w:spacing w:after="40"/>
            </w:pPr>
            <w:r/>
            <w:r>
              <w:t>Signed maintenance commitment</w:t>
            </w:r>
          </w:p>
        </w:tc>
        <w:tc>
          <w:tcPr>
            <w:tcW w:type="dxa" w:w="2376"/>
          </w:tcPr>
          <w:p>
            <w:pPr>
              <w:spacing w:after="40"/>
            </w:pPr>
            <w:r/>
            <w:r>
              <w:t>2 years past grant close, renewable annually</w:t>
            </w:r>
          </w:p>
        </w:tc>
      </w:tr>
      <w:tr>
        <w:tc>
          <w:tcPr>
            <w:tcW w:type="dxa" w:w="1800"/>
          </w:tcPr>
          <w:p>
            <w:pPr>
              <w:spacing w:after="40"/>
            </w:pPr>
            <w:r/>
            <w:r>
              <w:t>8 pedestrian light fixtures</w:t>
            </w:r>
          </w:p>
        </w:tc>
        <w:tc>
          <w:tcPr>
            <w:tcW w:type="dxa" w:w="2088"/>
          </w:tcPr>
          <w:p>
            <w:pPr>
              <w:spacing w:after="40"/>
            </w:pPr>
            <w:r/>
            <w:r>
              <w:t>City of Ashgrove, Public Works</w:t>
            </w:r>
          </w:p>
        </w:tc>
        <w:tc>
          <w:tcPr>
            <w:tcW w:type="dxa" w:w="2304"/>
          </w:tcPr>
          <w:p>
            <w:pPr>
              <w:spacing w:after="40"/>
            </w:pPr>
            <w:r/>
            <w:r>
              <w:t>Energy, bulb and fixture repair</w:t>
            </w:r>
          </w:p>
        </w:tc>
        <w:tc>
          <w:tcPr>
            <w:tcW w:type="dxa" w:w="1944"/>
          </w:tcPr>
          <w:p>
            <w:pPr>
              <w:spacing w:after="40"/>
            </w:pPr>
            <w:r/>
            <w:r>
              <w:t>DPW letter, acceptance clause</w:t>
            </w:r>
          </w:p>
        </w:tc>
        <w:tc>
          <w:tcPr>
            <w:tcW w:type="dxa" w:w="2376"/>
          </w:tcPr>
          <w:p>
            <w:pPr>
              <w:spacing w:after="40"/>
            </w:pPr>
            <w:r/>
            <w:r>
              <w:t>On acceptance, ongoing</w:t>
            </w:r>
          </w:p>
        </w:tc>
      </w:tr>
      <w:tr>
        <w:tc>
          <w:tcPr>
            <w:tcW w:type="dxa" w:w="1800"/>
          </w:tcPr>
          <w:p>
            <w:pPr>
              <w:spacing w:after="40"/>
            </w:pPr>
            <w:r/>
            <w:r>
              <w:t>6 benches</w:t>
            </w:r>
          </w:p>
        </w:tc>
        <w:tc>
          <w:tcPr>
            <w:tcW w:type="dxa" w:w="2088"/>
          </w:tcPr>
          <w:p>
            <w:pPr>
              <w:spacing w:after="40"/>
            </w:pPr>
            <w:r/>
            <w:r>
              <w:t>Northgate CDC</w:t>
            </w:r>
          </w:p>
        </w:tc>
        <w:tc>
          <w:tcPr>
            <w:tcW w:type="dxa" w:w="2304"/>
          </w:tcPr>
          <w:p>
            <w:pPr>
              <w:spacing w:after="40"/>
            </w:pPr>
            <w:r/>
            <w:r>
              <w:t>Repair, replacement, liability insurance</w:t>
            </w:r>
          </w:p>
        </w:tc>
        <w:tc>
          <w:tcPr>
            <w:tcW w:type="dxa" w:w="1944"/>
          </w:tcPr>
          <w:p>
            <w:pPr>
              <w:spacing w:after="40"/>
            </w:pPr>
            <w:r/>
            <w:r>
              <w:t>Board resolution and insurance rider</w:t>
            </w:r>
          </w:p>
        </w:tc>
        <w:tc>
          <w:tcPr>
            <w:tcW w:type="dxa" w:w="2376"/>
          </w:tcPr>
          <w:p>
            <w:pPr>
              <w:spacing w:after="40"/>
            </w:pPr>
            <w:r/>
            <w:r>
              <w:t>2 years board-approved, renewed annually</w:t>
            </w:r>
          </w:p>
        </w:tc>
      </w:tr>
      <w:tr>
        <w:tc>
          <w:tcPr>
            <w:tcW w:type="dxa" w:w="1800"/>
          </w:tcPr>
          <w:p>
            <w:pPr>
              <w:spacing w:after="40"/>
            </w:pPr>
            <w:r/>
            <w:r>
              <w:t>6 improved facades</w:t>
            </w:r>
          </w:p>
        </w:tc>
        <w:tc>
          <w:tcPr>
            <w:tcW w:type="dxa" w:w="2088"/>
          </w:tcPr>
          <w:p>
            <w:pPr>
              <w:spacing w:after="40"/>
            </w:pPr>
            <w:r/>
            <w:r>
              <w:t>Property owners</w:t>
            </w:r>
          </w:p>
        </w:tc>
        <w:tc>
          <w:tcPr>
            <w:tcW w:type="dxa" w:w="2304"/>
          </w:tcPr>
          <w:p>
            <w:pPr>
              <w:spacing w:after="40"/>
            </w:pPr>
            <w:r/>
            <w:r>
              <w:t>Maintenance of the improved elevation</w:t>
            </w:r>
          </w:p>
        </w:tc>
        <w:tc>
          <w:tcPr>
            <w:tcW w:type="dxa" w:w="1944"/>
          </w:tcPr>
          <w:p>
            <w:pPr>
              <w:spacing w:after="40"/>
            </w:pPr>
            <w:r/>
            <w:r>
              <w:t>Facade agreement, maintenance covenant</w:t>
            </w:r>
          </w:p>
        </w:tc>
        <w:tc>
          <w:tcPr>
            <w:tcW w:type="dxa" w:w="2376"/>
          </w:tcPr>
          <w:p>
            <w:pPr>
              <w:spacing w:after="40"/>
            </w:pPr>
            <w:r/>
            <w:r>
              <w:t>5 years</w:t>
            </w:r>
          </w:p>
        </w:tc>
      </w:tr>
      <w:tr>
        <w:tc>
          <w:tcPr>
            <w:tcW w:type="dxa" w:w="1800"/>
          </w:tcPr>
          <w:p>
            <w:pPr>
              <w:spacing w:after="40"/>
            </w:pPr>
            <w:r/>
            <w:r>
              <w:t>Steering committee</w:t>
            </w:r>
          </w:p>
        </w:tc>
        <w:tc>
          <w:tcPr>
            <w:tcW w:type="dxa" w:w="2088"/>
          </w:tcPr>
          <w:p>
            <w:pPr>
              <w:spacing w:after="40"/>
            </w:pPr>
            <w:r/>
            <w:r>
              <w:t>Northgate CDC, then the association</w:t>
            </w:r>
          </w:p>
        </w:tc>
        <w:tc>
          <w:tcPr>
            <w:tcW w:type="dxa" w:w="2304"/>
          </w:tcPr>
          <w:p>
            <w:pPr>
              <w:spacing w:after="40"/>
            </w:pPr>
            <w:r/>
            <w:r>
              <w:t>Convening, agenda, minutes</w:t>
            </w:r>
          </w:p>
        </w:tc>
        <w:tc>
          <w:tcPr>
            <w:tcW w:type="dxa" w:w="1944"/>
          </w:tcPr>
          <w:p>
            <w:pPr>
              <w:spacing w:after="40"/>
            </w:pPr>
            <w:r/>
            <w:r>
              <w:t>Committee charter, transition clause</w:t>
            </w:r>
          </w:p>
        </w:tc>
        <w:tc>
          <w:tcPr>
            <w:tcW w:type="dxa" w:w="2376"/>
          </w:tcPr>
          <w:p>
            <w:pPr>
              <w:spacing w:after="40"/>
            </w:pPr>
            <w:r/>
            <w:r>
              <w:t>Transition at month 16</w:t>
            </w:r>
          </w:p>
        </w:tc>
      </w:tr>
    </w:tbl>
    <w:p>
      <w:pPr>
        <w:spacing w:after="80"/>
      </w:pPr>
    </w:p>
    <w:p>
      <w:r>
        <w:t>The business association is the piece that has to survive. It has nine paid members today and a treasurer but no staff, and it will not maintain twelve planters on goodwill for three years. The project therefore routes part of the technical assistance into association capacity: a dues schedule the members set themselves in month seven, a bank account and bookkeeping in month eight, and a written maintenance calendar in month sixteen tied to the handover meeting. If membership reaches the twenty-member target, dues at $150 cover materials for planter seasons at a level the association's own treasurer has costed.</w:t>
      </w:r>
    </w:p>
    <w:p>
      <w:r>
        <w:t>The CDC holds a fallback rather than an assumption. If the association misses a planting season, the CDC's corridor operating line absorbs the cost for that season and the handover is renegotiated at the following annual meeting. The benches sit with the CDC permanently because they are the asset most likely to need replacement, and a $500 annual contribution to a replacement reserve is in the CDC's approved operating budget for the two fiscal years following the grant.</w:t>
      </w:r>
    </w:p>
    <w:p>
      <w:r>
        <w:t>The lighting is the cleanest of the four. The City's letter accepts the fixtures into its own maintained inventory once they are energized and inspected, which moves the long-term cost onto a party that already runs a lighting crew. That transfer is the single most useful sentence in this section, and it exists because the fixtures were specified to the City's standard before they were priced rather than after.</w:t>
      </w:r>
    </w:p>
    <w:p>
      <w:pPr>
        <w:pStyle w:val="Heading1"/>
      </w:pPr>
      <w:r>
        <w:t>9. Organizational Capacity</w:t>
      </w:r>
    </w:p>
    <w:p>
      <w:pPr>
        <w:pStyle w:val="Caption"/>
      </w:pPr>
      <w:r>
        <w:t>About 400 words. Prior construction or subgrant experience, audit status, board composition. Show the last project of this type you finished, not your mission statement.</w:t>
      </w:r>
    </w:p>
    <w:p>
      <w:r>
        <w:t>Northgate Corridor Development Corporation was incorporated in 2015 and has worked on this corridor for eleven years. It is a 501(c)(3) public charity with a staff of six, of whom four are full time, and an annual operating budget of $1.4 million across community organizing, two rental properties and small business support.</w:t>
      </w:r>
    </w:p>
    <w:p>
      <w:r>
        <w:t>The CDC has completed construction of this type before. It rehabilitated and reopened 1042 Northgate Avenue in 2021 on a $310,000 budget with three funding sources, delivered eleven days past its scheduled completion and $4,000 under budget, and that storefront has been continuously tenanted since. It rehabilitated 1118 Northgate Avenue in 2023 on a $265,000 budget and now houses the CDC's own office above a leased ground-floor unit. Both projects carried environmental assessments, competitive procurement and city inspections, so the sequence in Section 3.7 is the sequence this team has run twice.</w:t>
      </w:r>
    </w:p>
    <w:p>
      <w:r>
        <w:t>The CDC has also administered subgrants to third parties, which is a different discipline from spending your own construction dollar. It ran a $60,000 emergency small business fund in 2022 across nineteen recipients, with documented eligibility criteria, a review panel that included two non-staff members, and closeout documentation on all nineteen. No findings were raised by the funder on that grant.</w:t>
      </w:r>
    </w:p>
    <w:p>
      <w:r>
        <w:t>Financial systems are in place. The CDC uses fund accounting with grant-level tracking, produces monthly budget to actual reports to the board, and has been audited annually since 2018. The three most recent audits carried unmodified opinions with no material weaknesses and no reportable conditions. Federal expenditures have not reached the single audit threshold, and the CDC would engage a single audit in the year it does. Written policies exist for procurement, conflict of interest, whistleblower protection and document retention, and all four are attached.</w:t>
      </w:r>
    </w:p>
    <w:p>
      <w:r>
        <w:t>The board has eleven directors. Seven live in the Fourth Ward and two of those inside the project's two census tracts. Two corridor business owners serve, both of whom recuse from any vote touching their own property, and the board includes a certified public accountant, a construction manager and a retired city planner. Two steering committee members hold full voting seats. Officers serve staggered two-year terms and the board met ten times last year with average attendance of nine.</w:t>
      </w:r>
    </w:p>
    <w:p>
      <w:r>
        <w:t>The project manager position will be recruited in month one from a job description already approved by the board, and the executive director will supervise the project directly until that hire starts, at which point the supervision time in the leverage column begins.</w:t>
      </w:r>
    </w:p>
    <w:p>
      <w:pPr>
        <w:pStyle w:val="Heading1"/>
      </w:pPr>
      <w:r>
        <w:t>10. Risks and the Objections a Reviewer Will Raise</w:t>
      </w:r>
    </w:p>
    <w:p>
      <w:pPr>
        <w:pStyle w:val="Caption"/>
      </w:pPr>
      <w:r>
        <w:t>Community development reviewers raise five recurring objections. Answer them inside the proposal, before anyone schedules a site visit.</w:t>
      </w:r>
    </w:p>
    <w:p>
      <w:pPr>
        <w:pStyle w:val="Heading2"/>
      </w:pPr>
      <w:r>
        <w:t>10.1 Do you control the sites?</w:t>
      </w:r>
    </w:p>
    <w:p>
      <w:r>
        <w:t>Yes, for every asset in the budget, and the evidence is stated parcel by parcel in Section 3.5: two recorded deeds, four executed facade agreements, and a municipal letter for the right of way. Two corridor buildings are excluded because we do not control them, and they are named in Section 3.6. Nothing in this request is conditional on a document we do not already hold.</w:t>
      </w:r>
    </w:p>
    <w:p>
      <w:pPr>
        <w:pStyle w:val="Heading2"/>
      </w:pPr>
      <w:r>
        <w:t>10.2 Will this displace the people it is meant to help?</w:t>
      </w:r>
    </w:p>
    <w:p>
      <w:r>
        <w:t>Partly, and the proposal says so rather than waiting to be asked. The CDC owns two of the six storefronts outright, which takes those tenants off the table entirely. The four facade agreements bar rent increases for three years after completion, which protects those tenants through the period when a corridor improvement most often moves rents. That leaves the remaining twenty-five operating businesses on the corridor exposed, and the 15th Street transit work scheduled for the year after this grant will add pressure the project does not control.</w:t>
      </w:r>
    </w:p>
    <w:p>
      <w:r>
        <w:t>Two things follow. The evaluation collects ground-floor rents and tenant turnover as context measures with no target attached, so the final report can show honestly what happened. And the CDC intends to raise a commercial lease assistance fund as its next corridor project, which is a statement of intent rather than a claim that the money exists. A proposal that says nothing about displacement gets the question at the site visit anyway, and answers it worse.</w:t>
      </w:r>
    </w:p>
    <w:p>
      <w:pPr>
        <w:pStyle w:val="Heading2"/>
      </w:pPr>
      <w:r>
        <w:t>10.3 Who maintains this in year three?</w:t>
      </w:r>
    </w:p>
    <w:p>
      <w:r>
        <w:t>Section 8 names a party for every asset and attaches the document. The planters sit with the business association for two years past grant close under a signed commitment, the lighting transfers to the City under its own acceptance clause, the benches stay with the CDC with a funded replacement reserve, and the facades carry five-year maintenance covenants running with the agreements. The insurance premium is in the budget at line eight rather than in a sentence promising that someone will handle it.</w:t>
      </w:r>
    </w:p>
    <w:p>
      <w:pPr>
        <w:pStyle w:val="Heading2"/>
      </w:pPr>
      <w:r>
        <w:t>10.4 Does this duplicate or contradict the adopted city plan?</w:t>
      </w:r>
    </w:p>
    <w:p>
      <w:r>
        <w:t>The project advances two objectives of the Fourth Ward Neighborhood Plan adopted by the Ashgrove City Council in 2023: restoring ground-floor commercial occupancy on Northgate Avenue, and improving pedestrian lighting on the corridor between 9th and 15th Streets. It is consistent with the Ashgrove Comprehensive Plan 2030 chapter on neighborhood commercial districts. It departs from the neighborhood plan in one respect, and we would rather state it than have a reviewer find it: the plan calls for a parking study on this corridor, and our door-knock survey put parking last of seven priorities at 9 percent, so we dropped it from this request. The Department of Planning and Community Development is aware of that departure.</w:t>
      </w:r>
    </w:p>
    <w:p>
      <w:pPr>
        <w:pStyle w:val="Heading2"/>
      </w:pPr>
      <w:r>
        <w:t>10.5 Is your leverage committed or hoped for?</w:t>
      </w:r>
    </w:p>
    <w:p>
      <w:r>
        <w:t>Committed, all of it, with a document named for each line in Section 7.2. There are no applied or planned lines in this budget. Where a match had not been secured, the activity it would fund is not in this request.</w:t>
      </w:r>
    </w:p>
    <w:p>
      <w:pPr>
        <w:pStyle w:val="Heading2"/>
      </w:pPr>
      <w:r>
        <w:t>10.6 Risk register</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76"/>
          </w:tcPr>
          <w:p>
            <w:pPr>
              <w:spacing w:after="40"/>
            </w:pPr>
            <w:r/>
            <w:r>
              <w:rPr>
                <w:b/>
              </w:rPr>
              <w:t>Risk</w:t>
            </w:r>
          </w:p>
        </w:tc>
        <w:tc>
          <w:tcPr>
            <w:tcW w:type="dxa" w:w="1224"/>
          </w:tcPr>
          <w:p>
            <w:pPr>
              <w:spacing w:after="40"/>
            </w:pPr>
            <w:r/>
            <w:r>
              <w:rPr>
                <w:b/>
              </w:rPr>
              <w:t>Likelihood</w:t>
            </w:r>
          </w:p>
        </w:tc>
        <w:tc>
          <w:tcPr>
            <w:tcW w:type="dxa" w:w="2160"/>
          </w:tcPr>
          <w:p>
            <w:pPr>
              <w:spacing w:after="40"/>
            </w:pPr>
            <w:r/>
            <w:r>
              <w:rPr>
                <w:b/>
              </w:rPr>
              <w:t>Effect</w:t>
            </w:r>
          </w:p>
        </w:tc>
        <w:tc>
          <w:tcPr>
            <w:tcW w:type="dxa" w:w="3600"/>
          </w:tcPr>
          <w:p>
            <w:pPr>
              <w:spacing w:after="40"/>
            </w:pPr>
            <w:r/>
            <w:r>
              <w:rPr>
                <w:b/>
              </w:rPr>
              <w:t>Mitigation</w:t>
            </w:r>
          </w:p>
        </w:tc>
      </w:tr>
      <w:tr>
        <w:tc>
          <w:tcPr>
            <w:tcW w:type="dxa" w:w="2376"/>
          </w:tcPr>
          <w:p>
            <w:pPr>
              <w:spacing w:after="40"/>
            </w:pPr>
            <w:r/>
            <w:r>
              <w:t>Construction cost escalation between quote and contract</w:t>
            </w:r>
          </w:p>
        </w:tc>
        <w:tc>
          <w:tcPr>
            <w:tcW w:type="dxa" w:w="1224"/>
          </w:tcPr>
          <w:p>
            <w:pPr>
              <w:spacing w:after="40"/>
            </w:pPr>
            <w:r/>
            <w:r>
              <w:t>Moderate</w:t>
            </w:r>
          </w:p>
        </w:tc>
        <w:tc>
          <w:tcPr>
            <w:tcW w:type="dxa" w:w="2160"/>
          </w:tcPr>
          <w:p>
            <w:pPr>
              <w:spacing w:after="40"/>
            </w:pPr>
            <w:r/>
            <w:r>
              <w:t>Fewer facade elements per storefront</w:t>
            </w:r>
          </w:p>
        </w:tc>
        <w:tc>
          <w:tcPr>
            <w:tcW w:type="dxa" w:w="3600"/>
          </w:tcPr>
          <w:p>
            <w:pPr>
              <w:spacing w:after="40"/>
            </w:pPr>
            <w:r/>
            <w:r>
              <w:t>Quotes refreshed at bid; scope tiered so lower-priority elements drop first; committee re-approves reduced scope</w:t>
            </w:r>
          </w:p>
        </w:tc>
      </w:tr>
      <w:tr>
        <w:tc>
          <w:tcPr>
            <w:tcW w:type="dxa" w:w="2376"/>
          </w:tcPr>
          <w:p>
            <w:pPr>
              <w:spacing w:after="40"/>
            </w:pPr>
            <w:r/>
            <w:r>
              <w:t>Phase I finding triggers Phase II</w:t>
            </w:r>
          </w:p>
        </w:tc>
        <w:tc>
          <w:tcPr>
            <w:tcW w:type="dxa" w:w="1224"/>
          </w:tcPr>
          <w:p>
            <w:pPr>
              <w:spacing w:after="40"/>
            </w:pPr>
            <w:r/>
            <w:r>
              <w:t>Low to moderate</w:t>
            </w:r>
          </w:p>
        </w:tc>
        <w:tc>
          <w:tcPr>
            <w:tcW w:type="dxa" w:w="2160"/>
          </w:tcPr>
          <w:p>
            <w:pPr>
              <w:spacing w:after="40"/>
            </w:pPr>
            <w:r/>
            <w:r>
              <w:t>Delay and cost on the two CDC parcels</w:t>
            </w:r>
          </w:p>
        </w:tc>
        <w:tc>
          <w:tcPr>
            <w:tcW w:type="dxa" w:w="3600"/>
          </w:tcPr>
          <w:p>
            <w:pPr>
              <w:spacing w:after="40"/>
            </w:pPr>
            <w:r/>
            <w:r>
              <w:t>$6,500 allowance already budgeted; assessment sequenced in month one so a finding surfaces before construction</w:t>
            </w:r>
          </w:p>
        </w:tc>
      </w:tr>
      <w:tr>
        <w:tc>
          <w:tcPr>
            <w:tcW w:type="dxa" w:w="2376"/>
          </w:tcPr>
          <w:p>
            <w:pPr>
              <w:spacing w:after="40"/>
            </w:pPr>
            <w:r/>
            <w:r>
              <w:t>Contractor availability in a tight local market</w:t>
            </w:r>
          </w:p>
        </w:tc>
        <w:tc>
          <w:tcPr>
            <w:tcW w:type="dxa" w:w="1224"/>
          </w:tcPr>
          <w:p>
            <w:pPr>
              <w:spacing w:after="40"/>
            </w:pPr>
            <w:r/>
            <w:r>
              <w:t>Moderate</w:t>
            </w:r>
          </w:p>
        </w:tc>
        <w:tc>
          <w:tcPr>
            <w:tcW w:type="dxa" w:w="2160"/>
          </w:tcPr>
          <w:p>
            <w:pPr>
              <w:spacing w:after="40"/>
            </w:pPr>
            <w:r/>
            <w:r>
              <w:t>Schedule slip on facade waves</w:t>
            </w:r>
          </w:p>
        </w:tc>
        <w:tc>
          <w:tcPr>
            <w:tcW w:type="dxa" w:w="3600"/>
          </w:tcPr>
          <w:p>
            <w:pPr>
              <w:spacing w:after="40"/>
            </w:pPr>
            <w:r/>
            <w:r>
              <w:t>Two waves rather than six simultaneous projects; three quotes solicited per storefront; bid package issued in month five</w:t>
            </w:r>
          </w:p>
        </w:tc>
      </w:tr>
      <w:tr>
        <w:tc>
          <w:tcPr>
            <w:tcW w:type="dxa" w:w="2376"/>
          </w:tcPr>
          <w:p>
            <w:pPr>
              <w:spacing w:after="40"/>
            </w:pPr>
            <w:r/>
            <w:r>
              <w:t>A participating business closes mid-project</w:t>
            </w:r>
          </w:p>
        </w:tc>
        <w:tc>
          <w:tcPr>
            <w:tcW w:type="dxa" w:w="1224"/>
          </w:tcPr>
          <w:p>
            <w:pPr>
              <w:spacing w:after="40"/>
            </w:pPr>
            <w:r/>
            <w:r>
              <w:t>Low</w:t>
            </w:r>
          </w:p>
        </w:tc>
        <w:tc>
          <w:tcPr>
            <w:tcW w:type="dxa" w:w="2160"/>
          </w:tcPr>
          <w:p>
            <w:pPr>
              <w:spacing w:after="40"/>
            </w:pPr>
            <w:r/>
            <w:r>
              <w:t>One facade agreement lapses</w:t>
            </w:r>
          </w:p>
        </w:tc>
        <w:tc>
          <w:tcPr>
            <w:tcW w:type="dxa" w:w="3600"/>
          </w:tcPr>
          <w:p>
            <w:pPr>
              <w:spacing w:after="40"/>
            </w:pPr>
            <w:r/>
            <w:r>
              <w:t>Two alternate storefronts identified with owners already contacted; agreement assigns to the property rather than the tenant</w:t>
            </w:r>
          </w:p>
        </w:tc>
      </w:tr>
      <w:tr>
        <w:tc>
          <w:tcPr>
            <w:tcW w:type="dxa" w:w="2376"/>
          </w:tcPr>
          <w:p>
            <w:pPr>
              <w:spacing w:after="40"/>
            </w:pPr>
            <w:r/>
            <w:r>
              <w:t>Winter weather delays streetscape installation</w:t>
            </w:r>
          </w:p>
        </w:tc>
        <w:tc>
          <w:tcPr>
            <w:tcW w:type="dxa" w:w="1224"/>
          </w:tcPr>
          <w:p>
            <w:pPr>
              <w:spacing w:after="40"/>
            </w:pPr>
            <w:r/>
            <w:r>
              <w:t>Moderate</w:t>
            </w:r>
          </w:p>
        </w:tc>
        <w:tc>
          <w:tcPr>
            <w:tcW w:type="dxa" w:w="2160"/>
          </w:tcPr>
          <w:p>
            <w:pPr>
              <w:spacing w:after="40"/>
            </w:pPr>
            <w:r/>
            <w:r>
              <w:t>Lighting acceptance slips past month 15</w:t>
            </w:r>
          </w:p>
        </w:tc>
        <w:tc>
          <w:tcPr>
            <w:tcW w:type="dxa" w:w="3600"/>
          </w:tcPr>
          <w:p>
            <w:pPr>
              <w:spacing w:after="40"/>
            </w:pPr>
            <w:r/>
            <w:r>
              <w:t>Installation window set inside the city crew's warm-weather schedule with a month of float before closeout</w:t>
            </w:r>
          </w:p>
        </w:tc>
      </w:tr>
      <w:tr>
        <w:tc>
          <w:tcPr>
            <w:tcW w:type="dxa" w:w="2376"/>
          </w:tcPr>
          <w:p>
            <w:pPr>
              <w:spacing w:after="40"/>
            </w:pPr>
            <w:r/>
            <w:r>
              <w:t>Steering committee attendance falls off</w:t>
            </w:r>
          </w:p>
        </w:tc>
        <w:tc>
          <w:tcPr>
            <w:tcW w:type="dxa" w:w="1224"/>
          </w:tcPr>
          <w:p>
            <w:pPr>
              <w:spacing w:after="40"/>
            </w:pPr>
            <w:r/>
            <w:r>
              <w:t>Moderate</w:t>
            </w:r>
          </w:p>
        </w:tc>
        <w:tc>
          <w:tcPr>
            <w:tcW w:type="dxa" w:w="2160"/>
          </w:tcPr>
          <w:p>
            <w:pPr>
              <w:spacing w:after="40"/>
            </w:pPr>
            <w:r/>
            <w:r>
              <w:t>Weak legitimacy for facade priority decisions</w:t>
            </w:r>
          </w:p>
        </w:tc>
        <w:tc>
          <w:tcPr>
            <w:tcW w:type="dxa" w:w="3600"/>
          </w:tcPr>
          <w:p>
            <w:pPr>
              <w:spacing w:after="40"/>
            </w:pPr>
            <w:r/>
            <w:r>
              <w:t>Stipends, childcare, interpretation, fixed night and venue; mid-point seat refresh in month nine</w:t>
            </w:r>
          </w:p>
        </w:tc>
      </w:tr>
    </w:tbl>
    <w:p>
      <w:pPr>
        <w:spacing w:after="80"/>
      </w:pPr>
    </w:p>
    <w:p>
      <w:pPr>
        <w:pStyle w:val="Heading1"/>
      </w:pPr>
      <w:r>
        <w:t>11. Attachments</w:t>
      </w:r>
    </w:p>
    <w:p>
      <w:pPr>
        <w:pStyle w:val="Caption"/>
      </w:pPr>
      <w:r>
        <w:t>Send exactly what the funder asks for, in the order they asked for it. A missing determination letter is the cheapest way to lose a review.</w:t>
      </w:r>
    </w:p>
    <w:p>
      <w:pPr>
        <w:pStyle w:val="ListBullet"/>
      </w:pPr>
      <w:r>
        <w:t>IRS determination letter confirming 501(c)(3) status</w:t>
      </w:r>
    </w:p>
    <w:p>
      <w:pPr>
        <w:pStyle w:val="ListBullet"/>
      </w:pPr>
      <w:r>
        <w:t>Audited financial statements, three most recent fiscal years, with management letters</w:t>
      </w:r>
    </w:p>
    <w:p>
      <w:pPr>
        <w:pStyle w:val="ListBullet"/>
      </w:pPr>
      <w:r>
        <w:t>Current-year organizational operating budget, board approved</w:t>
      </w:r>
    </w:p>
    <w:p>
      <w:pPr>
        <w:pStyle w:val="ListBullet"/>
      </w:pPr>
      <w:r>
        <w:t>Board roster with terms, affiliations and residence within the service area</w:t>
      </w:r>
    </w:p>
    <w:p>
      <w:pPr>
        <w:pStyle w:val="ListBullet"/>
      </w:pPr>
      <w:r>
        <w:t>Recorded deeds for the two CDC-owned parcels</w:t>
      </w:r>
    </w:p>
    <w:p>
      <w:pPr>
        <w:pStyle w:val="ListBullet"/>
      </w:pPr>
      <w:r>
        <w:t>Six executed facade agreements, including maintenance covenant and rent restriction language</w:t>
      </w:r>
    </w:p>
    <w:p>
      <w:pPr>
        <w:pStyle w:val="ListBullet"/>
      </w:pPr>
      <w:r>
        <w:t>Department of Public Works right-of-way letter with the lighting acceptance clause</w:t>
      </w:r>
    </w:p>
    <w:p>
      <w:pPr>
        <w:pStyle w:val="ListBullet"/>
      </w:pPr>
      <w:r>
        <w:t>Northgate Business Association maintenance commitment, signed</w:t>
      </w:r>
    </w:p>
    <w:p>
      <w:pPr>
        <w:pStyle w:val="ListBullet"/>
      </w:pPr>
      <w:r>
        <w:t>Letter from the partner congregation confirming donated meeting space</w:t>
      </w:r>
    </w:p>
    <w:p>
      <w:pPr>
        <w:pStyle w:val="ListBullet"/>
      </w:pPr>
      <w:r>
        <w:t>Letter from the accounting firm confirming pro bono hours</w:t>
      </w:r>
    </w:p>
    <w:p>
      <w:pPr>
        <w:pStyle w:val="ListBullet"/>
      </w:pPr>
      <w:r>
        <w:t>Corridor condition survey with the by-address vacancy count and photographs</w:t>
      </w:r>
    </w:p>
    <w:p>
      <w:pPr>
        <w:pStyle w:val="ListBullet"/>
      </w:pPr>
      <w:r>
        <w:t>Door-knock survey instrument and results summary</w:t>
      </w:r>
    </w:p>
    <w:p>
      <w:pPr>
        <w:pStyle w:val="ListBullet"/>
      </w:pPr>
      <w:r>
        <w:t>Steering committee charter, including decision rights and the transition clause</w:t>
      </w:r>
    </w:p>
    <w:p>
      <w:pPr>
        <w:pStyle w:val="ListBullet"/>
      </w:pPr>
      <w:r>
        <w:t>Project budget and budget narrative</w:t>
      </w:r>
    </w:p>
    <w:p>
      <w:pPr>
        <w:pStyle w:val="ListBullet"/>
      </w:pPr>
      <w:r>
        <w:t>Supplier quotes for streetscape materials</w:t>
      </w:r>
    </w:p>
    <w:p>
      <w:pPr>
        <w:pStyle w:val="ListBullet"/>
      </w:pPr>
      <w:r>
        <w:t>Procurement, conflict of interest, whistleblower and document retention policies</w:t>
      </w:r>
    </w:p>
    <w:p>
      <w:pPr>
        <w:pStyle w:val="ListBullet"/>
      </w:pPr>
      <w:r>
        <w:t>Map of the service area boundary with the two census tracts marked</w:t>
      </w:r>
    </w:p>
    <w:p>
      <w:r>
        <w:br w:type="page"/>
      </w:r>
    </w:p>
    <w:p>
      <w:pPr>
        <w:pStyle w:val="Heading1"/>
      </w:pPr>
      <w:r>
        <w:t>Appendix A: Adapting This Proposal to Your Own Project</w:t>
      </w:r>
    </w:p>
    <w:p>
      <w:r>
        <w:t>Keep the section order. Reviewers recognize it, and a proposal that arrives in an unfamiliar order costs the reader attention you want spent on the project. Three things change and the rest follows.</w:t>
      </w:r>
    </w:p>
    <w:p>
      <w:pPr>
        <w:pStyle w:val="Heading2"/>
      </w:pPr>
      <w:r>
        <w:t>Start with the boundary</w:t>
      </w:r>
    </w:p>
    <w:p>
      <w:r>
        <w:t>Everything downstream depends on it. The tract data you can pull, the count you can run, and the outcome measures you can honestly claim are all set by where you draw the line. Pick a boundary you can walk in an afternoon and defend in one sentence. Six blocks of one street is defensible. A ward is usually not, unless your activities genuinely reach across it.</w:t>
      </w:r>
    </w:p>
    <w:p>
      <w:pPr>
        <w:pStyle w:val="Heading2"/>
      </w:pPr>
      <w:r>
        <w:t>Swap the activity list</w:t>
      </w:r>
    </w:p>
    <w:p>
      <w:r>
        <w:t>A corridor request, a vacant lot program, a housing rehabilitation pipeline and a small business loan fund all use this same skeleton. Only the middle of Section 3 changes. The site control table changes with it: a rehabilitation pipeline lists purchase agreements and options rather than facade agreements, and a business fund lists underwriting criteria and a loan loss reserve rather than parcels.</w:t>
      </w:r>
    </w:p>
    <w:p>
      <w:pPr>
        <w:pStyle w:val="Heading2"/>
      </w:pPr>
      <w:r>
        <w:t>Rebuild the budget from the activity list</w:t>
      </w:r>
    </w:p>
    <w:p>
      <w:r>
        <w:t>Build it upward from what the work costs, not downward from the number you wish you could ask for. Then check that the narrative and the table report the same total, that every leverage line names a document, and that the four lines inexperienced applicants forget are present: environmental assessment, permits and insurance, participant stipends, and translation.</w:t>
      </w:r>
    </w:p>
    <w:p>
      <w:pPr>
        <w:pStyle w:val="Heading2"/>
      </w:pPr>
      <w:r>
        <w:t>Rewrite sustainability for your specific improvement</w:t>
      </w:r>
    </w:p>
    <w:p>
      <w:r>
        <w:t>A streetscape needs a maintenance owner. A rehabilitated building needs an operator and a capital reserve. A loan fund needs a servicing plan and a loss policy. The question is the same in every version: who is responsible for this in year three, and what have they signed?</w:t>
      </w:r>
    </w:p>
    <w:p>
      <w:pPr>
        <w:pStyle w:val="Heading1"/>
      </w:pPr>
      <w:r>
        <w:t>Appendix B: If You Are Applying Through a City or County CDBG Round</w:t>
      </w:r>
    </w:p>
    <w:p>
      <w:r>
        <w:t>This proposal is written for a private place-based funder. A public round adds requirements that change the document, and the ones below come up in almost every jurisdiction. Confirm each with the department running your round, because local rules sit on top of the federal ones.</w:t>
      </w:r>
    </w:p>
    <w:p>
      <w:pPr>
        <w:pStyle w:val="ListBullet"/>
      </w:pPr>
      <w:r>
        <w:t>State a national objective. Every CDBG-funded activity must meet one of three: benefit to low- and moderate-income persons, prevention or elimination of slums or blight, or an urgent community development need. The criteria are at 24 CFR 570.208 for entitlement cities and urban counties, and at 24 CFR 570.483 for state-administered programs (eCFR, accessed September 2026). Name the objective in the first page, not the appendix.</w:t>
      </w:r>
    </w:p>
    <w:p>
      <w:pPr>
        <w:pStyle w:val="ListBullet"/>
      </w:pPr>
      <w:r>
        <w:t>For an area benefit activity, show the income test. The general rule is that at least 51 percent of residents in the service area are low- and moderate-income, at 570.208(a)(1)(i) for entitlement jurisdictions and 570.483(b)(1)(i) for state programs. Metropolitan cities and urban counties have an exception at 570.208(a)(1)(ii) for an area below that line that falls in the jurisdiction's highest quartile. Use HUD's Low- and Moderate-Income Summary Data for the boundary rather than raw ACS medians.</w:t>
      </w:r>
    </w:p>
    <w:p>
      <w:pPr>
        <w:pStyle w:val="ListBullet"/>
      </w:pPr>
      <w:r>
        <w:t>Confirm the activity is eligible before you budget it. Eligible activities are listed at 24 CFR 570.201 and following; the state program's list is at 570.482.</w:t>
      </w:r>
    </w:p>
    <w:p>
      <w:pPr>
        <w:pStyle w:val="ListBullet"/>
      </w:pPr>
      <w:r>
        <w:t>Do not take a choice-limiting action before environmental clearance. HUD environmental review responsibilities are assumed by the responsible entity under 24 CFR Part 58, and signing a construction contract or acquiring property before clearance can disqualify the cost.</w:t>
      </w:r>
    </w:p>
    <w:p>
      <w:pPr>
        <w:pStyle w:val="ListBullet"/>
      </w:pPr>
      <w:r>
        <w:t>Expect federal procurement standards. Subrecipients follow the procurement rules at 2 CFR 200.317 through 200.327, which are stricter than most nonprofit purchasing policies. Have a written procurement policy before, not after, the award.</w:t>
      </w:r>
    </w:p>
    <w:p>
      <w:pPr>
        <w:pStyle w:val="ListBullet"/>
      </w:pPr>
      <w:r>
        <w:t>Check prevailing wage. Section 110 of the Housing and Community Development Act of 1974 applies Davis-Bacon wage rates to construction work financed with CDBG funds, with an exemption for residential property designed for fewer than eight units. Ask the jurisdiction how it applies to your specific scope before you price the work.</w:t>
      </w:r>
    </w:p>
    <w:p>
      <w:pPr>
        <w:pStyle w:val="ListBullet"/>
      </w:pPr>
      <w:r>
        <w:t>Budget for reporting. Public rounds require beneficiary demographic reporting and accomplishment data on a schedule the jurisdiction sets, and that staff time is a real cost.</w:t>
      </w:r>
    </w:p>
    <w:p>
      <w:pPr>
        <w:pStyle w:val="ListBullet"/>
      </w:pPr>
      <w:r>
        <w:t>Rewrite for the form. Public rounds are usually form-driven with character limits per field. Write the long version first, then cut it into the boxes. The long version is also what you will use when you take the same project to a foundation.</w:t>
      </w:r>
    </w:p>
    <w:p>
      <w:pPr>
        <w:pStyle w:val="Heading1"/>
      </w:pPr>
      <w:r>
        <w:t>Appendix C: Pre-Submission Checklist</w:t>
      </w:r>
    </w:p>
    <w:p>
      <w:pPr>
        <w:pStyle w:val="ListBullet"/>
      </w:pPr>
      <w:r>
        <w:t>The budget table and the budget narrative report the same total, and the arithmetic in every narrative line adds up.</w:t>
      </w:r>
    </w:p>
    <w:p>
      <w:pPr>
        <w:pStyle w:val="ListBullet"/>
      </w:pPr>
      <w:r>
        <w:t>Every leverage line is marked committed, applied or planned, and the committed ones name an attached document.</w:t>
      </w:r>
    </w:p>
    <w:p>
      <w:pPr>
        <w:pStyle w:val="ListBullet"/>
      </w:pPr>
      <w:r>
        <w:t>Every figure in the need statement carries a date and a source, including the ones you counted yourself.</w:t>
      </w:r>
    </w:p>
    <w:p>
      <w:pPr>
        <w:pStyle w:val="ListBullet"/>
      </w:pPr>
      <w:r>
        <w:t>Every outcome measure that needs a baseline has one, collected before the project starts.</w:t>
      </w:r>
    </w:p>
    <w:p>
      <w:pPr>
        <w:pStyle w:val="ListBullet"/>
      </w:pPr>
      <w:r>
        <w:t>The site control table covers every asset the budget touches, and anything without control is named as out of scope.</w:t>
      </w:r>
    </w:p>
    <w:p>
      <w:pPr>
        <w:pStyle w:val="ListBullet"/>
      </w:pPr>
      <w:r>
        <w:t>A named party maintains, insures and pays for each physical improvement after the grant period, with the document attached.</w:t>
      </w:r>
    </w:p>
    <w:p>
      <w:pPr>
        <w:pStyle w:val="ListBullet"/>
      </w:pPr>
      <w:r>
        <w:t>The displacement question is answered in the proposal rather than left for the site visit.</w:t>
      </w:r>
    </w:p>
    <w:p>
      <w:pPr>
        <w:pStyle w:val="ListBullet"/>
      </w:pPr>
      <w:r>
        <w:t>The schedule puts assessment and survey before construction, and a reader can see the sequence at a glance.</w:t>
      </w:r>
    </w:p>
    <w:p>
      <w:pPr>
        <w:pStyle w:val="ListBullet"/>
      </w:pPr>
      <w:r>
        <w:t>Delete your organization's name from the need statement and read it again. If it still describes a place a reviewer can find on a map, it works.</w:t>
      </w:r>
    </w:p>
    <w:p>
      <w:pPr>
        <w:pStyle w:val="ListBullet"/>
      </w:pPr>
      <w:r>
        <w:t>Read the ask sentence aloud. It should name the dollar figure, the geography and the period in one breath.</w:t>
      </w:r>
    </w:p>
    <w:p>
      <w:pPr>
        <w:pStyle w:val="ListBullet"/>
      </w:pPr>
      <w:r>
        <w:t>The funder's eligibility, page limits and attachment list have been checked against what you are actually sending.</w:t>
      </w:r>
    </w:p>
    <w:p/>
    <w:p>
      <w:pPr>
        <w:jc w:val="center"/>
      </w:pPr>
      <w:r>
        <w:rPr>
          <w:color w:val="595959"/>
          <w:sz w:val="18"/>
        </w:rPr>
        <w:t>GrantCue - grantcue.com/blog/sample-grant-proposal-community-development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GrantCue - grantcue.com/blog/sample-grant-proposal-community-development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59595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