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 Arts Organization</w:t>
      </w:r>
    </w:p>
    <w:p>
      <w:pPr>
        <w:pStyle w:val="Subtitle"/>
      </w:pPr>
      <w:r>
        <w:t>A complete, adaptable project support proposal for a community theater production paired with school residencies, with an arts budget that balances and the audience and access metrics funders ask you to report.</w:t>
      </w:r>
    </w:p>
    <w:p>
      <w:pPr>
        <w:spacing w:after="40"/>
      </w:pPr>
      <w:r>
        <w:rPr>
          <w:b/>
          <w:i w:val="0"/>
        </w:rPr>
        <w:t>Request: $30,000 toward a $60,000 project over a nine-month period</w:t>
      </w:r>
    </w:p>
    <w:p>
      <w:pPr>
        <w:spacing w:after="40"/>
      </w:pPr>
      <w:r>
        <w:rPr>
          <w:b w:val="0"/>
          <w:i w:val="0"/>
        </w:rPr>
        <w:t>Project: A ten-performance production of a licensed play, four Title I school residencies, and a fully costed access services plan</w:t>
      </w:r>
    </w:p>
    <w:p>
      <w:pPr>
        <w:spacing w:after="40"/>
      </w:pPr>
      <w:r>
        <w:rPr>
          <w:b w:val="0"/>
          <w:i w:val="0"/>
        </w:rPr>
        <w:t>Applicant: Example Theater Collective, a composite organization created for this template</w:t>
      </w:r>
    </w:p>
    <w:p>
      <w:pPr>
        <w:spacing w:after="200"/>
      </w:pPr>
      <w:r>
        <w:rPr>
          <w:b w:val="0"/>
          <w:i w:val="0"/>
        </w:rPr>
        <w:t>Document version: September 2026</w:t>
      </w:r>
    </w:p>
    <w:p>
      <w:pPr>
        <w:pStyle w:val="IntenseQuote"/>
      </w:pPr>
      <w:r>
        <w:t>Read this first. Example Theater Collective is not a real company, and Millbrook, Cedar County, and the Millbrook Area School District are composite places invented for this document. Every attendance figure, artist rate, and dollar amount below is illustrative, chosen so the arithmetic is visible and the budget balances. Replace each one with your own box office reports, contracts, and local data before you submit anything. No funder in this document is named except the National Endowment for the Arts, whose published guidelines are cited because they are public.</w:t>
      </w:r>
    </w:p>
    <w:p>
      <w:r>
        <w:rPr>
          <w:b w:val="0"/>
          <w:i w:val="0"/>
        </w:rPr>
        <w:t>This document is written to be submitted, not just read. Every section is drafted in full prose rather than as an outline, so you can adapt it line by line instead of starting from a blank page. The structure follows the nine sections most arts funders ask for, and it carries the two things a general nonprofit template leaves out: an artistic rationale, and access services costed as their own budget line.</w:t>
      </w:r>
    </w:p>
    <w:p>
      <w:pPr>
        <w:pStyle w:val="Heading1"/>
      </w:pPr>
      <w:r>
        <w:t>How to Use This Document</w:t>
      </w:r>
    </w:p>
    <w:p>
      <w:r>
        <w:rPr>
          <w:b w:val="0"/>
          <w:i w:val="0"/>
        </w:rPr>
        <w:t>An arts proposal answers two review questions at once. Is the work artistically strong, and does the public get something real from it. Most proposals in other sectors answer only the second, which is why a general template rebuilt for an arts application tends to read as a program plan with no art in it. This document keeps both answers in view.</w:t>
      </w:r>
    </w:p>
    <w:p>
      <w:r>
        <w:rPr>
          <w:b w:val="0"/>
          <w:i w:val="0"/>
        </w:rPr>
        <w:t>Work through it in three passes. First replace the composite facts in the table below. Second, rewrite the artistic rationale completely, because that section changes more between applications than any other. Third, rebuild the budget from your own contracts and quotes, then check that the totals still balance and the cost share still covers at least half of the project.</w:t>
      </w:r>
    </w:p>
    <w:p>
      <w:pPr>
        <w:pStyle w:val="Heading2"/>
      </w:pPr>
      <w:r>
        <w:t>Fields to replace</w:t>
      </w:r>
    </w:p>
    <w:tbl>
      <w:tblPr>
        <w:tblStyle w:val="LightGrid-Accent1"/>
        <w:tblW w:type="auto" w:w="0"/>
        <w:jc w:val="center"/>
        <w:tblLook w:firstColumn="1" w:firstRow="1" w:lastColumn="0" w:lastRow="0" w:noHBand="0" w:noVBand="1" w:val="04A0"/>
      </w:tblPr>
      <w:tblGrid>
        <w:gridCol w:w="3120"/>
        <w:gridCol w:w="3120"/>
        <w:gridCol w:w="3120"/>
      </w:tblGrid>
      <w:tr>
        <w:trPr>
          <w:tblHeader/>
        </w:trPr>
        <w:tc>
          <w:tcPr>
            <w:tcW w:type="dxa" w:w="3024"/>
          </w:tcPr>
          <w:p>
            <w:pPr>
              <w:spacing w:after="40"/>
            </w:pPr>
            <w:r/>
            <w:r>
              <w:rPr>
                <w:b/>
                <w:sz w:val="20"/>
              </w:rPr>
              <w:t>Placeholder or composite fact</w:t>
            </w:r>
          </w:p>
        </w:tc>
        <w:tc>
          <w:tcPr>
            <w:tcW w:type="dxa" w:w="3456"/>
          </w:tcPr>
          <w:p>
            <w:pPr>
              <w:spacing w:after="40"/>
            </w:pPr>
            <w:r/>
            <w:r>
              <w:rPr>
                <w:b/>
                <w:sz w:val="20"/>
              </w:rPr>
              <w:t>Replace with</w:t>
            </w:r>
          </w:p>
        </w:tc>
        <w:tc>
          <w:tcPr>
            <w:tcW w:type="dxa" w:w="2736"/>
          </w:tcPr>
          <w:p>
            <w:pPr>
              <w:spacing w:after="40"/>
            </w:pPr>
            <w:r/>
            <w:r>
              <w:rPr>
                <w:b/>
                <w:sz w:val="20"/>
              </w:rPr>
              <w:t>Where it appears</w:t>
            </w:r>
          </w:p>
        </w:tc>
      </w:tr>
      <w:tr>
        <w:tc>
          <w:tcPr>
            <w:tcW w:type="dxa" w:w="3024"/>
          </w:tcPr>
          <w:p>
            <w:pPr>
              <w:spacing w:after="40"/>
            </w:pPr>
            <w:r/>
            <w:r>
              <w:rPr>
                <w:b w:val="0"/>
                <w:sz w:val="20"/>
              </w:rPr>
              <w:t>Example Theater Collective, ETC</w:t>
            </w:r>
          </w:p>
        </w:tc>
        <w:tc>
          <w:tcPr>
            <w:tcW w:type="dxa" w:w="3456"/>
          </w:tcPr>
          <w:p>
            <w:pPr>
              <w:spacing w:after="40"/>
            </w:pPr>
            <w:r/>
            <w:r>
              <w:rPr>
                <w:b w:val="0"/>
                <w:sz w:val="20"/>
              </w:rPr>
              <w:t>Your legal organization name and the acronym you use</w:t>
            </w:r>
          </w:p>
        </w:tc>
        <w:tc>
          <w:tcPr>
            <w:tcW w:type="dxa" w:w="2736"/>
          </w:tcPr>
          <w:p>
            <w:pPr>
              <w:spacing w:after="40"/>
            </w:pPr>
            <w:r/>
            <w:r>
              <w:rPr>
                <w:b w:val="0"/>
                <w:sz w:val="20"/>
              </w:rPr>
              <w:t>Throughout</w:t>
            </w:r>
          </w:p>
        </w:tc>
      </w:tr>
      <w:tr>
        <w:tc>
          <w:tcPr>
            <w:tcW w:type="dxa" w:w="3024"/>
          </w:tcPr>
          <w:p>
            <w:pPr>
              <w:spacing w:after="40"/>
            </w:pPr>
            <w:r/>
            <w:r>
              <w:rPr>
                <w:b w:val="0"/>
                <w:sz w:val="20"/>
              </w:rPr>
              <w:t>Millbrook, Cedar County</w:t>
            </w:r>
          </w:p>
        </w:tc>
        <w:tc>
          <w:tcPr>
            <w:tcW w:type="dxa" w:w="3456"/>
          </w:tcPr>
          <w:p>
            <w:pPr>
              <w:spacing w:after="40"/>
            </w:pPr>
            <w:r/>
            <w:r>
              <w:rPr>
                <w:b w:val="0"/>
                <w:sz w:val="20"/>
              </w:rPr>
              <w:t>Your city and county</w:t>
            </w:r>
          </w:p>
        </w:tc>
        <w:tc>
          <w:tcPr>
            <w:tcW w:type="dxa" w:w="2736"/>
          </w:tcPr>
          <w:p>
            <w:pPr>
              <w:spacing w:after="40"/>
            </w:pPr>
            <w:r/>
            <w:r>
              <w:rPr>
                <w:b w:val="0"/>
                <w:sz w:val="20"/>
              </w:rPr>
              <w:t>Need statement, project description, metrics</w:t>
            </w:r>
          </w:p>
        </w:tc>
      </w:tr>
      <w:tr>
        <w:tc>
          <w:tcPr>
            <w:tcW w:type="dxa" w:w="3024"/>
          </w:tcPr>
          <w:p>
            <w:pPr>
              <w:spacing w:after="40"/>
            </w:pPr>
            <w:r/>
            <w:r>
              <w:rPr>
                <w:b w:val="0"/>
                <w:sz w:val="20"/>
              </w:rPr>
              <w:t>Millbrook Area School District</w:t>
            </w:r>
          </w:p>
        </w:tc>
        <w:tc>
          <w:tcPr>
            <w:tcW w:type="dxa" w:w="3456"/>
          </w:tcPr>
          <w:p>
            <w:pPr>
              <w:spacing w:after="40"/>
            </w:pPr>
            <w:r/>
            <w:r>
              <w:rPr>
                <w:b w:val="0"/>
                <w:sz w:val="20"/>
              </w:rPr>
              <w:t>Your partner district, named in the partnership letter</w:t>
            </w:r>
          </w:p>
        </w:tc>
        <w:tc>
          <w:tcPr>
            <w:tcW w:type="dxa" w:w="2736"/>
          </w:tcPr>
          <w:p>
            <w:pPr>
              <w:spacing w:after="40"/>
            </w:pPr>
            <w:r/>
            <w:r>
              <w:rPr>
                <w:b w:val="0"/>
                <w:sz w:val="20"/>
              </w:rPr>
              <w:t>Need statement, residency plan</w:t>
            </w:r>
          </w:p>
        </w:tc>
      </w:tr>
      <w:tr>
        <w:tc>
          <w:tcPr>
            <w:tcW w:type="dxa" w:w="3024"/>
          </w:tcPr>
          <w:p>
            <w:pPr>
              <w:spacing w:after="40"/>
            </w:pPr>
            <w:r/>
            <w:r>
              <w:rPr>
                <w:b w:val="0"/>
                <w:sz w:val="20"/>
              </w:rPr>
              <w:t>[Funder name], [Contact name], [Program or fund name]</w:t>
            </w:r>
          </w:p>
        </w:tc>
        <w:tc>
          <w:tcPr>
            <w:tcW w:type="dxa" w:w="3456"/>
          </w:tcPr>
          <w:p>
            <w:pPr>
              <w:spacing w:after="40"/>
            </w:pPr>
            <w:r/>
            <w:r>
              <w:rPr>
                <w:b w:val="0"/>
                <w:sz w:val="20"/>
              </w:rPr>
              <w:t>The funder, the program officer, the specific fund</w:t>
            </w:r>
          </w:p>
        </w:tc>
        <w:tc>
          <w:tcPr>
            <w:tcW w:type="dxa" w:w="2736"/>
          </w:tcPr>
          <w:p>
            <w:pPr>
              <w:spacing w:after="40"/>
            </w:pPr>
            <w:r/>
            <w:r>
              <w:rPr>
                <w:b w:val="0"/>
                <w:sz w:val="20"/>
              </w:rPr>
              <w:t>Cover letter, summary, budget narrative</w:t>
            </w:r>
          </w:p>
        </w:tc>
      </w:tr>
      <w:tr>
        <w:tc>
          <w:tcPr>
            <w:tcW w:type="dxa" w:w="3024"/>
          </w:tcPr>
          <w:p>
            <w:pPr>
              <w:spacing w:after="40"/>
            </w:pPr>
            <w:r/>
            <w:r>
              <w:rPr>
                <w:b w:val="0"/>
                <w:sz w:val="20"/>
              </w:rPr>
              <w:t>$30,000 request against $60,000 total</w:t>
            </w:r>
          </w:p>
        </w:tc>
        <w:tc>
          <w:tcPr>
            <w:tcW w:type="dxa" w:w="3456"/>
          </w:tcPr>
          <w:p>
            <w:pPr>
              <w:spacing w:after="40"/>
            </w:pPr>
            <w:r/>
            <w:r>
              <w:rPr>
                <w:b w:val="0"/>
                <w:sz w:val="20"/>
              </w:rPr>
              <w:t>Your request and total project cost</w:t>
            </w:r>
          </w:p>
        </w:tc>
        <w:tc>
          <w:tcPr>
            <w:tcW w:type="dxa" w:w="2736"/>
          </w:tcPr>
          <w:p>
            <w:pPr>
              <w:spacing w:after="40"/>
            </w:pPr>
            <w:r/>
            <w:r>
              <w:rPr>
                <w:b w:val="0"/>
                <w:sz w:val="20"/>
              </w:rPr>
              <w:t>Summary, budget, cost share table</w:t>
            </w:r>
          </w:p>
        </w:tc>
      </w:tr>
      <w:tr>
        <w:tc>
          <w:tcPr>
            <w:tcW w:type="dxa" w:w="3024"/>
          </w:tcPr>
          <w:p>
            <w:pPr>
              <w:spacing w:after="40"/>
            </w:pPr>
            <w:r/>
            <w:r>
              <w:rPr>
                <w:b w:val="0"/>
                <w:sz w:val="20"/>
              </w:rPr>
              <w:t>180-seat venue, 10 performances</w:t>
            </w:r>
          </w:p>
        </w:tc>
        <w:tc>
          <w:tcPr>
            <w:tcW w:type="dxa" w:w="3456"/>
          </w:tcPr>
          <w:p>
            <w:pPr>
              <w:spacing w:after="40"/>
            </w:pPr>
            <w:r/>
            <w:r>
              <w:rPr>
                <w:b w:val="0"/>
                <w:sz w:val="20"/>
              </w:rPr>
              <w:t>Your venue capacity and performance count</w:t>
            </w:r>
          </w:p>
        </w:tc>
        <w:tc>
          <w:tcPr>
            <w:tcW w:type="dxa" w:w="2736"/>
          </w:tcPr>
          <w:p>
            <w:pPr>
              <w:spacing w:after="40"/>
            </w:pPr>
            <w:r/>
            <w:r>
              <w:rPr>
                <w:b w:val="0"/>
                <w:sz w:val="20"/>
              </w:rPr>
              <w:t>Project description, metrics, earned revenue</w:t>
            </w:r>
          </w:p>
        </w:tc>
      </w:tr>
      <w:tr>
        <w:tc>
          <w:tcPr>
            <w:tcW w:type="dxa" w:w="3024"/>
          </w:tcPr>
          <w:p>
            <w:pPr>
              <w:spacing w:after="40"/>
            </w:pPr>
            <w:r/>
            <w:r>
              <w:rPr>
                <w:b w:val="0"/>
                <w:sz w:val="20"/>
              </w:rPr>
              <w:t>68 percent of house sold</w:t>
            </w:r>
          </w:p>
        </w:tc>
        <w:tc>
          <w:tcPr>
            <w:tcW w:type="dxa" w:w="3456"/>
          </w:tcPr>
          <w:p>
            <w:pPr>
              <w:spacing w:after="40"/>
            </w:pPr>
            <w:r/>
            <w:r>
              <w:rPr>
                <w:b w:val="0"/>
                <w:sz w:val="20"/>
              </w:rPr>
              <w:t>The percentage your last comparable production actually sold</w:t>
            </w:r>
          </w:p>
        </w:tc>
        <w:tc>
          <w:tcPr>
            <w:tcW w:type="dxa" w:w="2736"/>
          </w:tcPr>
          <w:p>
            <w:pPr>
              <w:spacing w:after="40"/>
            </w:pPr>
            <w:r/>
            <w:r>
              <w:rPr>
                <w:b w:val="0"/>
                <w:sz w:val="20"/>
              </w:rPr>
              <w:t>Earned revenue projection</w:t>
            </w:r>
          </w:p>
        </w:tc>
      </w:tr>
      <w:tr>
        <w:tc>
          <w:tcPr>
            <w:tcW w:type="dxa" w:w="3024"/>
          </w:tcPr>
          <w:p>
            <w:pPr>
              <w:spacing w:after="40"/>
            </w:pPr>
            <w:r/>
            <w:r>
              <w:rPr>
                <w:b w:val="0"/>
                <w:sz w:val="20"/>
              </w:rPr>
              <w:t>Artist fees at the rates shown</w:t>
            </w:r>
          </w:p>
        </w:tc>
        <w:tc>
          <w:tcPr>
            <w:tcW w:type="dxa" w:w="3456"/>
          </w:tcPr>
          <w:p>
            <w:pPr>
              <w:spacing w:after="40"/>
            </w:pPr>
            <w:r/>
            <w:r>
              <w:rPr>
                <w:b w:val="0"/>
                <w:sz w:val="20"/>
              </w:rPr>
              <w:t>Your contracted or scale rates, and the standard you follow</w:t>
            </w:r>
          </w:p>
        </w:tc>
        <w:tc>
          <w:tcPr>
            <w:tcW w:type="dxa" w:w="2736"/>
          </w:tcPr>
          <w:p>
            <w:pPr>
              <w:spacing w:after="40"/>
            </w:pPr>
            <w:r/>
            <w:r>
              <w:rPr>
                <w:b w:val="0"/>
                <w:sz w:val="20"/>
              </w:rPr>
              <w:t>Artistic rationale, budget narrative</w:t>
            </w:r>
          </w:p>
        </w:tc>
      </w:tr>
      <w:tr>
        <w:tc>
          <w:tcPr>
            <w:tcW w:type="dxa" w:w="3024"/>
          </w:tcPr>
          <w:p>
            <w:pPr>
              <w:spacing w:after="40"/>
            </w:pPr>
            <w:r/>
            <w:r>
              <w:rPr>
                <w:b w:val="0"/>
                <w:sz w:val="20"/>
              </w:rPr>
              <w:t>264 students across 12 classrooms</w:t>
            </w:r>
          </w:p>
        </w:tc>
        <w:tc>
          <w:tcPr>
            <w:tcW w:type="dxa" w:w="3456"/>
          </w:tcPr>
          <w:p>
            <w:pPr>
              <w:spacing w:after="40"/>
            </w:pPr>
            <w:r/>
            <w:r>
              <w:rPr>
                <w:b w:val="0"/>
                <w:sz w:val="20"/>
              </w:rPr>
              <w:t>Your confirmed classroom count and enrollment</w:t>
            </w:r>
          </w:p>
        </w:tc>
        <w:tc>
          <w:tcPr>
            <w:tcW w:type="dxa" w:w="2736"/>
          </w:tcPr>
          <w:p>
            <w:pPr>
              <w:spacing w:after="40"/>
            </w:pPr>
            <w:r/>
            <w:r>
              <w:rPr>
                <w:b w:val="0"/>
                <w:sz w:val="20"/>
              </w:rPr>
              <w:t>Residency plan, outcomes, metrics</w:t>
            </w:r>
          </w:p>
        </w:tc>
      </w:tr>
      <w:tr>
        <w:tc>
          <w:tcPr>
            <w:tcW w:type="dxa" w:w="3024"/>
          </w:tcPr>
          <w:p>
            <w:pPr>
              <w:spacing w:after="40"/>
            </w:pPr>
            <w:r/>
            <w:r>
              <w:rPr>
                <w:b w:val="0"/>
                <w:sz w:val="20"/>
              </w:rPr>
              <w:t>[Title of work], [playwright or composer]</w:t>
            </w:r>
          </w:p>
        </w:tc>
        <w:tc>
          <w:tcPr>
            <w:tcW w:type="dxa" w:w="3456"/>
          </w:tcPr>
          <w:p>
            <w:pPr>
              <w:spacing w:after="40"/>
            </w:pPr>
            <w:r/>
            <w:r>
              <w:rPr>
                <w:b w:val="0"/>
                <w:sz w:val="20"/>
              </w:rPr>
              <w:t>The work you are producing and its rights holder</w:t>
            </w:r>
          </w:p>
        </w:tc>
        <w:tc>
          <w:tcPr>
            <w:tcW w:type="dxa" w:w="2736"/>
          </w:tcPr>
          <w:p>
            <w:pPr>
              <w:spacing w:after="40"/>
            </w:pPr>
            <w:r/>
            <w:r>
              <w:rPr>
                <w:b w:val="0"/>
                <w:sz w:val="20"/>
              </w:rPr>
              <w:t>Artistic rationale, rights line</w:t>
            </w:r>
          </w:p>
        </w:tc>
      </w:tr>
      <w:tr>
        <w:tc>
          <w:tcPr>
            <w:tcW w:type="dxa" w:w="3024"/>
          </w:tcPr>
          <w:p>
            <w:pPr>
              <w:spacing w:after="40"/>
            </w:pPr>
            <w:r/>
            <w:r>
              <w:rPr>
                <w:b w:val="0"/>
                <w:sz w:val="20"/>
              </w:rPr>
              <w:t>Local data marked [cite your source]</w:t>
            </w:r>
          </w:p>
        </w:tc>
        <w:tc>
          <w:tcPr>
            <w:tcW w:type="dxa" w:w="3456"/>
          </w:tcPr>
          <w:p>
            <w:pPr>
              <w:spacing w:after="40"/>
            </w:pPr>
            <w:r/>
            <w:r>
              <w:rPr>
                <w:b w:val="0"/>
                <w:sz w:val="20"/>
              </w:rPr>
              <w:t>A named local source: district staffing report, cultural plan, box office report</w:t>
            </w:r>
          </w:p>
        </w:tc>
        <w:tc>
          <w:tcPr>
            <w:tcW w:type="dxa" w:w="2736"/>
          </w:tcPr>
          <w:p>
            <w:pPr>
              <w:spacing w:after="40"/>
            </w:pPr>
            <w:r/>
            <w:r>
              <w:rPr>
                <w:b w:val="0"/>
                <w:sz w:val="20"/>
              </w:rPr>
              <w:t>Statement of need</w:t>
            </w:r>
          </w:p>
        </w:tc>
      </w:tr>
    </w:tbl>
    <w:p>
      <w:pPr>
        <w:spacing w:after="40"/>
      </w:pPr>
    </w:p>
    <w:p>
      <w:pPr>
        <w:pStyle w:val="Heading2"/>
      </w:pPr>
      <w:r>
        <w:t>What to keep and what to rebuild</w:t>
      </w:r>
    </w:p>
    <w:p>
      <w:r>
        <w:rPr>
          <w:b w:val="0"/>
          <w:i w:val="0"/>
        </w:rPr>
        <w:t>Keep the section order, the split between outputs and outcomes, the budget format with a request column beside a cost share column, the access services line, and the metrics table that pairs every count with a definition and a data source. Those are the parts that make an arts proposal checkable.</w:t>
      </w:r>
    </w:p>
    <w:p>
      <w:r>
        <w:rPr>
          <w:b w:val="0"/>
          <w:i w:val="0"/>
        </w:rPr>
        <w:t>Rebuild the artistic rationale, the statement of need, the organizational background, and every number. A reviewer who has read forty applications recognizes template prose in the rationale immediately, because that is the one section where a company has to sound like itself.</w:t>
      </w:r>
    </w:p>
    <w:p>
      <w:pPr>
        <w:pStyle w:val="IntenseQuote"/>
      </w:pPr>
      <w:r>
        <w:t>Adaptation note for other disciplines. The structure holds for a gallery, a music ensemble, a dance company, a folk and traditional arts program, or a museum education department. Swap performances for exhibition days, concerts, or gallery hours, swap teaching artist residencies for workshops or docent programs, and keep the access services line exactly as it is. The adaptation checklist near the end lists the substitutions discipline by discipline.</w:t>
      </w:r>
    </w:p>
    <w:p>
      <w:pPr>
        <w:pStyle w:val="Heading1"/>
      </w:pPr>
      <w:r>
        <w:t>Cover Letter</w:t>
      </w:r>
    </w:p>
    <w:p>
      <w:pPr>
        <w:spacing w:after="0"/>
      </w:pPr>
      <w:r>
        <w:rPr>
          <w:b w:val="0"/>
          <w:i w:val="0"/>
        </w:rPr>
        <w:t>[Date]</w:t>
      </w:r>
    </w:p>
    <w:p>
      <w:pPr>
        <w:spacing w:after="0"/>
      </w:pPr>
      <w:r>
        <w:rPr>
          <w:b w:val="0"/>
          <w:i w:val="0"/>
        </w:rPr>
        <w:t>[Contact name], [title]</w:t>
      </w:r>
    </w:p>
    <w:p>
      <w:pPr>
        <w:spacing w:after="0"/>
      </w:pPr>
      <w:r>
        <w:rPr>
          <w:b w:val="0"/>
          <w:i w:val="0"/>
        </w:rPr>
        <w:t>[Funder name]</w:t>
      </w:r>
    </w:p>
    <w:p>
      <w:pPr>
        <w:spacing w:after="0"/>
      </w:pPr>
      <w:r>
        <w:rPr>
          <w:b w:val="0"/>
          <w:i w:val="0"/>
        </w:rPr>
        <w:t>[Street address]</w:t>
      </w:r>
    </w:p>
    <w:p>
      <w:pPr>
        <w:spacing w:after="200"/>
      </w:pPr>
      <w:r>
        <w:rPr>
          <w:b w:val="0"/>
          <w:i w:val="0"/>
        </w:rPr>
        <w:t>[City, State ZIP]</w:t>
      </w:r>
    </w:p>
    <w:p>
      <w:r>
        <w:rPr>
          <w:b/>
          <w:i w:val="0"/>
        </w:rPr>
        <w:t>Re: Request for $30,000 toward a $60,000 production and school residency project, [Program or fund name]</w:t>
      </w:r>
    </w:p>
    <w:p>
      <w:r>
        <w:rPr>
          <w:b w:val="0"/>
          <w:i w:val="0"/>
        </w:rPr>
        <w:t>Dear [Contact name]:</w:t>
      </w:r>
    </w:p>
    <w:p>
      <w:r>
        <w:rPr>
          <w:b w:val="0"/>
          <w:i w:val="0"/>
        </w:rPr>
        <w:t>On behalf of the Board of Directors of Example Theater Collective, I am requesting $30,000 toward a $60,000 project that will produce [title of work] across ten public performances in Millbrook and deliver teaching artist residencies in four Title I elementary schools. The request is half of total project cost. The remaining $30,000 is committed or pending from nonfederal sources listed in the budget.</w:t>
      </w:r>
    </w:p>
    <w:p>
      <w:r>
        <w:rPr>
          <w:b w:val="0"/>
          <w:i w:val="0"/>
        </w:rPr>
        <w:t>The gap this project closes is documented in the district's own staffing records. The Millbrook Area School District eliminated its elementary music and theater positions in 2022, and 264 students in our four partner schools currently receive no in-school arts instruction [cite your district staffing report]. Our venue sits between 3.8 and 5.1 miles from those schools' attendance zones, in a part of the county where a documented share of households report no vehicle access [cite your local source].</w:t>
      </w:r>
    </w:p>
    <w:p>
      <w:r>
        <w:rPr>
          <w:b w:val="0"/>
          <w:i w:val="0"/>
        </w:rPr>
        <w:t>The project pays 15 artists a total of $26,500, which is 44 percent of the project budget. Artist fees are budgeted separately from staff salaries so a panel can see exactly what reaches the people making the work. Access services carry their own $4,000 line and cover two ASL-interpreted performances, two open-captioned performances, one audio-described performance, one sensory-friendly performance, and large-print programs. Four of the ten performances are free or pay-what-you-wish.</w:t>
      </w:r>
    </w:p>
    <w:p>
      <w:r>
        <w:rPr>
          <w:b w:val="0"/>
          <w:i w:val="0"/>
        </w:rPr>
        <w:t>We will report against measures we can produce from systems we already run. Attendance and geographic reach come from the box office system, contact hours come from teaching artist session logs, and first-time attendance comes from a four-question exit survey. Accommodations offered and accommodations actually used will be reported as two separate numbers rather than as a single claim about accessible programming.</w:t>
      </w:r>
    </w:p>
    <w:p>
      <w:r>
        <w:rPr>
          <w:b w:val="0"/>
          <w:i w:val="0"/>
        </w:rPr>
        <w:t>Our audited financial statements, IRS determination letter, board roster, partnership letter from the district, venue in-kind letter, and curated work samples are attached.</w:t>
      </w:r>
    </w:p>
    <w:p>
      <w:r>
        <w:rPr>
          <w:b w:val="0"/>
          <w:i w:val="0"/>
        </w:rPr>
        <w:t>Thank you for considering this request.</w:t>
      </w:r>
    </w:p>
    <w:p>
      <w:pPr>
        <w:spacing w:after="280"/>
      </w:pPr>
      <w:r>
        <w:rPr>
          <w:b w:val="0"/>
          <w:i w:val="0"/>
        </w:rPr>
        <w:t>Sincerely,</w:t>
      </w:r>
    </w:p>
    <w:p>
      <w:pPr>
        <w:spacing w:after="0"/>
      </w:pPr>
      <w:r>
        <w:rPr>
          <w:b w:val="0"/>
          <w:i w:val="0"/>
        </w:rPr>
        <w:t>[Name], Board Chair</w:t>
      </w:r>
    </w:p>
    <w:p>
      <w:pPr>
        <w:spacing w:after="200"/>
      </w:pPr>
      <w:r>
        <w:rPr>
          <w:b w:val="0"/>
          <w:i w:val="0"/>
        </w:rPr>
        <w:t>Example Theater Collective</w:t>
      </w:r>
    </w:p>
    <w:p>
      <w:pPr>
        <w:spacing w:after="0"/>
      </w:pPr>
      <w:r>
        <w:rPr>
          <w:b w:val="0"/>
          <w:i w:val="0"/>
        </w:rPr>
        <w:t>[Name], Artistic Director</w:t>
      </w:r>
    </w:p>
    <w:p>
      <w:r>
        <w:rPr>
          <w:b w:val="0"/>
          <w:i w:val="0"/>
        </w:rPr>
        <w:t>Example Theater Collective</w:t>
      </w:r>
    </w:p>
    <w:p>
      <w:pPr>
        <w:pStyle w:val="Heading1"/>
      </w:pPr>
      <w:r>
        <w:t>Project Summary</w:t>
      </w:r>
    </w:p>
    <w:p>
      <w:r>
        <w:rPr>
          <w:b w:val="0"/>
          <w:i w:val="0"/>
        </w:rPr>
        <w:t>Most arts applications cap the summary at one paragraph. Write the ask, the work, and the public benefit into that paragraph, and put the supporting detail in the sections that follow. Sample language you can adapt directly:</w:t>
      </w:r>
    </w:p>
    <w:p>
      <w:pPr>
        <w:spacing w:before="120" w:after="200"/>
        <w:ind w:left="504" w:right="288"/>
        <w:pBdr>
          <w:left w:val="single" w:sz="18" w:space="8" w:color="1F3D4A"/>
        </w:pBdr>
      </w:pPr>
      <w:r>
        <w:rPr>
          <w:i/>
          <w:color w:val="22333A"/>
        </w:rPr>
        <w:t>Example Theater Collective requests $30,000 toward a $60,000 project to produce [title of work] across ten public performances and to deliver 60 teaching artist residency sessions in four Title I elementary schools in the Millbrook Area School District. The project pays 15 local artists a total of $26,500 at contracted rates, and includes ASL-interpreted, open-captioned, audio-described, and sensory-friendly performances. Free and pay-what-you-wish admission covers four of the ten performances. Projected attendance is 1,224 across the run, based on the 68 percent of house our last comparable production sold.</w:t>
      </w:r>
    </w:p>
    <w:p>
      <w:r>
        <w:rPr>
          <w:b w:val="0"/>
          <w:i w:val="0"/>
        </w:rPr>
        <w:t>If the application gives you more room, expand into the five short blocks below. Each one answers a question a panel asks in the first two minutes.</w:t>
      </w:r>
    </w:p>
    <w:p>
      <w:pPr>
        <w:pStyle w:val="Heading2"/>
      </w:pPr>
      <w:r>
        <w:t>The work</w:t>
      </w:r>
    </w:p>
    <w:p>
      <w:r>
        <w:rPr>
          <w:b w:val="0"/>
          <w:i w:val="0"/>
        </w:rPr>
        <w:t>ETC will produce [title of work] by [playwright], a licensed play selected through an open call reviewed by a three-member artistic committee. The production runs ten performances over two weeks in ETC's 180-seat venue, and pairs with a residency program that brings three teaching artists into 12 classrooms across four elementary schools.</w:t>
      </w:r>
    </w:p>
    <w:p>
      <w:pPr>
        <w:pStyle w:val="Heading2"/>
      </w:pPr>
      <w:r>
        <w:t>The public benefit</w:t>
      </w:r>
    </w:p>
    <w:p>
      <w:r>
        <w:rPr>
          <w:b w:val="0"/>
          <w:i w:val="0"/>
        </w:rPr>
        <w:t>Four performances are free or pay-what-you-wish, six carry at least one access service, and 264 students receive 7.5 contact hours each of theater instruction in schools that have had no arts staff since 2022. The benefit is budgeted rather than asserted, which means a panel can check it against the expense side of the budget.</w:t>
      </w:r>
    </w:p>
    <w:p>
      <w:pPr>
        <w:pStyle w:val="Heading2"/>
      </w:pPr>
      <w:r>
        <w:t>The numbers</w:t>
      </w:r>
    </w:p>
    <w:p>
      <w:r>
        <w:rPr>
          <w:b w:val="0"/>
          <w:i/>
          <w:sz w:val="20"/>
        </w:rPr>
        <w:t>Illustrative figures for a composite company. Substitute your own box office and contract data.</w:t>
      </w:r>
    </w:p>
    <w:tbl>
      <w:tblPr>
        <w:tblStyle w:val="LightGrid-Accent1"/>
        <w:tblW w:type="auto" w:w="0"/>
        <w:jc w:val="center"/>
        <w:tblLook w:firstColumn="1" w:firstRow="1" w:lastColumn="0" w:lastRow="0" w:noHBand="0" w:noVBand="1" w:val="04A0"/>
      </w:tblPr>
      <w:tblGrid>
        <w:gridCol w:w="4680"/>
        <w:gridCol w:w="4680"/>
      </w:tblGrid>
      <w:tr>
        <w:trPr>
          <w:tblHeader/>
        </w:trPr>
        <w:tc>
          <w:tcPr>
            <w:tcW w:type="dxa" w:w="3744"/>
          </w:tcPr>
          <w:p>
            <w:pPr>
              <w:spacing w:after="40"/>
            </w:pPr>
            <w:r/>
            <w:r>
              <w:rPr>
                <w:b/>
                <w:sz w:val="20"/>
              </w:rPr>
              <w:t>What the grant buys</w:t>
            </w:r>
          </w:p>
        </w:tc>
        <w:tc>
          <w:tcPr>
            <w:tcW w:type="dxa" w:w="5472"/>
          </w:tcPr>
          <w:p>
            <w:pPr>
              <w:spacing w:after="40"/>
            </w:pPr>
            <w:r/>
            <w:r>
              <w:rPr>
                <w:b/>
                <w:sz w:val="20"/>
              </w:rPr>
              <w:t>Project projection</w:t>
            </w:r>
          </w:p>
        </w:tc>
      </w:tr>
      <w:tr>
        <w:tc>
          <w:tcPr>
            <w:tcW w:type="dxa" w:w="3744"/>
          </w:tcPr>
          <w:p>
            <w:pPr>
              <w:spacing w:after="40"/>
            </w:pPr>
            <w:r/>
            <w:r>
              <w:rPr>
                <w:b w:val="0"/>
                <w:sz w:val="20"/>
              </w:rPr>
              <w:t>Public performances</w:t>
            </w:r>
          </w:p>
        </w:tc>
        <w:tc>
          <w:tcPr>
            <w:tcW w:type="dxa" w:w="5472"/>
          </w:tcPr>
          <w:p>
            <w:pPr>
              <w:spacing w:after="40"/>
            </w:pPr>
            <w:r/>
            <w:r>
              <w:rPr>
                <w:b w:val="0"/>
                <w:sz w:val="20"/>
              </w:rPr>
              <w:t>10 across two weeks</w:t>
            </w:r>
          </w:p>
        </w:tc>
      </w:tr>
      <w:tr>
        <w:tc>
          <w:tcPr>
            <w:tcW w:type="dxa" w:w="3744"/>
          </w:tcPr>
          <w:p>
            <w:pPr>
              <w:spacing w:after="40"/>
            </w:pPr>
            <w:r/>
            <w:r>
              <w:rPr>
                <w:b w:val="0"/>
                <w:sz w:val="20"/>
              </w:rPr>
              <w:t>Projected attendance</w:t>
            </w:r>
          </w:p>
        </w:tc>
        <w:tc>
          <w:tcPr>
            <w:tcW w:type="dxa" w:w="5472"/>
          </w:tcPr>
          <w:p>
            <w:pPr>
              <w:spacing w:after="40"/>
            </w:pPr>
            <w:r/>
            <w:r>
              <w:rPr>
                <w:b w:val="0"/>
                <w:sz w:val="20"/>
              </w:rPr>
              <w:t>1,224 seats, at 68 percent of a 180-seat house</w:t>
            </w:r>
          </w:p>
        </w:tc>
      </w:tr>
      <w:tr>
        <w:tc>
          <w:tcPr>
            <w:tcW w:type="dxa" w:w="3744"/>
          </w:tcPr>
          <w:p>
            <w:pPr>
              <w:spacing w:after="40"/>
            </w:pPr>
            <w:r/>
            <w:r>
              <w:rPr>
                <w:b w:val="0"/>
                <w:sz w:val="20"/>
              </w:rPr>
              <w:t>Free or pay-what-you-wish performances</w:t>
            </w:r>
          </w:p>
        </w:tc>
        <w:tc>
          <w:tcPr>
            <w:tcW w:type="dxa" w:w="5472"/>
          </w:tcPr>
          <w:p>
            <w:pPr>
              <w:spacing w:after="40"/>
            </w:pPr>
            <w:r/>
            <w:r>
              <w:rPr>
                <w:b w:val="0"/>
                <w:sz w:val="20"/>
              </w:rPr>
              <w:t>4 of 10, roughly 490 admissions</w:t>
            </w:r>
          </w:p>
        </w:tc>
      </w:tr>
      <w:tr>
        <w:tc>
          <w:tcPr>
            <w:tcW w:type="dxa" w:w="3744"/>
          </w:tcPr>
          <w:p>
            <w:pPr>
              <w:spacing w:after="40"/>
            </w:pPr>
            <w:r/>
            <w:r>
              <w:rPr>
                <w:b w:val="0"/>
                <w:sz w:val="20"/>
              </w:rPr>
              <w:t>Performances carrying an access service</w:t>
            </w:r>
          </w:p>
        </w:tc>
        <w:tc>
          <w:tcPr>
            <w:tcW w:type="dxa" w:w="5472"/>
          </w:tcPr>
          <w:p>
            <w:pPr>
              <w:spacing w:after="40"/>
            </w:pPr>
            <w:r/>
            <w:r>
              <w:rPr>
                <w:b w:val="0"/>
                <w:sz w:val="20"/>
              </w:rPr>
              <w:t>6 of 10</w:t>
            </w:r>
          </w:p>
        </w:tc>
      </w:tr>
      <w:tr>
        <w:tc>
          <w:tcPr>
            <w:tcW w:type="dxa" w:w="3744"/>
          </w:tcPr>
          <w:p>
            <w:pPr>
              <w:spacing w:after="40"/>
            </w:pPr>
            <w:r/>
            <w:r>
              <w:rPr>
                <w:b w:val="0"/>
                <w:sz w:val="20"/>
              </w:rPr>
              <w:t>Artists paid</w:t>
            </w:r>
          </w:p>
        </w:tc>
        <w:tc>
          <w:tcPr>
            <w:tcW w:type="dxa" w:w="5472"/>
          </w:tcPr>
          <w:p>
            <w:pPr>
              <w:spacing w:after="40"/>
            </w:pPr>
            <w:r/>
            <w:r>
              <w:rPr>
                <w:b w:val="0"/>
                <w:sz w:val="20"/>
              </w:rPr>
              <w:t>15, totaling $26,500</w:t>
            </w:r>
          </w:p>
        </w:tc>
      </w:tr>
      <w:tr>
        <w:tc>
          <w:tcPr>
            <w:tcW w:type="dxa" w:w="3744"/>
          </w:tcPr>
          <w:p>
            <w:pPr>
              <w:spacing w:after="40"/>
            </w:pPr>
            <w:r/>
            <w:r>
              <w:rPr>
                <w:b w:val="0"/>
                <w:sz w:val="20"/>
              </w:rPr>
              <w:t>Students reached through residencies</w:t>
            </w:r>
          </w:p>
        </w:tc>
        <w:tc>
          <w:tcPr>
            <w:tcW w:type="dxa" w:w="5472"/>
          </w:tcPr>
          <w:p>
            <w:pPr>
              <w:spacing w:after="40"/>
            </w:pPr>
            <w:r/>
            <w:r>
              <w:rPr>
                <w:b w:val="0"/>
                <w:sz w:val="20"/>
              </w:rPr>
              <w:t>264 across 12 classrooms in 4 schools</w:t>
            </w:r>
          </w:p>
        </w:tc>
      </w:tr>
      <w:tr>
        <w:tc>
          <w:tcPr>
            <w:tcW w:type="dxa" w:w="3744"/>
          </w:tcPr>
          <w:p>
            <w:pPr>
              <w:spacing w:after="40"/>
            </w:pPr>
            <w:r/>
            <w:r>
              <w:rPr>
                <w:b w:val="0"/>
                <w:sz w:val="20"/>
              </w:rPr>
              <w:t>Student contact hours</w:t>
            </w:r>
          </w:p>
        </w:tc>
        <w:tc>
          <w:tcPr>
            <w:tcW w:type="dxa" w:w="5472"/>
          </w:tcPr>
          <w:p>
            <w:pPr>
              <w:spacing w:after="40"/>
            </w:pPr>
            <w:r/>
            <w:r>
              <w:rPr>
                <w:b w:val="0"/>
                <w:sz w:val="20"/>
              </w:rPr>
              <w:t>1,980 total, 7.5 per student</w:t>
            </w:r>
          </w:p>
        </w:tc>
      </w:tr>
      <w:tr>
        <w:tc>
          <w:tcPr>
            <w:tcW w:type="dxa" w:w="3744"/>
          </w:tcPr>
          <w:p>
            <w:pPr>
              <w:spacing w:after="40"/>
            </w:pPr>
            <w:r/>
            <w:r>
              <w:rPr>
                <w:b w:val="0"/>
                <w:sz w:val="20"/>
              </w:rPr>
              <w:t>Total project cost</w:t>
            </w:r>
          </w:p>
        </w:tc>
        <w:tc>
          <w:tcPr>
            <w:tcW w:type="dxa" w:w="5472"/>
          </w:tcPr>
          <w:p>
            <w:pPr>
              <w:spacing w:after="40"/>
            </w:pPr>
            <w:r/>
            <w:r>
              <w:rPr>
                <w:b w:val="0"/>
                <w:sz w:val="20"/>
              </w:rPr>
              <w:t>$60,000</w:t>
            </w:r>
          </w:p>
        </w:tc>
      </w:tr>
      <w:tr>
        <w:tc>
          <w:tcPr>
            <w:tcW w:type="dxa" w:w="3744"/>
          </w:tcPr>
          <w:p>
            <w:pPr>
              <w:spacing w:after="40"/>
            </w:pPr>
            <w:r/>
            <w:r>
              <w:rPr>
                <w:b w:val="0"/>
                <w:sz w:val="20"/>
              </w:rPr>
              <w:t>Request</w:t>
            </w:r>
          </w:p>
        </w:tc>
        <w:tc>
          <w:tcPr>
            <w:tcW w:type="dxa" w:w="5472"/>
          </w:tcPr>
          <w:p>
            <w:pPr>
              <w:spacing w:after="40"/>
            </w:pPr>
            <w:r/>
            <w:r>
              <w:rPr>
                <w:b w:val="0"/>
                <w:sz w:val="20"/>
              </w:rPr>
              <w:t>$30,000, 50 percent of total project cost</w:t>
            </w:r>
          </w:p>
        </w:tc>
      </w:tr>
      <w:tr>
        <w:tc>
          <w:tcPr>
            <w:tcW w:type="dxa" w:w="3744"/>
          </w:tcPr>
          <w:p>
            <w:pPr>
              <w:spacing w:after="40"/>
            </w:pPr>
            <w:r/>
            <w:r>
              <w:rPr>
                <w:b w:val="0"/>
                <w:sz w:val="20"/>
              </w:rPr>
              <w:t>Nonfederal cost share</w:t>
            </w:r>
          </w:p>
        </w:tc>
        <w:tc>
          <w:tcPr>
            <w:tcW w:type="dxa" w:w="5472"/>
          </w:tcPr>
          <w:p>
            <w:pPr>
              <w:spacing w:after="40"/>
            </w:pPr>
            <w:r/>
            <w:r>
              <w:rPr>
                <w:b w:val="0"/>
                <w:sz w:val="20"/>
              </w:rPr>
              <w:t>$30,000, committed and pending sources listed</w:t>
            </w:r>
          </w:p>
        </w:tc>
      </w:tr>
    </w:tbl>
    <w:p>
      <w:pPr>
        <w:spacing w:after="40"/>
      </w:pPr>
    </w:p>
    <w:p>
      <w:pPr>
        <w:pStyle w:val="Heading2"/>
      </w:pPr>
      <w:r>
        <w:t>The measure</w:t>
      </w:r>
    </w:p>
    <w:p>
      <w:r>
        <w:rPr>
          <w:b w:val="0"/>
          <w:i w:val="0"/>
        </w:rPr>
        <w:t>The primary audience outcome is the share of surveyed attendees at free and pay-what-you-wish performances who report attending live theater fewer than once in the prior 12 months. Target is 30 percent, collected by a four-question exit survey administered by front-of-house volunteers. The primary education outcome is 1,980 student contact hours delivered, with 85 percent of participating students completing a final classroom presentation, both counted from teaching artist session logs.</w:t>
      </w:r>
    </w:p>
    <w:p>
      <w:pPr>
        <w:pStyle w:val="Heading2"/>
      </w:pPr>
      <w:r>
        <w:t>What happens after the grant</w:t>
      </w:r>
    </w:p>
    <w:p>
      <w:r>
        <w:rPr>
          <w:b w:val="0"/>
          <w:i w:val="0"/>
        </w:rPr>
        <w:t>The archival documentation line pays for photography and video that become the work samples for the next three applications. The residency partnership converts to a fee-for-service contract with the district in year two, at a rate the district has already budgeted for outside providers. The access services line moves onto ETC's operating budget in stages, described in the sustainability section.</w:t>
      </w:r>
    </w:p>
    <w:p>
      <w:pPr>
        <w:pStyle w:val="Heading1"/>
      </w:pPr>
      <w:r>
        <w:t>Statement of Need</w:t>
      </w:r>
    </w:p>
    <w:p>
      <w:r>
        <w:rPr>
          <w:b w:val="0"/>
          <w:i w:val="0"/>
        </w:rPr>
        <w:t>This section argues that specific people in a defined area cannot get to specific art today. The most common failure in an arts need statement is describing the organization's deficit instead of the community's. A panel reads "ticket revenue no longer covers production costs" as a request to be rescued, not as a case for public benefit.</w:t>
      </w:r>
    </w:p>
    <w:p>
      <w:pPr>
        <w:pStyle w:val="Heading2"/>
      </w:pPr>
      <w:r>
        <w:t>Weak and stronger versions of the same claim</w:t>
      </w:r>
    </w:p>
    <w:p>
      <w:pPr>
        <w:spacing w:after="40"/>
      </w:pPr>
      <w:r>
        <w:rPr>
          <w:b/>
          <w:i w:val="0"/>
        </w:rPr>
        <w:t>Weak:</w:t>
      </w:r>
    </w:p>
    <w:p>
      <w:pPr>
        <w:spacing w:before="120" w:after="200"/>
        <w:ind w:left="504" w:right="288"/>
        <w:pBdr>
          <w:left w:val="single" w:sz="18" w:space="8" w:color="1F3D4A"/>
        </w:pBdr>
      </w:pPr>
      <w:r>
        <w:rPr>
          <w:i/>
          <w:color w:val="22333A"/>
        </w:rPr>
        <w:t>Ticket revenue no longer covers production costs, and rising expenses have made it difficult to sustain our season.</w:t>
      </w:r>
    </w:p>
    <w:p>
      <w:pPr>
        <w:spacing w:after="40"/>
      </w:pPr>
      <w:r>
        <w:rPr>
          <w:b/>
          <w:i w:val="0"/>
        </w:rPr>
        <w:t>Stronger:</w:t>
      </w:r>
    </w:p>
    <w:p>
      <w:pPr>
        <w:spacing w:before="120" w:after="200"/>
        <w:ind w:left="504" w:right="288"/>
        <w:pBdr>
          <w:left w:val="single" w:sz="18" w:space="8" w:color="1F3D4A"/>
        </w:pBdr>
      </w:pPr>
      <w:r>
        <w:rPr>
          <w:i/>
          <w:color w:val="22333A"/>
        </w:rPr>
        <w:t>The Millbrook Area School District eliminated its elementary music and theater positions in 2022, leaving 264 students in our four partner schools with no in-school arts instruction [cite your district staffing report]. The nearest professional venue is between 3.8 and 5.1 miles from those attendance zones, and a documented share of households in that area report no vehicle access [cite your local source, such as a municipal cultural plan or a transit study].</w:t>
      </w:r>
    </w:p>
    <w:p>
      <w:r>
        <w:rPr>
          <w:b w:val="0"/>
          <w:i w:val="0"/>
        </w:rPr>
        <w:t>The second version names a decision, a number, a place, and a source. It also makes the project's shape obvious: if the gap is in-school instruction plus physical distance from the venue, the answer is residencies plus free performances, which is exactly what the budget funds.</w:t>
      </w:r>
    </w:p>
    <w:p>
      <w:pPr>
        <w:pStyle w:val="Heading2"/>
      </w:pPr>
      <w:r>
        <w:t>The service area</w:t>
      </w:r>
    </w:p>
    <w:p>
      <w:r>
        <w:rPr>
          <w:b w:val="0"/>
          <w:i w:val="0"/>
        </w:rPr>
        <w:t>ETC operates a 180-seat venue in Millbrook, a small city in Cedar County. The four partner elementary schools sit in the county's two lowest-income attendance zones, all four are Title I, and all four are between 3.8 and 5.1 miles from the venue. Describe your own area at this level of specificity. County-level arts participation statistics are weaker evidence than a map of where your ticket buyers actually live, because the second one is about you.</w:t>
      </w:r>
    </w:p>
    <w:p>
      <w:pPr>
        <w:pStyle w:val="Heading2"/>
      </w:pPr>
      <w:r>
        <w:t>Who is not in the audience now</w:t>
      </w:r>
    </w:p>
    <w:p>
      <w:r>
        <w:rPr>
          <w:b w:val="0"/>
          <w:i w:val="0"/>
        </w:rPr>
        <w:t>ETC pulled three seasons of box office records by ZIP code and found that ticket buyers came from 12 distinct ZIP codes, and that the two ZIP codes containing the partner schools accounted for 4 percent of admissions while holding 19 percent of the county's population [illustrative figures, substitute your own box office report]. That is the kind of finding a company can produce in an afternoon from data it already owns, and it is more persuasive than a national statistic about arts attendance.</w:t>
      </w:r>
    </w:p>
    <w:p>
      <w:r>
        <w:rPr>
          <w:b w:val="0"/>
          <w:i w:val="0"/>
        </w:rPr>
        <w:t>Two sources answer different questions and a panel expects both. Public data describes the community. Your own records describe the gap between that community and your audience. Cite the school district's staffing report or a municipal cultural plan for the first, and your ticketing system for the second.</w:t>
      </w:r>
    </w:p>
    <w:p>
      <w:pPr>
        <w:pStyle w:val="Heading2"/>
      </w:pPr>
      <w:r>
        <w:t>Why this work, in this place, now</w:t>
      </w:r>
    </w:p>
    <w:p>
      <w:r>
        <w:rPr>
          <w:b w:val="0"/>
          <w:i w:val="0"/>
        </w:rPr>
        <w:t>Connect the artistic choice to the need rather than leaving them in separate sections. [Title of work] addresses [theme], which connects to [local context: an anniversary, a civic conversation, a history specific to this county, a community the play centers]. The residency curriculum draws on the same material, so a student who attends the free matinee has already worked with the text in class. If you cannot draw that line, either the work or the need statement is the wrong one for this application.</w:t>
      </w:r>
    </w:p>
    <w:p>
      <w:pPr>
        <w:pStyle w:val="Heading2"/>
      </w:pPr>
      <w:r>
        <w:t>What happens without this project</w:t>
      </w:r>
    </w:p>
    <w:p>
      <w:r>
        <w:rPr>
          <w:b w:val="0"/>
          <w:i w:val="0"/>
        </w:rPr>
        <w:t>Without the grant, ETC produces a smaller show with a cast of four instead of six, drops the residency program, and offers no interpreted or captioned performances, because access services are the first line cut when a production budget tightens. The 264 students receive no arts instruction for a fourth consecutive year. State the counterfactual plainly. A panel is choosing between applications, and the one that says what disappears is easier to weigh than the one that says the project would be nice to have.</w:t>
      </w:r>
    </w:p>
    <w:p>
      <w:pPr>
        <w:pStyle w:val="Heading1"/>
      </w:pPr>
      <w:r>
        <w:t>Artistic Rationale</w:t>
      </w:r>
    </w:p>
    <w:p>
      <w:r>
        <w:rPr>
          <w:b w:val="0"/>
          <w:i w:val="0"/>
        </w:rPr>
        <w:t>An artistic rationale explains what work will be made, who will make it, how those artists were chosen, and why this work belongs in this community now. A general nonprofit template has no equivalent section, and skipping it is the single most common reason an otherwise competent arts application scores badly.</w:t>
      </w:r>
    </w:p>
    <w:p>
      <w:r>
        <w:rPr>
          <w:b w:val="0"/>
          <w:i w:val="0"/>
        </w:rPr>
        <w:t>The National Endowment for the Arts judges work samples against the same two published criteria as the narrative, artistic excellence and artistic merit, with equal weight on each, and its published artistic merit factors include evidence of direct compensation to artists, makers, art collectives, and art workers (National Endowment for the Arts, FY27 Grants for Arts Projects Program Guidelines, arts.gov, retrieved September 2026). Private foundations rarely publish a rubric, which makes the federal one a safe template for what to cover.</w:t>
      </w:r>
    </w:p>
    <w:p>
      <w:pPr>
        <w:pStyle w:val="Heading2"/>
      </w:pPr>
      <w:r>
        <w:t>The work</w:t>
      </w:r>
    </w:p>
    <w:p>
      <w:pPr>
        <w:spacing w:before="120" w:after="200"/>
        <w:ind w:left="504" w:right="288"/>
        <w:pBdr>
          <w:left w:val="single" w:sz="18" w:space="8" w:color="1F3D4A"/>
        </w:pBdr>
      </w:pPr>
      <w:r>
        <w:rPr>
          <w:i/>
          <w:color w:val="22333A"/>
        </w:rPr>
        <w:t>[Title of work] by [playwright] is a [length] play for a cast of six, first produced in [year]. ETC holds a performance license for ten performances through [rights holder], secured before this application was submitted. The play addresses [theme] through [brief description of form and approach, two sentences at most]. ETC's production sets it in [setting choice] and adds [distinguishing artistic choice: a commissioned score, a community chorus, a bilingual performance track, a design approach], which is the element that makes this production ours rather than a standard staging.</w:t>
      </w:r>
    </w:p>
    <w:p>
      <w:r>
        <w:rPr>
          <w:b w:val="0"/>
          <w:i w:val="0"/>
        </w:rPr>
        <w:t>Describe the work in concrete artistic terms. A panel that reads only that the play is powerful and timely learns nothing. A panel that reads that it is a 90-minute play for six actors with a commissioned score performed live by two musicians can picture it.</w:t>
      </w:r>
    </w:p>
    <w:p>
      <w:pPr>
        <w:pStyle w:val="Heading2"/>
      </w:pPr>
      <w:r>
        <w:t>How the artists were selected</w:t>
      </w:r>
    </w:p>
    <w:p>
      <w:pPr>
        <w:spacing w:before="120" w:after="200"/>
        <w:ind w:left="504" w:right="288"/>
        <w:pBdr>
          <w:left w:val="single" w:sz="18" w:space="8" w:color="1F3D4A"/>
        </w:pBdr>
      </w:pPr>
      <w:r>
        <w:rPr>
          <w:i/>
          <w:color w:val="22333A"/>
        </w:rPr>
        <w:t>[Title of work] was selected through an open call announced in [month and year] and reviewed by a three-member artistic committee comprising ETC's artistic director and two guest artists from outside the organization. The committee received 34 submissions and read the shortlist blind. Casting will be open, announced through the same channels, and will prioritize artists who live in Cedar County and the two adjacent counties. Design roles are contracted through direct invitation based on prior collaboration, with at least one design role reserved for an early-career artist.</w:t>
      </w:r>
    </w:p>
    <w:p>
      <w:r>
        <w:rPr>
          <w:b w:val="0"/>
          <w:i w:val="0"/>
        </w:rPr>
        <w:t>Say what the process was even if it was informal, and say who was in the room. A panel is testing whether artistic decisions were made by anyone other than one person, and whether an artist outside your existing circle could plausibly get hired. If your process was a single artistic director's choice, describe it accurately and explain the advisory input that shaped it. Overstating a process that does not exist is worse than describing a small one honestly.</w:t>
      </w:r>
    </w:p>
    <w:p>
      <w:pPr>
        <w:pStyle w:val="Heading2"/>
      </w:pPr>
      <w:r>
        <w:t>The artists</w:t>
      </w:r>
    </w:p>
    <w:p>
      <w:pPr>
        <w:spacing w:after="120"/>
      </w:pPr>
      <w:r>
        <w:rPr>
          <w:b w:val="0"/>
          <w:i w:val="0"/>
        </w:rPr>
        <w:t>Describe artists by role, experience, and relevance rather than by reputation. Illustrative composite roster:</w:t>
      </w:r>
    </w:p>
    <w:tbl>
      <w:tblPr>
        <w:tblStyle w:val="LightGrid-Accent1"/>
        <w:tblW w:type="auto" w:w="0"/>
        <w:jc w:val="center"/>
        <w:tblLook w:firstColumn="1" w:firstRow="1" w:lastColumn="0" w:lastRow="0" w:noHBand="0" w:noVBand="1" w:val="04A0"/>
      </w:tblPr>
      <w:tblGrid>
        <w:gridCol w:w="2340"/>
        <w:gridCol w:w="2340"/>
        <w:gridCol w:w="2340"/>
        <w:gridCol w:w="2340"/>
      </w:tblGrid>
      <w:tr>
        <w:trPr>
          <w:tblHeader/>
        </w:trPr>
        <w:tc>
          <w:tcPr>
            <w:tcW w:type="dxa" w:w="2160"/>
          </w:tcPr>
          <w:p>
            <w:pPr>
              <w:spacing w:after="40"/>
            </w:pPr>
            <w:r/>
            <w:r>
              <w:rPr>
                <w:b/>
                <w:sz w:val="20"/>
              </w:rPr>
              <w:t>Role</w:t>
            </w:r>
          </w:p>
        </w:tc>
        <w:tc>
          <w:tcPr>
            <w:tcW w:type="dxa" w:w="864"/>
          </w:tcPr>
          <w:p>
            <w:pPr>
              <w:spacing w:after="40"/>
            </w:pPr>
            <w:r/>
            <w:r>
              <w:rPr>
                <w:b/>
                <w:sz w:val="20"/>
              </w:rPr>
              <w:t>Count</w:t>
            </w:r>
          </w:p>
        </w:tc>
        <w:tc>
          <w:tcPr>
            <w:tcW w:type="dxa" w:w="3888"/>
          </w:tcPr>
          <w:p>
            <w:pPr>
              <w:spacing w:after="40"/>
            </w:pPr>
            <w:r/>
            <w:r>
              <w:rPr>
                <w:b/>
                <w:sz w:val="20"/>
              </w:rPr>
              <w:t>How the role is described in the proposal</w:t>
            </w:r>
          </w:p>
        </w:tc>
        <w:tc>
          <w:tcPr>
            <w:tcW w:type="dxa" w:w="2304"/>
          </w:tcPr>
          <w:p>
            <w:pPr>
              <w:spacing w:after="40"/>
            </w:pPr>
            <w:r/>
            <w:r>
              <w:rPr>
                <w:b/>
                <w:sz w:val="20"/>
              </w:rPr>
              <w:t>Fee basis</w:t>
            </w:r>
          </w:p>
        </w:tc>
      </w:tr>
      <w:tr>
        <w:tc>
          <w:tcPr>
            <w:tcW w:type="dxa" w:w="2160"/>
          </w:tcPr>
          <w:p>
            <w:pPr>
              <w:spacing w:after="40"/>
            </w:pPr>
            <w:r/>
            <w:r>
              <w:rPr>
                <w:b w:val="0"/>
                <w:sz w:val="20"/>
              </w:rPr>
              <w:t>Director</w:t>
            </w:r>
          </w:p>
        </w:tc>
        <w:tc>
          <w:tcPr>
            <w:tcW w:type="dxa" w:w="864"/>
          </w:tcPr>
          <w:p>
            <w:pPr>
              <w:spacing w:after="40"/>
            </w:pPr>
            <w:r/>
            <w:r>
              <w:rPr>
                <w:b w:val="0"/>
                <w:sz w:val="20"/>
              </w:rPr>
              <w:t>1</w:t>
            </w:r>
          </w:p>
        </w:tc>
        <w:tc>
          <w:tcPr>
            <w:tcW w:type="dxa" w:w="3888"/>
          </w:tcPr>
          <w:p>
            <w:pPr>
              <w:spacing w:after="40"/>
            </w:pPr>
            <w:r/>
            <w:r>
              <w:rPr>
                <w:b w:val="0"/>
                <w:sz w:val="20"/>
              </w:rPr>
              <w:t>Has staged four productions of contemporary work with community casts, including two with school partners</w:t>
            </w:r>
          </w:p>
        </w:tc>
        <w:tc>
          <w:tcPr>
            <w:tcW w:type="dxa" w:w="2304"/>
          </w:tcPr>
          <w:p>
            <w:pPr>
              <w:spacing w:after="40"/>
            </w:pPr>
            <w:r/>
            <w:r>
              <w:rPr>
                <w:b w:val="0"/>
                <w:sz w:val="20"/>
              </w:rPr>
              <w:t>$2,600 flat, 10-week engagement</w:t>
            </w:r>
          </w:p>
        </w:tc>
      </w:tr>
      <w:tr>
        <w:tc>
          <w:tcPr>
            <w:tcW w:type="dxa" w:w="2160"/>
          </w:tcPr>
          <w:p>
            <w:pPr>
              <w:spacing w:after="40"/>
            </w:pPr>
            <w:r/>
            <w:r>
              <w:rPr>
                <w:b w:val="0"/>
                <w:sz w:val="20"/>
              </w:rPr>
              <w:t>Performers</w:t>
            </w:r>
          </w:p>
        </w:tc>
        <w:tc>
          <w:tcPr>
            <w:tcW w:type="dxa" w:w="864"/>
          </w:tcPr>
          <w:p>
            <w:pPr>
              <w:spacing w:after="40"/>
            </w:pPr>
            <w:r/>
            <w:r>
              <w:rPr>
                <w:b w:val="0"/>
                <w:sz w:val="20"/>
              </w:rPr>
              <w:t>6</w:t>
            </w:r>
          </w:p>
        </w:tc>
        <w:tc>
          <w:tcPr>
            <w:tcW w:type="dxa" w:w="3888"/>
          </w:tcPr>
          <w:p>
            <w:pPr>
              <w:spacing w:after="40"/>
            </w:pPr>
            <w:r/>
            <w:r>
              <w:rPr>
                <w:b w:val="0"/>
                <w:sz w:val="20"/>
              </w:rPr>
              <w:t>Cast through an open call, prioritizing Cedar County residents</w:t>
            </w:r>
          </w:p>
        </w:tc>
        <w:tc>
          <w:tcPr>
            <w:tcW w:type="dxa" w:w="2304"/>
          </w:tcPr>
          <w:p>
            <w:pPr>
              <w:spacing w:after="40"/>
            </w:pPr>
            <w:r/>
            <w:r>
              <w:rPr>
                <w:b w:val="0"/>
                <w:sz w:val="20"/>
              </w:rPr>
              <w:t>$1,800 each, rehearsal plus 10 performances</w:t>
            </w:r>
          </w:p>
        </w:tc>
      </w:tr>
      <w:tr>
        <w:tc>
          <w:tcPr>
            <w:tcW w:type="dxa" w:w="2160"/>
          </w:tcPr>
          <w:p>
            <w:pPr>
              <w:spacing w:after="40"/>
            </w:pPr>
            <w:r/>
            <w:r>
              <w:rPr>
                <w:b w:val="0"/>
                <w:sz w:val="20"/>
              </w:rPr>
              <w:t>Scenic and costume designer</w:t>
            </w:r>
          </w:p>
        </w:tc>
        <w:tc>
          <w:tcPr>
            <w:tcW w:type="dxa" w:w="864"/>
          </w:tcPr>
          <w:p>
            <w:pPr>
              <w:spacing w:after="40"/>
            </w:pPr>
            <w:r/>
            <w:r>
              <w:rPr>
                <w:b w:val="0"/>
                <w:sz w:val="20"/>
              </w:rPr>
              <w:t>1</w:t>
            </w:r>
          </w:p>
        </w:tc>
        <w:tc>
          <w:tcPr>
            <w:tcW w:type="dxa" w:w="3888"/>
          </w:tcPr>
          <w:p>
            <w:pPr>
              <w:spacing w:after="40"/>
            </w:pPr>
            <w:r/>
            <w:r>
              <w:rPr>
                <w:b w:val="0"/>
                <w:sz w:val="20"/>
              </w:rPr>
              <w:t>Designs for the region's small-venue companies, works to a materials budget</w:t>
            </w:r>
          </w:p>
        </w:tc>
        <w:tc>
          <w:tcPr>
            <w:tcW w:type="dxa" w:w="2304"/>
          </w:tcPr>
          <w:p>
            <w:pPr>
              <w:spacing w:after="40"/>
            </w:pPr>
            <w:r/>
            <w:r>
              <w:rPr>
                <w:b w:val="0"/>
                <w:sz w:val="20"/>
              </w:rPr>
              <w:t>$1,600 flat</w:t>
            </w:r>
          </w:p>
        </w:tc>
      </w:tr>
      <w:tr>
        <w:tc>
          <w:tcPr>
            <w:tcW w:type="dxa" w:w="2160"/>
          </w:tcPr>
          <w:p>
            <w:pPr>
              <w:spacing w:after="40"/>
            </w:pPr>
            <w:r/>
            <w:r>
              <w:rPr>
                <w:b w:val="0"/>
                <w:sz w:val="20"/>
              </w:rPr>
              <w:t>Lighting designer</w:t>
            </w:r>
          </w:p>
        </w:tc>
        <w:tc>
          <w:tcPr>
            <w:tcW w:type="dxa" w:w="864"/>
          </w:tcPr>
          <w:p>
            <w:pPr>
              <w:spacing w:after="40"/>
            </w:pPr>
            <w:r/>
            <w:r>
              <w:rPr>
                <w:b w:val="0"/>
                <w:sz w:val="20"/>
              </w:rPr>
              <w:t>1</w:t>
            </w:r>
          </w:p>
        </w:tc>
        <w:tc>
          <w:tcPr>
            <w:tcW w:type="dxa" w:w="3888"/>
          </w:tcPr>
          <w:p>
            <w:pPr>
              <w:spacing w:after="40"/>
            </w:pPr>
            <w:r/>
            <w:r>
              <w:rPr>
                <w:b w:val="0"/>
                <w:sz w:val="20"/>
              </w:rPr>
              <w:t>Experienced with the venue's inventory and with audio-described sightlines</w:t>
            </w:r>
          </w:p>
        </w:tc>
        <w:tc>
          <w:tcPr>
            <w:tcW w:type="dxa" w:w="2304"/>
          </w:tcPr>
          <w:p>
            <w:pPr>
              <w:spacing w:after="40"/>
            </w:pPr>
            <w:r/>
            <w:r>
              <w:rPr>
                <w:b w:val="0"/>
                <w:sz w:val="20"/>
              </w:rPr>
              <w:t>$1,400 flat</w:t>
            </w:r>
          </w:p>
        </w:tc>
      </w:tr>
      <w:tr>
        <w:tc>
          <w:tcPr>
            <w:tcW w:type="dxa" w:w="2160"/>
          </w:tcPr>
          <w:p>
            <w:pPr>
              <w:spacing w:after="40"/>
            </w:pPr>
            <w:r/>
            <w:r>
              <w:rPr>
                <w:b w:val="0"/>
                <w:sz w:val="20"/>
              </w:rPr>
              <w:t>Composer and sound designer</w:t>
            </w:r>
          </w:p>
        </w:tc>
        <w:tc>
          <w:tcPr>
            <w:tcW w:type="dxa" w:w="864"/>
          </w:tcPr>
          <w:p>
            <w:pPr>
              <w:spacing w:after="40"/>
            </w:pPr>
            <w:r/>
            <w:r>
              <w:rPr>
                <w:b w:val="0"/>
                <w:sz w:val="20"/>
              </w:rPr>
              <w:t>1</w:t>
            </w:r>
          </w:p>
        </w:tc>
        <w:tc>
          <w:tcPr>
            <w:tcW w:type="dxa" w:w="3888"/>
          </w:tcPr>
          <w:p>
            <w:pPr>
              <w:spacing w:after="40"/>
            </w:pPr>
            <w:r/>
            <w:r>
              <w:rPr>
                <w:b w:val="0"/>
                <w:sz w:val="20"/>
              </w:rPr>
              <w:t>Commissioned for an original score performed live</w:t>
            </w:r>
          </w:p>
        </w:tc>
        <w:tc>
          <w:tcPr>
            <w:tcW w:type="dxa" w:w="2304"/>
          </w:tcPr>
          <w:p>
            <w:pPr>
              <w:spacing w:after="40"/>
            </w:pPr>
            <w:r/>
            <w:r>
              <w:rPr>
                <w:b w:val="0"/>
                <w:sz w:val="20"/>
              </w:rPr>
              <w:t>$1,300 flat</w:t>
            </w:r>
          </w:p>
        </w:tc>
      </w:tr>
      <w:tr>
        <w:tc>
          <w:tcPr>
            <w:tcW w:type="dxa" w:w="2160"/>
          </w:tcPr>
          <w:p>
            <w:pPr>
              <w:spacing w:after="40"/>
            </w:pPr>
            <w:r/>
            <w:r>
              <w:rPr>
                <w:b w:val="0"/>
                <w:sz w:val="20"/>
              </w:rPr>
              <w:t>Swing and post-show facilitator</w:t>
            </w:r>
          </w:p>
        </w:tc>
        <w:tc>
          <w:tcPr>
            <w:tcW w:type="dxa" w:w="864"/>
          </w:tcPr>
          <w:p>
            <w:pPr>
              <w:spacing w:after="40"/>
            </w:pPr>
            <w:r/>
            <w:r>
              <w:rPr>
                <w:b w:val="0"/>
                <w:sz w:val="20"/>
              </w:rPr>
              <w:t>2</w:t>
            </w:r>
          </w:p>
        </w:tc>
        <w:tc>
          <w:tcPr>
            <w:tcW w:type="dxa" w:w="3888"/>
          </w:tcPr>
          <w:p>
            <w:pPr>
              <w:spacing w:after="40"/>
            </w:pPr>
            <w:r/>
            <w:r>
              <w:rPr>
                <w:b w:val="0"/>
                <w:sz w:val="20"/>
              </w:rPr>
              <w:t>Cover performer and a facilitator for talkbacks at school matinees</w:t>
            </w:r>
          </w:p>
        </w:tc>
        <w:tc>
          <w:tcPr>
            <w:tcW w:type="dxa" w:w="2304"/>
          </w:tcPr>
          <w:p>
            <w:pPr>
              <w:spacing w:after="40"/>
            </w:pPr>
            <w:r/>
            <w:r>
              <w:rPr>
                <w:b w:val="0"/>
                <w:sz w:val="20"/>
              </w:rPr>
              <w:t>$650 each</w:t>
            </w:r>
          </w:p>
        </w:tc>
      </w:tr>
      <w:tr>
        <w:tc>
          <w:tcPr>
            <w:tcW w:type="dxa" w:w="2160"/>
          </w:tcPr>
          <w:p>
            <w:pPr>
              <w:spacing w:after="40"/>
            </w:pPr>
            <w:r/>
            <w:r>
              <w:rPr>
                <w:b w:val="0"/>
                <w:sz w:val="20"/>
              </w:rPr>
              <w:t>Teaching artists</w:t>
            </w:r>
          </w:p>
        </w:tc>
        <w:tc>
          <w:tcPr>
            <w:tcW w:type="dxa" w:w="864"/>
          </w:tcPr>
          <w:p>
            <w:pPr>
              <w:spacing w:after="40"/>
            </w:pPr>
            <w:r/>
            <w:r>
              <w:rPr>
                <w:b w:val="0"/>
                <w:sz w:val="20"/>
              </w:rPr>
              <w:t>3</w:t>
            </w:r>
          </w:p>
        </w:tc>
        <w:tc>
          <w:tcPr>
            <w:tcW w:type="dxa" w:w="3888"/>
          </w:tcPr>
          <w:p>
            <w:pPr>
              <w:spacing w:after="40"/>
            </w:pPr>
            <w:r/>
            <w:r>
              <w:rPr>
                <w:b w:val="0"/>
                <w:sz w:val="20"/>
              </w:rPr>
              <w:t>Certified through [your training program or district clearance], each leading 20 residency sessions</w:t>
            </w:r>
          </w:p>
        </w:tc>
        <w:tc>
          <w:tcPr>
            <w:tcW w:type="dxa" w:w="2304"/>
          </w:tcPr>
          <w:p>
            <w:pPr>
              <w:spacing w:after="40"/>
            </w:pPr>
            <w:r/>
            <w:r>
              <w:rPr>
                <w:b w:val="0"/>
                <w:sz w:val="20"/>
              </w:rPr>
              <w:t>$125 per session</w:t>
            </w:r>
          </w:p>
        </w:tc>
      </w:tr>
    </w:tbl>
    <w:p>
      <w:pPr>
        <w:spacing w:after="40"/>
      </w:pPr>
    </w:p>
    <w:p>
      <w:r>
        <w:rPr>
          <w:b w:val="0"/>
          <w:i w:val="0"/>
        </w:rPr>
        <w:t>Total artist compensation is $26,500 across 15 artists, or 44 percent of the project budget. State that percentage. It is a number a panel can verify against the budget table, and it answers the compensation criterion directly rather than by implication.</w:t>
      </w:r>
    </w:p>
    <w:p>
      <w:pPr>
        <w:pStyle w:val="Heading2"/>
      </w:pPr>
      <w:r>
        <w:t>Why now</w:t>
      </w:r>
    </w:p>
    <w:p>
      <w:r>
        <w:rPr>
          <w:b w:val="0"/>
          <w:i w:val="0"/>
        </w:rPr>
        <w:t>Name the reason the timing is not arbitrary. It might be a district decision that created the gap, an anniversary, a partner's readiness, a venue becoming available, a rights window, or an artist's availability. ETC's version: the district's arts staffing gap reaches its fourth year, the partner schools have confirmed classroom time in the spring term, and the performance license runs through the proposed dates. Weak versions of this paragraph say that the arts have never been more important. That sentence appears in hundreds of applications and carries no information.</w:t>
      </w:r>
    </w:p>
    <w:p>
      <w:pPr>
        <w:pStyle w:val="Heading1"/>
      </w:pPr>
      <w:r>
        <w:t>Project Description and Timeline</w:t>
      </w:r>
    </w:p>
    <w:p>
      <w:r>
        <w:rPr>
          <w:b w:val="0"/>
          <w:i w:val="0"/>
        </w:rPr>
        <w:t>Arts projects have hard public dates, which is an advantage if you show them. A panel reading a timeline with performance dates already set treats the project as real in a way it does not for a program that starts whenever funding arrives.</w:t>
      </w:r>
    </w:p>
    <w:p>
      <w:pPr>
        <w:pStyle w:val="Heading2"/>
      </w:pPr>
      <w:r>
        <w:t>The production</w:t>
      </w:r>
    </w:p>
    <w:p>
      <w:r>
        <w:rPr>
          <w:b w:val="0"/>
          <w:i w:val="0"/>
        </w:rPr>
        <w:t>Ten public performances of [title of work] run over two weeks in ETC's 180-seat venue. Six are full-price evening performances, two are pay-what-you-wish, and two are free daytime matinees reserved for the partner schools and open to the public for any remaining seats. The performance schedule below shows which dates carry which access service, and that schedule goes into the proposal, not just into internal planning.</w:t>
      </w:r>
    </w:p>
    <w:tbl>
      <w:tblPr>
        <w:tblStyle w:val="LightGrid-Accent1"/>
        <w:tblW w:type="auto" w:w="0"/>
        <w:jc w:val="center"/>
        <w:tblLook w:firstColumn="1" w:firstRow="1" w:lastColumn="0" w:lastRow="0" w:noHBand="0" w:noVBand="1" w:val="04A0"/>
      </w:tblPr>
      <w:tblGrid>
        <w:gridCol w:w="2340"/>
        <w:gridCol w:w="2340"/>
        <w:gridCol w:w="2340"/>
        <w:gridCol w:w="2340"/>
      </w:tblGrid>
      <w:tr>
        <w:trPr>
          <w:tblHeader/>
        </w:trPr>
        <w:tc>
          <w:tcPr>
            <w:tcW w:type="dxa" w:w="1584"/>
          </w:tcPr>
          <w:p>
            <w:pPr>
              <w:spacing w:after="40"/>
            </w:pPr>
            <w:r/>
            <w:r>
              <w:rPr>
                <w:b/>
                <w:sz w:val="20"/>
              </w:rPr>
              <w:t>Performance</w:t>
            </w:r>
          </w:p>
        </w:tc>
        <w:tc>
          <w:tcPr>
            <w:tcW w:type="dxa" w:w="1728"/>
          </w:tcPr>
          <w:p>
            <w:pPr>
              <w:spacing w:after="40"/>
            </w:pPr>
            <w:r/>
            <w:r>
              <w:rPr>
                <w:b/>
                <w:sz w:val="20"/>
              </w:rPr>
              <w:t>Admission</w:t>
            </w:r>
          </w:p>
        </w:tc>
        <w:tc>
          <w:tcPr>
            <w:tcW w:type="dxa" w:w="3888"/>
          </w:tcPr>
          <w:p>
            <w:pPr>
              <w:spacing w:after="40"/>
            </w:pPr>
            <w:r/>
            <w:r>
              <w:rPr>
                <w:b/>
                <w:sz w:val="20"/>
              </w:rPr>
              <w:t>Access service on this date</w:t>
            </w:r>
          </w:p>
        </w:tc>
        <w:tc>
          <w:tcPr>
            <w:tcW w:type="dxa" w:w="2016"/>
          </w:tcPr>
          <w:p>
            <w:pPr>
              <w:spacing w:after="40"/>
            </w:pPr>
            <w:r/>
            <w:r>
              <w:rPr>
                <w:b/>
                <w:sz w:val="20"/>
              </w:rPr>
              <w:t>Primary audience</w:t>
            </w:r>
          </w:p>
        </w:tc>
      </w:tr>
      <w:tr>
        <w:tc>
          <w:tcPr>
            <w:tcW w:type="dxa" w:w="1584"/>
          </w:tcPr>
          <w:p>
            <w:pPr>
              <w:spacing w:after="40"/>
            </w:pPr>
            <w:r/>
            <w:r>
              <w:rPr>
                <w:b w:val="0"/>
                <w:sz w:val="20"/>
              </w:rPr>
              <w:t>1, opening</w:t>
            </w:r>
          </w:p>
        </w:tc>
        <w:tc>
          <w:tcPr>
            <w:tcW w:type="dxa" w:w="1728"/>
          </w:tcPr>
          <w:p>
            <w:pPr>
              <w:spacing w:after="40"/>
            </w:pPr>
            <w:r/>
            <w:r>
              <w:rPr>
                <w:b w:val="0"/>
                <w:sz w:val="20"/>
              </w:rPr>
              <w:t>Full price</w:t>
            </w:r>
          </w:p>
        </w:tc>
        <w:tc>
          <w:tcPr>
            <w:tcW w:type="dxa" w:w="3888"/>
          </w:tcPr>
          <w:p>
            <w:pPr>
              <w:spacing w:after="40"/>
            </w:pPr>
            <w:r/>
            <w:r>
              <w:rPr>
                <w:b w:val="0"/>
                <w:sz w:val="20"/>
              </w:rPr>
              <w:t>Assistive listening, available at all performances</w:t>
            </w:r>
          </w:p>
        </w:tc>
        <w:tc>
          <w:tcPr>
            <w:tcW w:type="dxa" w:w="2016"/>
          </w:tcPr>
          <w:p>
            <w:pPr>
              <w:spacing w:after="40"/>
            </w:pPr>
            <w:r/>
            <w:r>
              <w:rPr>
                <w:b w:val="0"/>
                <w:sz w:val="20"/>
              </w:rPr>
              <w:t>General public</w:t>
            </w:r>
          </w:p>
        </w:tc>
      </w:tr>
      <w:tr>
        <w:tc>
          <w:tcPr>
            <w:tcW w:type="dxa" w:w="1584"/>
          </w:tcPr>
          <w:p>
            <w:pPr>
              <w:spacing w:after="40"/>
            </w:pPr>
            <w:r/>
            <w:r>
              <w:rPr>
                <w:b w:val="0"/>
                <w:sz w:val="20"/>
              </w:rPr>
              <w:t>2</w:t>
            </w:r>
          </w:p>
        </w:tc>
        <w:tc>
          <w:tcPr>
            <w:tcW w:type="dxa" w:w="1728"/>
          </w:tcPr>
          <w:p>
            <w:pPr>
              <w:spacing w:after="40"/>
            </w:pPr>
            <w:r/>
            <w:r>
              <w:rPr>
                <w:b w:val="0"/>
                <w:sz w:val="20"/>
              </w:rPr>
              <w:t>Full price</w:t>
            </w:r>
          </w:p>
        </w:tc>
        <w:tc>
          <w:tcPr>
            <w:tcW w:type="dxa" w:w="3888"/>
          </w:tcPr>
          <w:p>
            <w:pPr>
              <w:spacing w:after="40"/>
            </w:pPr>
            <w:r/>
            <w:r>
              <w:rPr>
                <w:b w:val="0"/>
                <w:sz w:val="20"/>
              </w:rPr>
              <w:t>Assistive listening</w:t>
            </w:r>
          </w:p>
        </w:tc>
        <w:tc>
          <w:tcPr>
            <w:tcW w:type="dxa" w:w="2016"/>
          </w:tcPr>
          <w:p>
            <w:pPr>
              <w:spacing w:after="40"/>
            </w:pPr>
            <w:r/>
            <w:r>
              <w:rPr>
                <w:b w:val="0"/>
                <w:sz w:val="20"/>
              </w:rPr>
              <w:t>General public</w:t>
            </w:r>
          </w:p>
        </w:tc>
      </w:tr>
      <w:tr>
        <w:tc>
          <w:tcPr>
            <w:tcW w:type="dxa" w:w="1584"/>
          </w:tcPr>
          <w:p>
            <w:pPr>
              <w:spacing w:after="40"/>
            </w:pPr>
            <w:r/>
            <w:r>
              <w:rPr>
                <w:b w:val="0"/>
                <w:sz w:val="20"/>
              </w:rPr>
              <w:t>3</w:t>
            </w:r>
          </w:p>
        </w:tc>
        <w:tc>
          <w:tcPr>
            <w:tcW w:type="dxa" w:w="1728"/>
          </w:tcPr>
          <w:p>
            <w:pPr>
              <w:spacing w:after="40"/>
            </w:pPr>
            <w:r/>
            <w:r>
              <w:rPr>
                <w:b w:val="0"/>
                <w:sz w:val="20"/>
              </w:rPr>
              <w:t>Free matinee</w:t>
            </w:r>
          </w:p>
        </w:tc>
        <w:tc>
          <w:tcPr>
            <w:tcW w:type="dxa" w:w="3888"/>
          </w:tcPr>
          <w:p>
            <w:pPr>
              <w:spacing w:after="40"/>
            </w:pPr>
            <w:r/>
            <w:r>
              <w:rPr>
                <w:b w:val="0"/>
                <w:sz w:val="20"/>
              </w:rPr>
              <w:t>Sensory-friendly, adjusted light and sound, quiet room open</w:t>
            </w:r>
          </w:p>
        </w:tc>
        <w:tc>
          <w:tcPr>
            <w:tcW w:type="dxa" w:w="2016"/>
          </w:tcPr>
          <w:p>
            <w:pPr>
              <w:spacing w:after="40"/>
            </w:pPr>
            <w:r/>
            <w:r>
              <w:rPr>
                <w:b w:val="0"/>
                <w:sz w:val="20"/>
              </w:rPr>
              <w:t>Partner school students and families</w:t>
            </w:r>
          </w:p>
        </w:tc>
      </w:tr>
      <w:tr>
        <w:tc>
          <w:tcPr>
            <w:tcW w:type="dxa" w:w="1584"/>
          </w:tcPr>
          <w:p>
            <w:pPr>
              <w:spacing w:after="40"/>
            </w:pPr>
            <w:r/>
            <w:r>
              <w:rPr>
                <w:b w:val="0"/>
                <w:sz w:val="20"/>
              </w:rPr>
              <w:t>4</w:t>
            </w:r>
          </w:p>
        </w:tc>
        <w:tc>
          <w:tcPr>
            <w:tcW w:type="dxa" w:w="1728"/>
          </w:tcPr>
          <w:p>
            <w:pPr>
              <w:spacing w:after="40"/>
            </w:pPr>
            <w:r/>
            <w:r>
              <w:rPr>
                <w:b w:val="0"/>
                <w:sz w:val="20"/>
              </w:rPr>
              <w:t>Full price</w:t>
            </w:r>
          </w:p>
        </w:tc>
        <w:tc>
          <w:tcPr>
            <w:tcW w:type="dxa" w:w="3888"/>
          </w:tcPr>
          <w:p>
            <w:pPr>
              <w:spacing w:after="40"/>
            </w:pPr>
            <w:r/>
            <w:r>
              <w:rPr>
                <w:b w:val="0"/>
                <w:sz w:val="20"/>
              </w:rPr>
              <w:t>Open captioning</w:t>
            </w:r>
          </w:p>
        </w:tc>
        <w:tc>
          <w:tcPr>
            <w:tcW w:type="dxa" w:w="2016"/>
          </w:tcPr>
          <w:p>
            <w:pPr>
              <w:spacing w:after="40"/>
            </w:pPr>
            <w:r/>
            <w:r>
              <w:rPr>
                <w:b w:val="0"/>
                <w:sz w:val="20"/>
              </w:rPr>
              <w:t>General public</w:t>
            </w:r>
          </w:p>
        </w:tc>
      </w:tr>
      <w:tr>
        <w:tc>
          <w:tcPr>
            <w:tcW w:type="dxa" w:w="1584"/>
          </w:tcPr>
          <w:p>
            <w:pPr>
              <w:spacing w:after="40"/>
            </w:pPr>
            <w:r/>
            <w:r>
              <w:rPr>
                <w:b w:val="0"/>
                <w:sz w:val="20"/>
              </w:rPr>
              <w:t>5</w:t>
            </w:r>
          </w:p>
        </w:tc>
        <w:tc>
          <w:tcPr>
            <w:tcW w:type="dxa" w:w="1728"/>
          </w:tcPr>
          <w:p>
            <w:pPr>
              <w:spacing w:after="40"/>
            </w:pPr>
            <w:r/>
            <w:r>
              <w:rPr>
                <w:b w:val="0"/>
                <w:sz w:val="20"/>
              </w:rPr>
              <w:t>Pay what you wish</w:t>
            </w:r>
          </w:p>
        </w:tc>
        <w:tc>
          <w:tcPr>
            <w:tcW w:type="dxa" w:w="3888"/>
          </w:tcPr>
          <w:p>
            <w:pPr>
              <w:spacing w:after="40"/>
            </w:pPr>
            <w:r/>
            <w:r>
              <w:rPr>
                <w:b w:val="0"/>
                <w:sz w:val="20"/>
              </w:rPr>
              <w:t>ASL interpretation, two interpreters</w:t>
            </w:r>
          </w:p>
        </w:tc>
        <w:tc>
          <w:tcPr>
            <w:tcW w:type="dxa" w:w="2016"/>
          </w:tcPr>
          <w:p>
            <w:pPr>
              <w:spacing w:after="40"/>
            </w:pPr>
            <w:r/>
            <w:r>
              <w:rPr>
                <w:b w:val="0"/>
                <w:sz w:val="20"/>
              </w:rPr>
              <w:t>Neighborhood outreach audience</w:t>
            </w:r>
          </w:p>
        </w:tc>
      </w:tr>
      <w:tr>
        <w:tc>
          <w:tcPr>
            <w:tcW w:type="dxa" w:w="1584"/>
          </w:tcPr>
          <w:p>
            <w:pPr>
              <w:spacing w:after="40"/>
            </w:pPr>
            <w:r/>
            <w:r>
              <w:rPr>
                <w:b w:val="0"/>
                <w:sz w:val="20"/>
              </w:rPr>
              <w:t>6</w:t>
            </w:r>
          </w:p>
        </w:tc>
        <w:tc>
          <w:tcPr>
            <w:tcW w:type="dxa" w:w="1728"/>
          </w:tcPr>
          <w:p>
            <w:pPr>
              <w:spacing w:after="40"/>
            </w:pPr>
            <w:r/>
            <w:r>
              <w:rPr>
                <w:b w:val="0"/>
                <w:sz w:val="20"/>
              </w:rPr>
              <w:t>Full price</w:t>
            </w:r>
          </w:p>
        </w:tc>
        <w:tc>
          <w:tcPr>
            <w:tcW w:type="dxa" w:w="3888"/>
          </w:tcPr>
          <w:p>
            <w:pPr>
              <w:spacing w:after="40"/>
            </w:pPr>
            <w:r/>
            <w:r>
              <w:rPr>
                <w:b w:val="0"/>
                <w:sz w:val="20"/>
              </w:rPr>
              <w:t>Assistive listening</w:t>
            </w:r>
          </w:p>
        </w:tc>
        <w:tc>
          <w:tcPr>
            <w:tcW w:type="dxa" w:w="2016"/>
          </w:tcPr>
          <w:p>
            <w:pPr>
              <w:spacing w:after="40"/>
            </w:pPr>
            <w:r/>
            <w:r>
              <w:rPr>
                <w:b w:val="0"/>
                <w:sz w:val="20"/>
              </w:rPr>
              <w:t>General public</w:t>
            </w:r>
          </w:p>
        </w:tc>
      </w:tr>
      <w:tr>
        <w:tc>
          <w:tcPr>
            <w:tcW w:type="dxa" w:w="1584"/>
          </w:tcPr>
          <w:p>
            <w:pPr>
              <w:spacing w:after="40"/>
            </w:pPr>
            <w:r/>
            <w:r>
              <w:rPr>
                <w:b w:val="0"/>
                <w:sz w:val="20"/>
              </w:rPr>
              <w:t>7</w:t>
            </w:r>
          </w:p>
        </w:tc>
        <w:tc>
          <w:tcPr>
            <w:tcW w:type="dxa" w:w="1728"/>
          </w:tcPr>
          <w:p>
            <w:pPr>
              <w:spacing w:after="40"/>
            </w:pPr>
            <w:r/>
            <w:r>
              <w:rPr>
                <w:b w:val="0"/>
                <w:sz w:val="20"/>
              </w:rPr>
              <w:t>Free matinee</w:t>
            </w:r>
          </w:p>
        </w:tc>
        <w:tc>
          <w:tcPr>
            <w:tcW w:type="dxa" w:w="3888"/>
          </w:tcPr>
          <w:p>
            <w:pPr>
              <w:spacing w:after="40"/>
            </w:pPr>
            <w:r/>
            <w:r>
              <w:rPr>
                <w:b w:val="0"/>
                <w:sz w:val="20"/>
              </w:rPr>
              <w:t>Post-show facilitated talkback</w:t>
            </w:r>
          </w:p>
        </w:tc>
        <w:tc>
          <w:tcPr>
            <w:tcW w:type="dxa" w:w="2016"/>
          </w:tcPr>
          <w:p>
            <w:pPr>
              <w:spacing w:after="40"/>
            </w:pPr>
            <w:r/>
            <w:r>
              <w:rPr>
                <w:b w:val="0"/>
                <w:sz w:val="20"/>
              </w:rPr>
              <w:t>Partner school students</w:t>
            </w:r>
          </w:p>
        </w:tc>
      </w:tr>
      <w:tr>
        <w:tc>
          <w:tcPr>
            <w:tcW w:type="dxa" w:w="1584"/>
          </w:tcPr>
          <w:p>
            <w:pPr>
              <w:spacing w:after="40"/>
            </w:pPr>
            <w:r/>
            <w:r>
              <w:rPr>
                <w:b w:val="0"/>
                <w:sz w:val="20"/>
              </w:rPr>
              <w:t>8</w:t>
            </w:r>
          </w:p>
        </w:tc>
        <w:tc>
          <w:tcPr>
            <w:tcW w:type="dxa" w:w="1728"/>
          </w:tcPr>
          <w:p>
            <w:pPr>
              <w:spacing w:after="40"/>
            </w:pPr>
            <w:r/>
            <w:r>
              <w:rPr>
                <w:b w:val="0"/>
                <w:sz w:val="20"/>
              </w:rPr>
              <w:t>Full price</w:t>
            </w:r>
          </w:p>
        </w:tc>
        <w:tc>
          <w:tcPr>
            <w:tcW w:type="dxa" w:w="3888"/>
          </w:tcPr>
          <w:p>
            <w:pPr>
              <w:spacing w:after="40"/>
            </w:pPr>
            <w:r/>
            <w:r>
              <w:rPr>
                <w:b w:val="0"/>
                <w:sz w:val="20"/>
              </w:rPr>
              <w:t>Audio description, receivers and pre-show touch tour</w:t>
            </w:r>
          </w:p>
        </w:tc>
        <w:tc>
          <w:tcPr>
            <w:tcW w:type="dxa" w:w="2016"/>
          </w:tcPr>
          <w:p>
            <w:pPr>
              <w:spacing w:after="40"/>
            </w:pPr>
            <w:r/>
            <w:r>
              <w:rPr>
                <w:b w:val="0"/>
                <w:sz w:val="20"/>
              </w:rPr>
              <w:t>General public</w:t>
            </w:r>
          </w:p>
        </w:tc>
      </w:tr>
      <w:tr>
        <w:tc>
          <w:tcPr>
            <w:tcW w:type="dxa" w:w="1584"/>
          </w:tcPr>
          <w:p>
            <w:pPr>
              <w:spacing w:after="40"/>
            </w:pPr>
            <w:r/>
            <w:r>
              <w:rPr>
                <w:b w:val="0"/>
                <w:sz w:val="20"/>
              </w:rPr>
              <w:t>9</w:t>
            </w:r>
          </w:p>
        </w:tc>
        <w:tc>
          <w:tcPr>
            <w:tcW w:type="dxa" w:w="1728"/>
          </w:tcPr>
          <w:p>
            <w:pPr>
              <w:spacing w:after="40"/>
            </w:pPr>
            <w:r/>
            <w:r>
              <w:rPr>
                <w:b w:val="0"/>
                <w:sz w:val="20"/>
              </w:rPr>
              <w:t>Pay what you wish</w:t>
            </w:r>
          </w:p>
        </w:tc>
        <w:tc>
          <w:tcPr>
            <w:tcW w:type="dxa" w:w="3888"/>
          </w:tcPr>
          <w:p>
            <w:pPr>
              <w:spacing w:after="40"/>
            </w:pPr>
            <w:r/>
            <w:r>
              <w:rPr>
                <w:b w:val="0"/>
                <w:sz w:val="20"/>
              </w:rPr>
              <w:t>ASL interpretation, two interpreters</w:t>
            </w:r>
          </w:p>
        </w:tc>
        <w:tc>
          <w:tcPr>
            <w:tcW w:type="dxa" w:w="2016"/>
          </w:tcPr>
          <w:p>
            <w:pPr>
              <w:spacing w:after="40"/>
            </w:pPr>
            <w:r/>
            <w:r>
              <w:rPr>
                <w:b w:val="0"/>
                <w:sz w:val="20"/>
              </w:rPr>
              <w:t>Neighborhood outreach audience</w:t>
            </w:r>
          </w:p>
        </w:tc>
      </w:tr>
      <w:tr>
        <w:tc>
          <w:tcPr>
            <w:tcW w:type="dxa" w:w="1584"/>
          </w:tcPr>
          <w:p>
            <w:pPr>
              <w:spacing w:after="40"/>
            </w:pPr>
            <w:r/>
            <w:r>
              <w:rPr>
                <w:b w:val="0"/>
                <w:sz w:val="20"/>
              </w:rPr>
              <w:t>10, closing</w:t>
            </w:r>
          </w:p>
        </w:tc>
        <w:tc>
          <w:tcPr>
            <w:tcW w:type="dxa" w:w="1728"/>
          </w:tcPr>
          <w:p>
            <w:pPr>
              <w:spacing w:after="40"/>
            </w:pPr>
            <w:r/>
            <w:r>
              <w:rPr>
                <w:b w:val="0"/>
                <w:sz w:val="20"/>
              </w:rPr>
              <w:t>Full price</w:t>
            </w:r>
          </w:p>
        </w:tc>
        <w:tc>
          <w:tcPr>
            <w:tcW w:type="dxa" w:w="3888"/>
          </w:tcPr>
          <w:p>
            <w:pPr>
              <w:spacing w:after="40"/>
            </w:pPr>
            <w:r/>
            <w:r>
              <w:rPr>
                <w:b w:val="0"/>
                <w:sz w:val="20"/>
              </w:rPr>
              <w:t>Open captioning</w:t>
            </w:r>
          </w:p>
        </w:tc>
        <w:tc>
          <w:tcPr>
            <w:tcW w:type="dxa" w:w="2016"/>
          </w:tcPr>
          <w:p>
            <w:pPr>
              <w:spacing w:after="40"/>
            </w:pPr>
            <w:r/>
            <w:r>
              <w:rPr>
                <w:b w:val="0"/>
                <w:sz w:val="20"/>
              </w:rPr>
              <w:t>General public</w:t>
            </w:r>
          </w:p>
        </w:tc>
      </w:tr>
    </w:tbl>
    <w:p>
      <w:pPr>
        <w:spacing w:after="40"/>
      </w:pPr>
    </w:p>
    <w:p>
      <w:pPr>
        <w:pStyle w:val="Heading2"/>
      </w:pPr>
      <w:r>
        <w:t>The residencies</w:t>
      </w:r>
    </w:p>
    <w:p>
      <w:r>
        <w:rPr>
          <w:b w:val="0"/>
          <w:i w:val="0"/>
        </w:rPr>
        <w:t>Three teaching artists deliver 60 sessions across 12 classrooms in four Title I elementary schools. Each classroom receives five 90-minute sessions during the spring term, building toward a short final presentation performed for the rest of the grade. The arithmetic is worth showing in the proposal, because a reviewer who cannot rebuild your contact hour figure assumes you cannot either.</w:t>
      </w:r>
    </w:p>
    <w:tbl>
      <w:tblPr>
        <w:tblStyle w:val="LightGrid-Accent1"/>
        <w:tblW w:type="auto" w:w="0"/>
        <w:jc w:val="center"/>
        <w:tblLook w:firstColumn="1" w:firstRow="1" w:lastColumn="0" w:lastRow="0" w:noHBand="0" w:noVBand="1" w:val="04A0"/>
      </w:tblPr>
      <w:tblGrid>
        <w:gridCol w:w="2340"/>
        <w:gridCol w:w="2340"/>
        <w:gridCol w:w="2340"/>
        <w:gridCol w:w="2340"/>
      </w:tblGrid>
      <w:tr>
        <w:trPr>
          <w:tblHeader/>
        </w:trPr>
        <w:tc>
          <w:tcPr>
            <w:tcW w:type="dxa" w:w="1872"/>
          </w:tcPr>
          <w:p>
            <w:pPr>
              <w:spacing w:after="40"/>
            </w:pPr>
            <w:r/>
            <w:r>
              <w:rPr>
                <w:b/>
                <w:sz w:val="20"/>
              </w:rPr>
              <w:t>Step</w:t>
            </w:r>
          </w:p>
        </w:tc>
        <w:tc>
          <w:tcPr>
            <w:tcW w:type="dxa" w:w="2736"/>
          </w:tcPr>
          <w:p>
            <w:pPr>
              <w:spacing w:after="40"/>
            </w:pPr>
            <w:r/>
            <w:r>
              <w:rPr>
                <w:b/>
                <w:sz w:val="20"/>
              </w:rPr>
              <w:t>Assumption</w:t>
            </w:r>
          </w:p>
        </w:tc>
        <w:tc>
          <w:tcPr>
            <w:tcW w:type="dxa" w:w="2016"/>
          </w:tcPr>
          <w:p>
            <w:pPr>
              <w:spacing w:after="40"/>
            </w:pPr>
            <w:r/>
            <w:r>
              <w:rPr>
                <w:b/>
                <w:sz w:val="20"/>
              </w:rPr>
              <w:t>Result</w:t>
            </w:r>
          </w:p>
        </w:tc>
        <w:tc>
          <w:tcPr>
            <w:tcW w:type="dxa" w:w="2592"/>
          </w:tcPr>
          <w:p>
            <w:pPr>
              <w:spacing w:after="40"/>
            </w:pPr>
            <w:r/>
            <w:r>
              <w:rPr>
                <w:b/>
                <w:sz w:val="20"/>
              </w:rPr>
              <w:t>Basis</w:t>
            </w:r>
          </w:p>
        </w:tc>
      </w:tr>
      <w:tr>
        <w:tc>
          <w:tcPr>
            <w:tcW w:type="dxa" w:w="1872"/>
          </w:tcPr>
          <w:p>
            <w:pPr>
              <w:spacing w:after="40"/>
            </w:pPr>
            <w:r/>
            <w:r>
              <w:rPr>
                <w:b w:val="0"/>
                <w:sz w:val="20"/>
              </w:rPr>
              <w:t>Classrooms</w:t>
            </w:r>
          </w:p>
        </w:tc>
        <w:tc>
          <w:tcPr>
            <w:tcW w:type="dxa" w:w="2736"/>
          </w:tcPr>
          <w:p>
            <w:pPr>
              <w:spacing w:after="40"/>
            </w:pPr>
            <w:r/>
            <w:r>
              <w:rPr>
                <w:b w:val="0"/>
                <w:sz w:val="20"/>
              </w:rPr>
              <w:t>4 schools, 3 classrooms each</w:t>
            </w:r>
          </w:p>
        </w:tc>
        <w:tc>
          <w:tcPr>
            <w:tcW w:type="dxa" w:w="2016"/>
          </w:tcPr>
          <w:p>
            <w:pPr>
              <w:spacing w:after="40"/>
            </w:pPr>
            <w:r/>
            <w:r>
              <w:rPr>
                <w:b w:val="0"/>
                <w:sz w:val="20"/>
              </w:rPr>
              <w:t>12 classrooms</w:t>
            </w:r>
          </w:p>
        </w:tc>
        <w:tc>
          <w:tcPr>
            <w:tcW w:type="dxa" w:w="2592"/>
          </w:tcPr>
          <w:p>
            <w:pPr>
              <w:spacing w:after="40"/>
            </w:pPr>
            <w:r/>
            <w:r>
              <w:rPr>
                <w:b w:val="0"/>
                <w:sz w:val="20"/>
              </w:rPr>
              <w:t>Confirmed in the district partnership letter</w:t>
            </w:r>
          </w:p>
        </w:tc>
      </w:tr>
      <w:tr>
        <w:tc>
          <w:tcPr>
            <w:tcW w:type="dxa" w:w="1872"/>
          </w:tcPr>
          <w:p>
            <w:pPr>
              <w:spacing w:after="40"/>
            </w:pPr>
            <w:r/>
            <w:r>
              <w:rPr>
                <w:b w:val="0"/>
                <w:sz w:val="20"/>
              </w:rPr>
              <w:t>Sessions</w:t>
            </w:r>
          </w:p>
        </w:tc>
        <w:tc>
          <w:tcPr>
            <w:tcW w:type="dxa" w:w="2736"/>
          </w:tcPr>
          <w:p>
            <w:pPr>
              <w:spacing w:after="40"/>
            </w:pPr>
            <w:r/>
            <w:r>
              <w:rPr>
                <w:b w:val="0"/>
                <w:sz w:val="20"/>
              </w:rPr>
              <w:t>5 sessions per classroom</w:t>
            </w:r>
          </w:p>
        </w:tc>
        <w:tc>
          <w:tcPr>
            <w:tcW w:type="dxa" w:w="2016"/>
          </w:tcPr>
          <w:p>
            <w:pPr>
              <w:spacing w:after="40"/>
            </w:pPr>
            <w:r/>
            <w:r>
              <w:rPr>
                <w:b w:val="0"/>
                <w:sz w:val="20"/>
              </w:rPr>
              <w:t>60 sessions</w:t>
            </w:r>
          </w:p>
        </w:tc>
        <w:tc>
          <w:tcPr>
            <w:tcW w:type="dxa" w:w="2592"/>
          </w:tcPr>
          <w:p>
            <w:pPr>
              <w:spacing w:after="40"/>
            </w:pPr>
            <w:r/>
            <w:r>
              <w:rPr>
                <w:b w:val="0"/>
                <w:sz w:val="20"/>
              </w:rPr>
              <w:t>Spring term calendar, agreed with principals</w:t>
            </w:r>
          </w:p>
        </w:tc>
      </w:tr>
      <w:tr>
        <w:tc>
          <w:tcPr>
            <w:tcW w:type="dxa" w:w="1872"/>
          </w:tcPr>
          <w:p>
            <w:pPr>
              <w:spacing w:after="40"/>
            </w:pPr>
            <w:r/>
            <w:r>
              <w:rPr>
                <w:b w:val="0"/>
                <w:sz w:val="20"/>
              </w:rPr>
              <w:t>Session length</w:t>
            </w:r>
          </w:p>
        </w:tc>
        <w:tc>
          <w:tcPr>
            <w:tcW w:type="dxa" w:w="2736"/>
          </w:tcPr>
          <w:p>
            <w:pPr>
              <w:spacing w:after="40"/>
            </w:pPr>
            <w:r/>
            <w:r>
              <w:rPr>
                <w:b w:val="0"/>
                <w:sz w:val="20"/>
              </w:rPr>
              <w:t>90 minutes</w:t>
            </w:r>
          </w:p>
        </w:tc>
        <w:tc>
          <w:tcPr>
            <w:tcW w:type="dxa" w:w="2016"/>
          </w:tcPr>
          <w:p>
            <w:pPr>
              <w:spacing w:after="40"/>
            </w:pPr>
            <w:r/>
            <w:r>
              <w:rPr>
                <w:b w:val="0"/>
                <w:sz w:val="20"/>
              </w:rPr>
              <w:t>90 session hours</w:t>
            </w:r>
          </w:p>
        </w:tc>
        <w:tc>
          <w:tcPr>
            <w:tcW w:type="dxa" w:w="2592"/>
          </w:tcPr>
          <w:p>
            <w:pPr>
              <w:spacing w:after="40"/>
            </w:pPr>
            <w:r/>
            <w:r>
              <w:rPr>
                <w:b w:val="0"/>
                <w:sz w:val="20"/>
              </w:rPr>
              <w:t>Standard class period at partner schools</w:t>
            </w:r>
          </w:p>
        </w:tc>
      </w:tr>
      <w:tr>
        <w:tc>
          <w:tcPr>
            <w:tcW w:type="dxa" w:w="1872"/>
          </w:tcPr>
          <w:p>
            <w:pPr>
              <w:spacing w:after="40"/>
            </w:pPr>
            <w:r/>
            <w:r>
              <w:rPr>
                <w:b w:val="0"/>
                <w:sz w:val="20"/>
              </w:rPr>
              <w:t>Students</w:t>
            </w:r>
          </w:p>
        </w:tc>
        <w:tc>
          <w:tcPr>
            <w:tcW w:type="dxa" w:w="2736"/>
          </w:tcPr>
          <w:p>
            <w:pPr>
              <w:spacing w:after="40"/>
            </w:pPr>
            <w:r/>
            <w:r>
              <w:rPr>
                <w:b w:val="0"/>
                <w:sz w:val="20"/>
              </w:rPr>
              <w:t>22 students per classroom average</w:t>
            </w:r>
          </w:p>
        </w:tc>
        <w:tc>
          <w:tcPr>
            <w:tcW w:type="dxa" w:w="2016"/>
          </w:tcPr>
          <w:p>
            <w:pPr>
              <w:spacing w:after="40"/>
            </w:pPr>
            <w:r/>
            <w:r>
              <w:rPr>
                <w:b w:val="0"/>
                <w:sz w:val="20"/>
              </w:rPr>
              <w:t>264 students</w:t>
            </w:r>
          </w:p>
        </w:tc>
        <w:tc>
          <w:tcPr>
            <w:tcW w:type="dxa" w:w="2592"/>
          </w:tcPr>
          <w:p>
            <w:pPr>
              <w:spacing w:after="40"/>
            </w:pPr>
            <w:r/>
            <w:r>
              <w:rPr>
                <w:b w:val="0"/>
                <w:sz w:val="20"/>
              </w:rPr>
              <w:t>District enrollment data for the named classrooms</w:t>
            </w:r>
          </w:p>
        </w:tc>
      </w:tr>
      <w:tr>
        <w:tc>
          <w:tcPr>
            <w:tcW w:type="dxa" w:w="1872"/>
          </w:tcPr>
          <w:p>
            <w:pPr>
              <w:spacing w:after="40"/>
            </w:pPr>
            <w:r/>
            <w:r>
              <w:rPr>
                <w:b w:val="0"/>
                <w:sz w:val="20"/>
              </w:rPr>
              <w:t>Contact hours per student</w:t>
            </w:r>
          </w:p>
        </w:tc>
        <w:tc>
          <w:tcPr>
            <w:tcW w:type="dxa" w:w="2736"/>
          </w:tcPr>
          <w:p>
            <w:pPr>
              <w:spacing w:after="40"/>
            </w:pPr>
            <w:r/>
            <w:r>
              <w:rPr>
                <w:b w:val="0"/>
                <w:sz w:val="20"/>
              </w:rPr>
              <w:t>5 sessions at 1.5 hours</w:t>
            </w:r>
          </w:p>
        </w:tc>
        <w:tc>
          <w:tcPr>
            <w:tcW w:type="dxa" w:w="2016"/>
          </w:tcPr>
          <w:p>
            <w:pPr>
              <w:spacing w:after="40"/>
            </w:pPr>
            <w:r/>
            <w:r>
              <w:rPr>
                <w:b w:val="0"/>
                <w:sz w:val="20"/>
              </w:rPr>
              <w:t>7.5 hours</w:t>
            </w:r>
          </w:p>
        </w:tc>
        <w:tc>
          <w:tcPr>
            <w:tcW w:type="dxa" w:w="2592"/>
          </w:tcPr>
          <w:p>
            <w:pPr>
              <w:spacing w:after="40"/>
            </w:pPr>
            <w:r/>
            <w:r>
              <w:rPr>
                <w:b w:val="0"/>
                <w:sz w:val="20"/>
              </w:rPr>
              <w:t>Arithmetic</w:t>
            </w:r>
          </w:p>
        </w:tc>
      </w:tr>
      <w:tr>
        <w:tc>
          <w:tcPr>
            <w:tcW w:type="dxa" w:w="1872"/>
          </w:tcPr>
          <w:p>
            <w:pPr>
              <w:spacing w:after="40"/>
            </w:pPr>
            <w:r/>
            <w:r>
              <w:rPr>
                <w:b w:val="0"/>
                <w:sz w:val="20"/>
              </w:rPr>
              <w:t>Total student contact hours</w:t>
            </w:r>
          </w:p>
        </w:tc>
        <w:tc>
          <w:tcPr>
            <w:tcW w:type="dxa" w:w="2736"/>
          </w:tcPr>
          <w:p>
            <w:pPr>
              <w:spacing w:after="40"/>
            </w:pPr>
            <w:r/>
            <w:r>
              <w:rPr>
                <w:b w:val="0"/>
                <w:sz w:val="20"/>
              </w:rPr>
              <w:t>264 students at 7.5 hours</w:t>
            </w:r>
          </w:p>
        </w:tc>
        <w:tc>
          <w:tcPr>
            <w:tcW w:type="dxa" w:w="2016"/>
          </w:tcPr>
          <w:p>
            <w:pPr>
              <w:spacing w:after="40"/>
            </w:pPr>
            <w:r/>
            <w:r>
              <w:rPr>
                <w:b w:val="0"/>
                <w:sz w:val="20"/>
              </w:rPr>
              <w:t>1,980 hours</w:t>
            </w:r>
          </w:p>
        </w:tc>
        <w:tc>
          <w:tcPr>
            <w:tcW w:type="dxa" w:w="2592"/>
          </w:tcPr>
          <w:p>
            <w:pPr>
              <w:spacing w:after="40"/>
            </w:pPr>
            <w:r/>
            <w:r>
              <w:rPr>
                <w:b w:val="0"/>
                <w:sz w:val="20"/>
              </w:rPr>
              <w:t>Arithmetic, reported from session logs</w:t>
            </w:r>
          </w:p>
        </w:tc>
      </w:tr>
    </w:tbl>
    <w:p>
      <w:pPr>
        <w:spacing w:after="40"/>
      </w:pPr>
    </w:p>
    <w:p>
      <w:r>
        <w:rPr>
          <w:b w:val="0"/>
          <w:i w:val="0"/>
        </w:rPr>
        <w:t>Teaching artist fees are billed per session rather than per hour so that planning and travel are inside the rate. If your district requires background clearance, name the clearance and say when it will be complete, because a residency that cannot start on time is a schedule risk a panel has seen before.</w:t>
      </w:r>
    </w:p>
    <w:p>
      <w:pPr>
        <w:pStyle w:val="Heading2"/>
      </w:pPr>
      <w:r>
        <w:t>Timeline</w:t>
      </w:r>
    </w:p>
    <w:p>
      <w:r>
        <w:rPr>
          <w:b w:val="0"/>
          <w:i w:val="0"/>
        </w:rPr>
        <w:t>Nine months, phase by phase. Book access services in the rehearsal phase rather than the performance phase. Interpreters and audio describers need the script and a run-through in advance, and the good ones are booked months out.</w:t>
      </w:r>
    </w:p>
    <w:tbl>
      <w:tblPr>
        <w:tblStyle w:val="LightGrid-Accent1"/>
        <w:tblW w:type="auto" w:w="0"/>
        <w:jc w:val="center"/>
        <w:tblLook w:firstColumn="1" w:firstRow="1" w:lastColumn="0" w:lastRow="0" w:noHBand="0" w:noVBand="1" w:val="04A0"/>
      </w:tblPr>
      <w:tblGrid>
        <w:gridCol w:w="2340"/>
        <w:gridCol w:w="2340"/>
        <w:gridCol w:w="2340"/>
        <w:gridCol w:w="2340"/>
      </w:tblGrid>
      <w:tr>
        <w:trPr>
          <w:tblHeader/>
        </w:trPr>
        <w:tc>
          <w:tcPr>
            <w:tcW w:type="dxa" w:w="1008"/>
          </w:tcPr>
          <w:p>
            <w:pPr>
              <w:spacing w:after="40"/>
            </w:pPr>
            <w:r/>
            <w:r>
              <w:rPr>
                <w:b/>
                <w:sz w:val="20"/>
              </w:rPr>
              <w:t>Month</w:t>
            </w:r>
          </w:p>
        </w:tc>
        <w:tc>
          <w:tcPr>
            <w:tcW w:type="dxa" w:w="2016"/>
          </w:tcPr>
          <w:p>
            <w:pPr>
              <w:spacing w:after="40"/>
            </w:pPr>
            <w:r/>
            <w:r>
              <w:rPr>
                <w:b/>
                <w:sz w:val="20"/>
              </w:rPr>
              <w:t>Phase</w:t>
            </w:r>
          </w:p>
        </w:tc>
        <w:tc>
          <w:tcPr>
            <w:tcW w:type="dxa" w:w="4176"/>
          </w:tcPr>
          <w:p>
            <w:pPr>
              <w:spacing w:after="40"/>
            </w:pPr>
            <w:r/>
            <w:r>
              <w:rPr>
                <w:b/>
                <w:sz w:val="20"/>
              </w:rPr>
              <w:t>Milestone</w:t>
            </w:r>
          </w:p>
        </w:tc>
        <w:tc>
          <w:tcPr>
            <w:tcW w:type="dxa" w:w="2016"/>
          </w:tcPr>
          <w:p>
            <w:pPr>
              <w:spacing w:after="40"/>
            </w:pPr>
            <w:r/>
            <w:r>
              <w:rPr>
                <w:b/>
                <w:sz w:val="20"/>
              </w:rPr>
              <w:t>Owner</w:t>
            </w:r>
          </w:p>
        </w:tc>
      </w:tr>
      <w:tr>
        <w:tc>
          <w:tcPr>
            <w:tcW w:type="dxa" w:w="1008"/>
          </w:tcPr>
          <w:p>
            <w:pPr>
              <w:spacing w:after="40"/>
            </w:pPr>
            <w:r/>
            <w:r>
              <w:rPr>
                <w:b w:val="0"/>
                <w:sz w:val="20"/>
              </w:rPr>
              <w:t>1</w:t>
            </w:r>
          </w:p>
        </w:tc>
        <w:tc>
          <w:tcPr>
            <w:tcW w:type="dxa" w:w="2016"/>
          </w:tcPr>
          <w:p>
            <w:pPr>
              <w:spacing w:after="40"/>
            </w:pPr>
            <w:r/>
            <w:r>
              <w:rPr>
                <w:b w:val="0"/>
                <w:sz w:val="20"/>
              </w:rPr>
              <w:t>Pre-production</w:t>
            </w:r>
          </w:p>
        </w:tc>
        <w:tc>
          <w:tcPr>
            <w:tcW w:type="dxa" w:w="4176"/>
          </w:tcPr>
          <w:p>
            <w:pPr>
              <w:spacing w:after="40"/>
            </w:pPr>
            <w:r/>
            <w:r>
              <w:rPr>
                <w:b w:val="0"/>
                <w:sz w:val="20"/>
              </w:rPr>
              <w:t>Performance rights confirmed, design meetings held, budget locked</w:t>
            </w:r>
          </w:p>
        </w:tc>
        <w:tc>
          <w:tcPr>
            <w:tcW w:type="dxa" w:w="2016"/>
          </w:tcPr>
          <w:p>
            <w:pPr>
              <w:spacing w:after="40"/>
            </w:pPr>
            <w:r/>
            <w:r>
              <w:rPr>
                <w:b w:val="0"/>
                <w:sz w:val="20"/>
              </w:rPr>
              <w:t>Artistic director</w:t>
            </w:r>
          </w:p>
        </w:tc>
      </w:tr>
      <w:tr>
        <w:tc>
          <w:tcPr>
            <w:tcW w:type="dxa" w:w="1008"/>
          </w:tcPr>
          <w:p>
            <w:pPr>
              <w:spacing w:after="40"/>
            </w:pPr>
            <w:r/>
            <w:r>
              <w:rPr>
                <w:b w:val="0"/>
                <w:sz w:val="20"/>
              </w:rPr>
              <w:t>2</w:t>
            </w:r>
          </w:p>
        </w:tc>
        <w:tc>
          <w:tcPr>
            <w:tcW w:type="dxa" w:w="2016"/>
          </w:tcPr>
          <w:p>
            <w:pPr>
              <w:spacing w:after="40"/>
            </w:pPr>
            <w:r/>
            <w:r>
              <w:rPr>
                <w:b w:val="0"/>
                <w:sz w:val="20"/>
              </w:rPr>
              <w:t>Pre-production</w:t>
            </w:r>
          </w:p>
        </w:tc>
        <w:tc>
          <w:tcPr>
            <w:tcW w:type="dxa" w:w="4176"/>
          </w:tcPr>
          <w:p>
            <w:pPr>
              <w:spacing w:after="40"/>
            </w:pPr>
            <w:r/>
            <w:r>
              <w:rPr>
                <w:b w:val="0"/>
                <w:sz w:val="20"/>
              </w:rPr>
              <w:t>Open casting call held, company contracted, access vendors booked for named dates</w:t>
            </w:r>
          </w:p>
        </w:tc>
        <w:tc>
          <w:tcPr>
            <w:tcW w:type="dxa" w:w="2016"/>
          </w:tcPr>
          <w:p>
            <w:pPr>
              <w:spacing w:after="40"/>
            </w:pPr>
            <w:r/>
            <w:r>
              <w:rPr>
                <w:b w:val="0"/>
                <w:sz w:val="20"/>
              </w:rPr>
              <w:t>Artistic director, project coordinator</w:t>
            </w:r>
          </w:p>
        </w:tc>
      </w:tr>
      <w:tr>
        <w:tc>
          <w:tcPr>
            <w:tcW w:type="dxa" w:w="1008"/>
          </w:tcPr>
          <w:p>
            <w:pPr>
              <w:spacing w:after="40"/>
            </w:pPr>
            <w:r/>
            <w:r>
              <w:rPr>
                <w:b w:val="0"/>
                <w:sz w:val="20"/>
              </w:rPr>
              <w:t>2</w:t>
            </w:r>
          </w:p>
        </w:tc>
        <w:tc>
          <w:tcPr>
            <w:tcW w:type="dxa" w:w="2016"/>
          </w:tcPr>
          <w:p>
            <w:pPr>
              <w:spacing w:after="40"/>
            </w:pPr>
            <w:r/>
            <w:r>
              <w:rPr>
                <w:b w:val="0"/>
                <w:sz w:val="20"/>
              </w:rPr>
              <w:t>Residency setup</w:t>
            </w:r>
          </w:p>
        </w:tc>
        <w:tc>
          <w:tcPr>
            <w:tcW w:type="dxa" w:w="4176"/>
          </w:tcPr>
          <w:p>
            <w:pPr>
              <w:spacing w:after="40"/>
            </w:pPr>
            <w:r/>
            <w:r>
              <w:rPr>
                <w:b w:val="0"/>
                <w:sz w:val="20"/>
              </w:rPr>
              <w:t>District agreement signed, classrooms confirmed, teaching artist clearances filed</w:t>
            </w:r>
          </w:p>
        </w:tc>
        <w:tc>
          <w:tcPr>
            <w:tcW w:type="dxa" w:w="2016"/>
          </w:tcPr>
          <w:p>
            <w:pPr>
              <w:spacing w:after="40"/>
            </w:pPr>
            <w:r/>
            <w:r>
              <w:rPr>
                <w:b w:val="0"/>
                <w:sz w:val="20"/>
              </w:rPr>
              <w:t>Project coordinator</w:t>
            </w:r>
          </w:p>
        </w:tc>
      </w:tr>
      <w:tr>
        <w:tc>
          <w:tcPr>
            <w:tcW w:type="dxa" w:w="1008"/>
          </w:tcPr>
          <w:p>
            <w:pPr>
              <w:spacing w:after="40"/>
            </w:pPr>
            <w:r/>
            <w:r>
              <w:rPr>
                <w:b w:val="0"/>
                <w:sz w:val="20"/>
              </w:rPr>
              <w:t>3</w:t>
            </w:r>
          </w:p>
        </w:tc>
        <w:tc>
          <w:tcPr>
            <w:tcW w:type="dxa" w:w="2016"/>
          </w:tcPr>
          <w:p>
            <w:pPr>
              <w:spacing w:after="40"/>
            </w:pPr>
            <w:r/>
            <w:r>
              <w:rPr>
                <w:b w:val="0"/>
                <w:sz w:val="20"/>
              </w:rPr>
              <w:t>Residencies</w:t>
            </w:r>
          </w:p>
        </w:tc>
        <w:tc>
          <w:tcPr>
            <w:tcW w:type="dxa" w:w="4176"/>
          </w:tcPr>
          <w:p>
            <w:pPr>
              <w:spacing w:after="40"/>
            </w:pPr>
            <w:r/>
            <w:r>
              <w:rPr>
                <w:b w:val="0"/>
                <w:sz w:val="20"/>
              </w:rPr>
              <w:t>Residency sessions begin, session logs opened</w:t>
            </w:r>
          </w:p>
        </w:tc>
        <w:tc>
          <w:tcPr>
            <w:tcW w:type="dxa" w:w="2016"/>
          </w:tcPr>
          <w:p>
            <w:pPr>
              <w:spacing w:after="40"/>
            </w:pPr>
            <w:r/>
            <w:r>
              <w:rPr>
                <w:b w:val="0"/>
                <w:sz w:val="20"/>
              </w:rPr>
              <w:t>Teaching artists</w:t>
            </w:r>
          </w:p>
        </w:tc>
      </w:tr>
      <w:tr>
        <w:tc>
          <w:tcPr>
            <w:tcW w:type="dxa" w:w="1008"/>
          </w:tcPr>
          <w:p>
            <w:pPr>
              <w:spacing w:after="40"/>
            </w:pPr>
            <w:r/>
            <w:r>
              <w:rPr>
                <w:b w:val="0"/>
                <w:sz w:val="20"/>
              </w:rPr>
              <w:t>4</w:t>
            </w:r>
          </w:p>
        </w:tc>
        <w:tc>
          <w:tcPr>
            <w:tcW w:type="dxa" w:w="2016"/>
          </w:tcPr>
          <w:p>
            <w:pPr>
              <w:spacing w:after="40"/>
            </w:pPr>
            <w:r/>
            <w:r>
              <w:rPr>
                <w:b w:val="0"/>
                <w:sz w:val="20"/>
              </w:rPr>
              <w:t>Residencies</w:t>
            </w:r>
          </w:p>
        </w:tc>
        <w:tc>
          <w:tcPr>
            <w:tcW w:type="dxa" w:w="4176"/>
          </w:tcPr>
          <w:p>
            <w:pPr>
              <w:spacing w:after="40"/>
            </w:pPr>
            <w:r/>
            <w:r>
              <w:rPr>
                <w:b w:val="0"/>
                <w:sz w:val="20"/>
              </w:rPr>
              <w:t>Mid-point check with partner teachers, curriculum adjusted</w:t>
            </w:r>
          </w:p>
        </w:tc>
        <w:tc>
          <w:tcPr>
            <w:tcW w:type="dxa" w:w="2016"/>
          </w:tcPr>
          <w:p>
            <w:pPr>
              <w:spacing w:after="40"/>
            </w:pPr>
            <w:r/>
            <w:r>
              <w:rPr>
                <w:b w:val="0"/>
                <w:sz w:val="20"/>
              </w:rPr>
              <w:t>Project coordinator</w:t>
            </w:r>
          </w:p>
        </w:tc>
      </w:tr>
      <w:tr>
        <w:tc>
          <w:tcPr>
            <w:tcW w:type="dxa" w:w="1008"/>
          </w:tcPr>
          <w:p>
            <w:pPr>
              <w:spacing w:after="40"/>
            </w:pPr>
            <w:r/>
            <w:r>
              <w:rPr>
                <w:b w:val="0"/>
                <w:sz w:val="20"/>
              </w:rPr>
              <w:t>5</w:t>
            </w:r>
          </w:p>
        </w:tc>
        <w:tc>
          <w:tcPr>
            <w:tcW w:type="dxa" w:w="2016"/>
          </w:tcPr>
          <w:p>
            <w:pPr>
              <w:spacing w:after="40"/>
            </w:pPr>
            <w:r/>
            <w:r>
              <w:rPr>
                <w:b w:val="0"/>
                <w:sz w:val="20"/>
              </w:rPr>
              <w:t>Residencies and rehearsal</w:t>
            </w:r>
          </w:p>
        </w:tc>
        <w:tc>
          <w:tcPr>
            <w:tcW w:type="dxa" w:w="4176"/>
          </w:tcPr>
          <w:p>
            <w:pPr>
              <w:spacing w:after="40"/>
            </w:pPr>
            <w:r/>
            <w:r>
              <w:rPr>
                <w:b w:val="0"/>
                <w:sz w:val="20"/>
              </w:rPr>
              <w:t>Residencies conclude with classroom presentations, company rehearsals begin</w:t>
            </w:r>
          </w:p>
        </w:tc>
        <w:tc>
          <w:tcPr>
            <w:tcW w:type="dxa" w:w="2016"/>
          </w:tcPr>
          <w:p>
            <w:pPr>
              <w:spacing w:after="40"/>
            </w:pPr>
            <w:r/>
            <w:r>
              <w:rPr>
                <w:b w:val="0"/>
                <w:sz w:val="20"/>
              </w:rPr>
              <w:t>Teaching artists, director</w:t>
            </w:r>
          </w:p>
        </w:tc>
      </w:tr>
      <w:tr>
        <w:tc>
          <w:tcPr>
            <w:tcW w:type="dxa" w:w="1008"/>
          </w:tcPr>
          <w:p>
            <w:pPr>
              <w:spacing w:after="40"/>
            </w:pPr>
            <w:r/>
            <w:r>
              <w:rPr>
                <w:b w:val="0"/>
                <w:sz w:val="20"/>
              </w:rPr>
              <w:t>6</w:t>
            </w:r>
          </w:p>
        </w:tc>
        <w:tc>
          <w:tcPr>
            <w:tcW w:type="dxa" w:w="2016"/>
          </w:tcPr>
          <w:p>
            <w:pPr>
              <w:spacing w:after="40"/>
            </w:pPr>
            <w:r/>
            <w:r>
              <w:rPr>
                <w:b w:val="0"/>
                <w:sz w:val="20"/>
              </w:rPr>
              <w:t>Rehearsal</w:t>
            </w:r>
          </w:p>
        </w:tc>
        <w:tc>
          <w:tcPr>
            <w:tcW w:type="dxa" w:w="4176"/>
          </w:tcPr>
          <w:p>
            <w:pPr>
              <w:spacing w:after="40"/>
            </w:pPr>
            <w:r/>
            <w:r>
              <w:rPr>
                <w:b w:val="0"/>
                <w:sz w:val="20"/>
              </w:rPr>
              <w:t>Script delivered to interpreters and describer, captioning file prepared</w:t>
            </w:r>
          </w:p>
        </w:tc>
        <w:tc>
          <w:tcPr>
            <w:tcW w:type="dxa" w:w="2016"/>
          </w:tcPr>
          <w:p>
            <w:pPr>
              <w:spacing w:after="40"/>
            </w:pPr>
            <w:r/>
            <w:r>
              <w:rPr>
                <w:b w:val="0"/>
                <w:sz w:val="20"/>
              </w:rPr>
              <w:t>Stage manager</w:t>
            </w:r>
          </w:p>
        </w:tc>
      </w:tr>
      <w:tr>
        <w:tc>
          <w:tcPr>
            <w:tcW w:type="dxa" w:w="1008"/>
          </w:tcPr>
          <w:p>
            <w:pPr>
              <w:spacing w:after="40"/>
            </w:pPr>
            <w:r/>
            <w:r>
              <w:rPr>
                <w:b w:val="0"/>
                <w:sz w:val="20"/>
              </w:rPr>
              <w:t>6</w:t>
            </w:r>
          </w:p>
        </w:tc>
        <w:tc>
          <w:tcPr>
            <w:tcW w:type="dxa" w:w="2016"/>
          </w:tcPr>
          <w:p>
            <w:pPr>
              <w:spacing w:after="40"/>
            </w:pPr>
            <w:r/>
            <w:r>
              <w:rPr>
                <w:b w:val="0"/>
                <w:sz w:val="20"/>
              </w:rPr>
              <w:t>Marketing</w:t>
            </w:r>
          </w:p>
        </w:tc>
        <w:tc>
          <w:tcPr>
            <w:tcW w:type="dxa" w:w="4176"/>
          </w:tcPr>
          <w:p>
            <w:pPr>
              <w:spacing w:after="40"/>
            </w:pPr>
            <w:r/>
            <w:r>
              <w:rPr>
                <w:b w:val="0"/>
                <w:sz w:val="20"/>
              </w:rPr>
              <w:t>Outreach to partner ZIP codes begins, accessible-format materials distributed</w:t>
            </w:r>
          </w:p>
        </w:tc>
        <w:tc>
          <w:tcPr>
            <w:tcW w:type="dxa" w:w="2016"/>
          </w:tcPr>
          <w:p>
            <w:pPr>
              <w:spacing w:after="40"/>
            </w:pPr>
            <w:r/>
            <w:r>
              <w:rPr>
                <w:b w:val="0"/>
                <w:sz w:val="20"/>
              </w:rPr>
              <w:t>Project coordinator</w:t>
            </w:r>
          </w:p>
        </w:tc>
      </w:tr>
      <w:tr>
        <w:tc>
          <w:tcPr>
            <w:tcW w:type="dxa" w:w="1008"/>
          </w:tcPr>
          <w:p>
            <w:pPr>
              <w:spacing w:after="40"/>
            </w:pPr>
            <w:r/>
            <w:r>
              <w:rPr>
                <w:b w:val="0"/>
                <w:sz w:val="20"/>
              </w:rPr>
              <w:t>7</w:t>
            </w:r>
          </w:p>
        </w:tc>
        <w:tc>
          <w:tcPr>
            <w:tcW w:type="dxa" w:w="2016"/>
          </w:tcPr>
          <w:p>
            <w:pPr>
              <w:spacing w:after="40"/>
            </w:pPr>
            <w:r/>
            <w:r>
              <w:rPr>
                <w:b w:val="0"/>
                <w:sz w:val="20"/>
              </w:rPr>
              <w:t>Technical</w:t>
            </w:r>
          </w:p>
        </w:tc>
        <w:tc>
          <w:tcPr>
            <w:tcW w:type="dxa" w:w="4176"/>
          </w:tcPr>
          <w:p>
            <w:pPr>
              <w:spacing w:after="40"/>
            </w:pPr>
            <w:r/>
            <w:r>
              <w:rPr>
                <w:b w:val="0"/>
                <w:sz w:val="20"/>
              </w:rPr>
              <w:t>Technical rehearsals, interpreter run-through, sensory-friendly adjustments tested</w:t>
            </w:r>
          </w:p>
        </w:tc>
        <w:tc>
          <w:tcPr>
            <w:tcW w:type="dxa" w:w="2016"/>
          </w:tcPr>
          <w:p>
            <w:pPr>
              <w:spacing w:after="40"/>
            </w:pPr>
            <w:r/>
            <w:r>
              <w:rPr>
                <w:b w:val="0"/>
                <w:sz w:val="20"/>
              </w:rPr>
              <w:t>Technical director</w:t>
            </w:r>
          </w:p>
        </w:tc>
      </w:tr>
      <w:tr>
        <w:tc>
          <w:tcPr>
            <w:tcW w:type="dxa" w:w="1008"/>
          </w:tcPr>
          <w:p>
            <w:pPr>
              <w:spacing w:after="40"/>
            </w:pPr>
            <w:r/>
            <w:r>
              <w:rPr>
                <w:b w:val="0"/>
                <w:sz w:val="20"/>
              </w:rPr>
              <w:t>7 to 8</w:t>
            </w:r>
          </w:p>
        </w:tc>
        <w:tc>
          <w:tcPr>
            <w:tcW w:type="dxa" w:w="2016"/>
          </w:tcPr>
          <w:p>
            <w:pPr>
              <w:spacing w:after="40"/>
            </w:pPr>
            <w:r/>
            <w:r>
              <w:rPr>
                <w:b w:val="0"/>
                <w:sz w:val="20"/>
              </w:rPr>
              <w:t>Performances</w:t>
            </w:r>
          </w:p>
        </w:tc>
        <w:tc>
          <w:tcPr>
            <w:tcW w:type="dxa" w:w="4176"/>
          </w:tcPr>
          <w:p>
            <w:pPr>
              <w:spacing w:after="40"/>
            </w:pPr>
            <w:r/>
            <w:r>
              <w:rPr>
                <w:b w:val="0"/>
                <w:sz w:val="20"/>
              </w:rPr>
              <w:t>Ten-performance run, exit surveys collected, accommodation log maintained</w:t>
            </w:r>
          </w:p>
        </w:tc>
        <w:tc>
          <w:tcPr>
            <w:tcW w:type="dxa" w:w="2016"/>
          </w:tcPr>
          <w:p>
            <w:pPr>
              <w:spacing w:after="40"/>
            </w:pPr>
            <w:r/>
            <w:r>
              <w:rPr>
                <w:b w:val="0"/>
                <w:sz w:val="20"/>
              </w:rPr>
              <w:t>Front of house</w:t>
            </w:r>
          </w:p>
        </w:tc>
      </w:tr>
      <w:tr>
        <w:tc>
          <w:tcPr>
            <w:tcW w:type="dxa" w:w="1008"/>
          </w:tcPr>
          <w:p>
            <w:pPr>
              <w:spacing w:after="40"/>
            </w:pPr>
            <w:r/>
            <w:r>
              <w:rPr>
                <w:b w:val="0"/>
                <w:sz w:val="20"/>
              </w:rPr>
              <w:t>8</w:t>
            </w:r>
          </w:p>
        </w:tc>
        <w:tc>
          <w:tcPr>
            <w:tcW w:type="dxa" w:w="2016"/>
          </w:tcPr>
          <w:p>
            <w:pPr>
              <w:spacing w:after="40"/>
            </w:pPr>
            <w:r/>
            <w:r>
              <w:rPr>
                <w:b w:val="0"/>
                <w:sz w:val="20"/>
              </w:rPr>
              <w:t>Documentation</w:t>
            </w:r>
          </w:p>
        </w:tc>
        <w:tc>
          <w:tcPr>
            <w:tcW w:type="dxa" w:w="4176"/>
          </w:tcPr>
          <w:p>
            <w:pPr>
              <w:spacing w:after="40"/>
            </w:pPr>
            <w:r/>
            <w:r>
              <w:rPr>
                <w:b w:val="0"/>
                <w:sz w:val="20"/>
              </w:rPr>
              <w:t>Archival photography and video captured at two performances</w:t>
            </w:r>
          </w:p>
        </w:tc>
        <w:tc>
          <w:tcPr>
            <w:tcW w:type="dxa" w:w="2016"/>
          </w:tcPr>
          <w:p>
            <w:pPr>
              <w:spacing w:after="40"/>
            </w:pPr>
            <w:r/>
            <w:r>
              <w:rPr>
                <w:b w:val="0"/>
                <w:sz w:val="20"/>
              </w:rPr>
              <w:t>Project coordinator</w:t>
            </w:r>
          </w:p>
        </w:tc>
      </w:tr>
      <w:tr>
        <w:tc>
          <w:tcPr>
            <w:tcW w:type="dxa" w:w="1008"/>
          </w:tcPr>
          <w:p>
            <w:pPr>
              <w:spacing w:after="40"/>
            </w:pPr>
            <w:r/>
            <w:r>
              <w:rPr>
                <w:b w:val="0"/>
                <w:sz w:val="20"/>
              </w:rPr>
              <w:t>9</w:t>
            </w:r>
          </w:p>
        </w:tc>
        <w:tc>
          <w:tcPr>
            <w:tcW w:type="dxa" w:w="2016"/>
          </w:tcPr>
          <w:p>
            <w:pPr>
              <w:spacing w:after="40"/>
            </w:pPr>
            <w:r/>
            <w:r>
              <w:rPr>
                <w:b w:val="0"/>
                <w:sz w:val="20"/>
              </w:rPr>
              <w:t>Evaluation</w:t>
            </w:r>
          </w:p>
        </w:tc>
        <w:tc>
          <w:tcPr>
            <w:tcW w:type="dxa" w:w="4176"/>
          </w:tcPr>
          <w:p>
            <w:pPr>
              <w:spacing w:after="40"/>
            </w:pPr>
            <w:r/>
            <w:r>
              <w:rPr>
                <w:b w:val="0"/>
                <w:sz w:val="20"/>
              </w:rPr>
              <w:t>Survey analysis, artist debrief, district debrief, funder report submitted</w:t>
            </w:r>
          </w:p>
        </w:tc>
        <w:tc>
          <w:tcPr>
            <w:tcW w:type="dxa" w:w="2016"/>
          </w:tcPr>
          <w:p>
            <w:pPr>
              <w:spacing w:after="40"/>
            </w:pPr>
            <w:r/>
            <w:r>
              <w:rPr>
                <w:b w:val="0"/>
                <w:sz w:val="20"/>
              </w:rPr>
              <w:t>Project coordinator</w:t>
            </w:r>
          </w:p>
        </w:tc>
      </w:tr>
    </w:tbl>
    <w:p>
      <w:pPr>
        <w:spacing w:after="40"/>
      </w:pPr>
    </w:p>
    <w:p>
      <w:pPr>
        <w:pStyle w:val="Heading1"/>
      </w:pPr>
      <w:r>
        <w:t>Goals and Measurable Outcomes</w:t>
      </w:r>
    </w:p>
    <w:p>
      <w:r>
        <w:rPr>
          <w:b w:val="0"/>
          <w:i w:val="0"/>
        </w:rPr>
        <w:t>Separate what you will produce from what will change. The output is the number of performances delivered. The outcome is the share of surveyed attendees who report it was their first live theater in a year. Both belong in the proposal, but a panel that reads only outputs concludes you are measuring activity rather than effect.</w:t>
      </w:r>
    </w:p>
    <w:p>
      <w:pPr>
        <w:pStyle w:val="Heading2"/>
      </w:pPr>
      <w:r>
        <w:t>Goals</w:t>
      </w:r>
    </w:p>
    <w:p>
      <w:pPr>
        <w:pStyle w:val="ListNumber"/>
      </w:pPr>
      <w:r>
        <w:t>Bring a professionally produced play to audiences in Cedar County who currently do not attend, at prices and on dates that do not exclude them.</w:t>
      </w:r>
    </w:p>
    <w:p>
      <w:pPr>
        <w:pStyle w:val="ListNumber"/>
      </w:pPr>
      <w:r>
        <w:t>Restore a measure of arts instruction to four elementary schools that have had no arts staff since 2022.</w:t>
      </w:r>
    </w:p>
    <w:p>
      <w:pPr>
        <w:pStyle w:val="ListNumber"/>
      </w:pPr>
      <w:r>
        <w:t>Pay every artist on the project at a contracted rate, and document it.</w:t>
      </w:r>
    </w:p>
    <w:p>
      <w:pPr>
        <w:pStyle w:val="ListNumber"/>
      </w:pPr>
      <w:r>
        <w:t>Make the run genuinely usable by deaf, hard of hearing, blind, low vision, and neurodivergent audience members, and record whether the services were used.</w:t>
      </w:r>
    </w:p>
    <w:p>
      <w:pPr>
        <w:pStyle w:val="Heading2"/>
      </w:pPr>
      <w:r>
        <w:t>Measurable outcome statements</w:t>
      </w:r>
    </w:p>
    <w:p>
      <w:r>
        <w:rPr>
          <w:b w:val="0"/>
          <w:i w:val="0"/>
        </w:rPr>
        <w:t>Write each outcome with a target figure, a deadline, and a source. Sample statements you can adapt, each drawn from the metrics table that follows:</w:t>
      </w:r>
    </w:p>
    <w:p>
      <w:pPr>
        <w:spacing w:before="120" w:after="200"/>
        <w:ind w:left="504" w:right="288"/>
        <w:pBdr>
          <w:left w:val="single" w:sz="18" w:space="8" w:color="1F3D4A"/>
        </w:pBdr>
      </w:pPr>
      <w:r>
        <w:rPr>
          <w:i/>
          <w:color w:val="22333A"/>
        </w:rPr>
        <w:t>By [end date], 264 students across 12 classrooms will complete 1,980 total contact hours of teaching artist instruction, with at least 85 percent completing a final classroom presentation, counted from teaching artist session logs.</w:t>
      </w:r>
    </w:p>
    <w:p>
      <w:pPr>
        <w:spacing w:before="120" w:after="200"/>
        <w:ind w:left="504" w:right="288"/>
        <w:pBdr>
          <w:left w:val="single" w:sz="18" w:space="8" w:color="1F3D4A"/>
        </w:pBdr>
      </w:pPr>
      <w:r>
        <w:rPr>
          <w:i/>
          <w:color w:val="22333A"/>
        </w:rPr>
        <w:t>At least 30 percent of survey respondents at free and pay-what-you-wish performances will report attending live theater fewer than once in the prior 12 months, measured by a four-question exit survey with a target response rate of 25 percent.</w:t>
      </w:r>
    </w:p>
    <w:p>
      <w:pPr>
        <w:spacing w:before="120" w:after="200"/>
        <w:ind w:left="504" w:right="288"/>
        <w:pBdr>
          <w:left w:val="single" w:sz="18" w:space="8" w:color="1F3D4A"/>
        </w:pBdr>
      </w:pPr>
      <w:r>
        <w:rPr>
          <w:i/>
          <w:color w:val="22333A"/>
        </w:rPr>
        <w:t>All 15 participating artists will be paid at or above the contracted rates listed in the budget narrative, totaling $26,500, documented in payroll and contractor records.</w:t>
      </w:r>
    </w:p>
    <w:p>
      <w:pPr>
        <w:spacing w:before="120" w:after="200"/>
        <w:ind w:left="504" w:right="288"/>
        <w:pBdr>
          <w:left w:val="single" w:sz="18" w:space="8" w:color="1F3D4A"/>
        </w:pBdr>
      </w:pPr>
      <w:r>
        <w:rPr>
          <w:i/>
          <w:color w:val="22333A"/>
        </w:rPr>
        <w:t>ETC will offer six performances carrying at least one access service and will fulfill 100 percent of access accommodation requests received at least seven days before a performance, with requests and fulfillments logged separately by the box office.</w:t>
      </w:r>
    </w:p>
    <w:p>
      <w:pPr>
        <w:spacing w:before="120" w:after="200"/>
        <w:ind w:left="504" w:right="288"/>
        <w:pBdr>
          <w:left w:val="single" w:sz="18" w:space="8" w:color="1F3D4A"/>
        </w:pBdr>
      </w:pPr>
      <w:r>
        <w:rPr>
          <w:i/>
          <w:color w:val="22333A"/>
        </w:rPr>
        <w:t>Ticket buyer records will show attendance from at least 18 distinct ZIP codes, up from 12 across the prior three seasons, measured from the ticketing system at the close of the run.</w:t>
      </w:r>
    </w:p>
    <w:p>
      <w:r>
        <w:rPr>
          <w:b w:val="0"/>
          <w:i w:val="0"/>
        </w:rPr>
        <w:t>The third statement, artist compensation written as an outcome rather than as a budget note, maps onto a criterion the NEA already publishes. Few applicants write it that way, and it costs nothing to do.</w:t>
      </w:r>
    </w:p>
    <w:p>
      <w:pPr>
        <w:pStyle w:val="Heading1"/>
      </w:pPr>
      <w:r>
        <w:t>Audience and Access Metrics</w:t>
      </w:r>
    </w:p>
    <w:p>
      <w:r>
        <w:rPr>
          <w:b w:val="0"/>
          <w:i w:val="0"/>
        </w:rPr>
        <w:t>Attendance alone is a weak outcome because it counts tickets rather than any change in the audience. Pair every count with a definition and a collection method. Done properly, the same table is your reporting plan, which means the final report is mostly written before the project starts.</w:t>
      </w:r>
    </w:p>
    <w:p>
      <w:pPr>
        <w:pStyle w:val="Heading2"/>
      </w:pPr>
      <w:r>
        <w:t>Metric definitions and sources</w:t>
      </w:r>
    </w:p>
    <w:tbl>
      <w:tblPr>
        <w:tblStyle w:val="LightGrid-Accent1"/>
        <w:tblW w:type="auto" w:w="0"/>
        <w:jc w:val="center"/>
        <w:tblLook w:firstColumn="1" w:firstRow="1" w:lastColumn="0" w:lastRow="0" w:noHBand="0" w:noVBand="1" w:val="04A0"/>
      </w:tblPr>
      <w:tblGrid>
        <w:gridCol w:w="3120"/>
        <w:gridCol w:w="3120"/>
        <w:gridCol w:w="3120"/>
      </w:tblGrid>
      <w:tr>
        <w:trPr>
          <w:tblHeader/>
        </w:trPr>
        <w:tc>
          <w:tcPr>
            <w:tcW w:type="dxa" w:w="2304"/>
          </w:tcPr>
          <w:p>
            <w:pPr>
              <w:spacing w:after="40"/>
            </w:pPr>
            <w:r/>
            <w:r>
              <w:rPr>
                <w:b/>
                <w:sz w:val="20"/>
              </w:rPr>
              <w:t>Metric</w:t>
            </w:r>
          </w:p>
        </w:tc>
        <w:tc>
          <w:tcPr>
            <w:tcW w:type="dxa" w:w="3744"/>
          </w:tcPr>
          <w:p>
            <w:pPr>
              <w:spacing w:after="40"/>
            </w:pPr>
            <w:r/>
            <w:r>
              <w:rPr>
                <w:b/>
                <w:sz w:val="20"/>
              </w:rPr>
              <w:t>How to define it</w:t>
            </w:r>
          </w:p>
        </w:tc>
        <w:tc>
          <w:tcPr>
            <w:tcW w:type="dxa" w:w="3168"/>
          </w:tcPr>
          <w:p>
            <w:pPr>
              <w:spacing w:after="40"/>
            </w:pPr>
            <w:r/>
            <w:r>
              <w:rPr>
                <w:b/>
                <w:sz w:val="20"/>
              </w:rPr>
              <w:t>Where the data comes from</w:t>
            </w:r>
          </w:p>
        </w:tc>
      </w:tr>
      <w:tr>
        <w:tc>
          <w:tcPr>
            <w:tcW w:type="dxa" w:w="2304"/>
          </w:tcPr>
          <w:p>
            <w:pPr>
              <w:spacing w:after="40"/>
            </w:pPr>
            <w:r/>
            <w:r>
              <w:rPr>
                <w:b w:val="0"/>
                <w:sz w:val="20"/>
              </w:rPr>
              <w:t>Total attendance</w:t>
            </w:r>
          </w:p>
        </w:tc>
        <w:tc>
          <w:tcPr>
            <w:tcW w:type="dxa" w:w="3744"/>
          </w:tcPr>
          <w:p>
            <w:pPr>
              <w:spacing w:after="40"/>
            </w:pPr>
            <w:r/>
            <w:r>
              <w:rPr>
                <w:b w:val="0"/>
                <w:sz w:val="20"/>
              </w:rPr>
              <w:t>Seats filled across all performances, including comps and free admissions</w:t>
            </w:r>
          </w:p>
        </w:tc>
        <w:tc>
          <w:tcPr>
            <w:tcW w:type="dxa" w:w="3168"/>
          </w:tcPr>
          <w:p>
            <w:pPr>
              <w:spacing w:after="40"/>
            </w:pPr>
            <w:r/>
            <w:r>
              <w:rPr>
                <w:b w:val="0"/>
                <w:sz w:val="20"/>
              </w:rPr>
              <w:t>Box office or ticketing system</w:t>
            </w:r>
          </w:p>
        </w:tc>
      </w:tr>
      <w:tr>
        <w:tc>
          <w:tcPr>
            <w:tcW w:type="dxa" w:w="2304"/>
          </w:tcPr>
          <w:p>
            <w:pPr>
              <w:spacing w:after="40"/>
            </w:pPr>
            <w:r/>
            <w:r>
              <w:rPr>
                <w:b w:val="0"/>
                <w:sz w:val="20"/>
              </w:rPr>
              <w:t>Unique participants</w:t>
            </w:r>
          </w:p>
        </w:tc>
        <w:tc>
          <w:tcPr>
            <w:tcW w:type="dxa" w:w="3744"/>
          </w:tcPr>
          <w:p>
            <w:pPr>
              <w:spacing w:after="40"/>
            </w:pPr>
            <w:r/>
            <w:r>
              <w:rPr>
                <w:b w:val="0"/>
                <w:sz w:val="20"/>
              </w:rPr>
              <w:t>Distinct individuals, not repeat visits, de-duplicated by name and email or by sign-in</w:t>
            </w:r>
          </w:p>
        </w:tc>
        <w:tc>
          <w:tcPr>
            <w:tcW w:type="dxa" w:w="3168"/>
          </w:tcPr>
          <w:p>
            <w:pPr>
              <w:spacing w:after="40"/>
            </w:pPr>
            <w:r/>
            <w:r>
              <w:rPr>
                <w:b w:val="0"/>
                <w:sz w:val="20"/>
              </w:rPr>
              <w:t>De-duplicated ticket records, sign-in sheets for free matinees</w:t>
            </w:r>
          </w:p>
        </w:tc>
      </w:tr>
      <w:tr>
        <w:tc>
          <w:tcPr>
            <w:tcW w:type="dxa" w:w="2304"/>
          </w:tcPr>
          <w:p>
            <w:pPr>
              <w:spacing w:after="40"/>
            </w:pPr>
            <w:r/>
            <w:r>
              <w:rPr>
                <w:b w:val="0"/>
                <w:sz w:val="20"/>
              </w:rPr>
              <w:t>First-time attendees</w:t>
            </w:r>
          </w:p>
        </w:tc>
        <w:tc>
          <w:tcPr>
            <w:tcW w:type="dxa" w:w="3744"/>
          </w:tcPr>
          <w:p>
            <w:pPr>
              <w:spacing w:after="40"/>
            </w:pPr>
            <w:r/>
            <w:r>
              <w:rPr>
                <w:b w:val="0"/>
                <w:sz w:val="20"/>
              </w:rPr>
              <w:t>Share of respondents reporting no live theater attendance in the prior 12 months</w:t>
            </w:r>
          </w:p>
        </w:tc>
        <w:tc>
          <w:tcPr>
            <w:tcW w:type="dxa" w:w="3168"/>
          </w:tcPr>
          <w:p>
            <w:pPr>
              <w:spacing w:after="40"/>
            </w:pPr>
            <w:r/>
            <w:r>
              <w:rPr>
                <w:b w:val="0"/>
                <w:sz w:val="20"/>
              </w:rPr>
              <w:t>Four-question post-performance exit survey</w:t>
            </w:r>
          </w:p>
        </w:tc>
      </w:tr>
      <w:tr>
        <w:tc>
          <w:tcPr>
            <w:tcW w:type="dxa" w:w="2304"/>
          </w:tcPr>
          <w:p>
            <w:pPr>
              <w:spacing w:after="40"/>
            </w:pPr>
            <w:r/>
            <w:r>
              <w:rPr>
                <w:b w:val="0"/>
                <w:sz w:val="20"/>
              </w:rPr>
              <w:t>Free and reduced admissions</w:t>
            </w:r>
          </w:p>
        </w:tc>
        <w:tc>
          <w:tcPr>
            <w:tcW w:type="dxa" w:w="3744"/>
          </w:tcPr>
          <w:p>
            <w:pPr>
              <w:spacing w:after="40"/>
            </w:pPr>
            <w:r/>
            <w:r>
              <w:rPr>
                <w:b w:val="0"/>
                <w:sz w:val="20"/>
              </w:rPr>
              <w:t>Count and share of total admissions issued at zero or pay-what-you-wish price</w:t>
            </w:r>
          </w:p>
        </w:tc>
        <w:tc>
          <w:tcPr>
            <w:tcW w:type="dxa" w:w="3168"/>
          </w:tcPr>
          <w:p>
            <w:pPr>
              <w:spacing w:after="40"/>
            </w:pPr>
            <w:r/>
            <w:r>
              <w:rPr>
                <w:b w:val="0"/>
                <w:sz w:val="20"/>
              </w:rPr>
              <w:t>Ticketing system, by price tier</w:t>
            </w:r>
          </w:p>
        </w:tc>
      </w:tr>
      <w:tr>
        <w:tc>
          <w:tcPr>
            <w:tcW w:type="dxa" w:w="2304"/>
          </w:tcPr>
          <w:p>
            <w:pPr>
              <w:spacing w:after="40"/>
            </w:pPr>
            <w:r/>
            <w:r>
              <w:rPr>
                <w:b w:val="0"/>
                <w:sz w:val="20"/>
              </w:rPr>
              <w:t>Teaching artist contact hours</w:t>
            </w:r>
          </w:p>
        </w:tc>
        <w:tc>
          <w:tcPr>
            <w:tcW w:type="dxa" w:w="3744"/>
          </w:tcPr>
          <w:p>
            <w:pPr>
              <w:spacing w:after="40"/>
            </w:pPr>
            <w:r/>
            <w:r>
              <w:rPr>
                <w:b w:val="0"/>
                <w:sz w:val="20"/>
              </w:rPr>
              <w:t>Students multiplied by sessions multiplied by session length</w:t>
            </w:r>
          </w:p>
        </w:tc>
        <w:tc>
          <w:tcPr>
            <w:tcW w:type="dxa" w:w="3168"/>
          </w:tcPr>
          <w:p>
            <w:pPr>
              <w:spacing w:after="40"/>
            </w:pPr>
            <w:r/>
            <w:r>
              <w:rPr>
                <w:b w:val="0"/>
                <w:sz w:val="20"/>
              </w:rPr>
              <w:t>Teaching artist session logs</w:t>
            </w:r>
          </w:p>
        </w:tc>
      </w:tr>
      <w:tr>
        <w:tc>
          <w:tcPr>
            <w:tcW w:type="dxa" w:w="2304"/>
          </w:tcPr>
          <w:p>
            <w:pPr>
              <w:spacing w:after="40"/>
            </w:pPr>
            <w:r/>
            <w:r>
              <w:rPr>
                <w:b w:val="0"/>
                <w:sz w:val="20"/>
              </w:rPr>
              <w:t>Residency completion</w:t>
            </w:r>
          </w:p>
        </w:tc>
        <w:tc>
          <w:tcPr>
            <w:tcW w:type="dxa" w:w="3744"/>
          </w:tcPr>
          <w:p>
            <w:pPr>
              <w:spacing w:after="40"/>
            </w:pPr>
            <w:r/>
            <w:r>
              <w:rPr>
                <w:b w:val="0"/>
                <w:sz w:val="20"/>
              </w:rPr>
              <w:t>Share of enrolled students completing the final classroom presentation</w:t>
            </w:r>
          </w:p>
        </w:tc>
        <w:tc>
          <w:tcPr>
            <w:tcW w:type="dxa" w:w="3168"/>
          </w:tcPr>
          <w:p>
            <w:pPr>
              <w:spacing w:after="40"/>
            </w:pPr>
            <w:r/>
            <w:r>
              <w:rPr>
                <w:b w:val="0"/>
                <w:sz w:val="20"/>
              </w:rPr>
              <w:t>Session logs, confirmed by partner teachers</w:t>
            </w:r>
          </w:p>
        </w:tc>
      </w:tr>
      <w:tr>
        <w:tc>
          <w:tcPr>
            <w:tcW w:type="dxa" w:w="2304"/>
          </w:tcPr>
          <w:p>
            <w:pPr>
              <w:spacing w:after="40"/>
            </w:pPr>
            <w:r/>
            <w:r>
              <w:rPr>
                <w:b w:val="0"/>
                <w:sz w:val="20"/>
              </w:rPr>
              <w:t>Accessible performances offered</w:t>
            </w:r>
          </w:p>
        </w:tc>
        <w:tc>
          <w:tcPr>
            <w:tcW w:type="dxa" w:w="3744"/>
          </w:tcPr>
          <w:p>
            <w:pPr>
              <w:spacing w:after="40"/>
            </w:pPr>
            <w:r/>
            <w:r>
              <w:rPr>
                <w:b w:val="0"/>
                <w:sz w:val="20"/>
              </w:rPr>
              <w:t>Dates carrying interpretation, captioning, audio description, or sensory-friendly adjustments</w:t>
            </w:r>
          </w:p>
        </w:tc>
        <w:tc>
          <w:tcPr>
            <w:tcW w:type="dxa" w:w="3168"/>
          </w:tcPr>
          <w:p>
            <w:pPr>
              <w:spacing w:after="40"/>
            </w:pPr>
            <w:r/>
            <w:r>
              <w:rPr>
                <w:b w:val="0"/>
                <w:sz w:val="20"/>
              </w:rPr>
              <w:t>Production calendar and performance schedule</w:t>
            </w:r>
          </w:p>
        </w:tc>
      </w:tr>
      <w:tr>
        <w:tc>
          <w:tcPr>
            <w:tcW w:type="dxa" w:w="2304"/>
          </w:tcPr>
          <w:p>
            <w:pPr>
              <w:spacing w:after="40"/>
            </w:pPr>
            <w:r/>
            <w:r>
              <w:rPr>
                <w:b w:val="0"/>
                <w:sz w:val="20"/>
              </w:rPr>
              <w:t>Accommodations requested</w:t>
            </w:r>
          </w:p>
        </w:tc>
        <w:tc>
          <w:tcPr>
            <w:tcW w:type="dxa" w:w="3744"/>
          </w:tcPr>
          <w:p>
            <w:pPr>
              <w:spacing w:after="40"/>
            </w:pPr>
            <w:r/>
            <w:r>
              <w:rPr>
                <w:b w:val="0"/>
                <w:sz w:val="20"/>
              </w:rPr>
              <w:t>Individual requests received, by service type and lead time</w:t>
            </w:r>
          </w:p>
        </w:tc>
        <w:tc>
          <w:tcPr>
            <w:tcW w:type="dxa" w:w="3168"/>
          </w:tcPr>
          <w:p>
            <w:pPr>
              <w:spacing w:after="40"/>
            </w:pPr>
            <w:r/>
            <w:r>
              <w:rPr>
                <w:b w:val="0"/>
                <w:sz w:val="20"/>
              </w:rPr>
              <w:t>Box office accommodation log</w:t>
            </w:r>
          </w:p>
        </w:tc>
      </w:tr>
      <w:tr>
        <w:tc>
          <w:tcPr>
            <w:tcW w:type="dxa" w:w="2304"/>
          </w:tcPr>
          <w:p>
            <w:pPr>
              <w:spacing w:after="40"/>
            </w:pPr>
            <w:r/>
            <w:r>
              <w:rPr>
                <w:b w:val="0"/>
                <w:sz w:val="20"/>
              </w:rPr>
              <w:t>Accommodations fulfilled</w:t>
            </w:r>
          </w:p>
        </w:tc>
        <w:tc>
          <w:tcPr>
            <w:tcW w:type="dxa" w:w="3744"/>
          </w:tcPr>
          <w:p>
            <w:pPr>
              <w:spacing w:after="40"/>
            </w:pPr>
            <w:r/>
            <w:r>
              <w:rPr>
                <w:b w:val="0"/>
                <w:sz w:val="20"/>
              </w:rPr>
              <w:t>Requests met, by service type, with reasons recorded for any not met</w:t>
            </w:r>
          </w:p>
        </w:tc>
        <w:tc>
          <w:tcPr>
            <w:tcW w:type="dxa" w:w="3168"/>
          </w:tcPr>
          <w:p>
            <w:pPr>
              <w:spacing w:after="40"/>
            </w:pPr>
            <w:r/>
            <w:r>
              <w:rPr>
                <w:b w:val="0"/>
                <w:sz w:val="20"/>
              </w:rPr>
              <w:t>Box office accommodation log</w:t>
            </w:r>
          </w:p>
        </w:tc>
      </w:tr>
      <w:tr>
        <w:tc>
          <w:tcPr>
            <w:tcW w:type="dxa" w:w="2304"/>
          </w:tcPr>
          <w:p>
            <w:pPr>
              <w:spacing w:after="40"/>
            </w:pPr>
            <w:r/>
            <w:r>
              <w:rPr>
                <w:b w:val="0"/>
                <w:sz w:val="20"/>
              </w:rPr>
              <w:t>Artists paid</w:t>
            </w:r>
          </w:p>
        </w:tc>
        <w:tc>
          <w:tcPr>
            <w:tcW w:type="dxa" w:w="3744"/>
          </w:tcPr>
          <w:p>
            <w:pPr>
              <w:spacing w:after="40"/>
            </w:pPr>
            <w:r/>
            <w:r>
              <w:rPr>
                <w:b w:val="0"/>
                <w:sz w:val="20"/>
              </w:rPr>
              <w:t>Headcount and total compensation, artist fees separate from staff salaries</w:t>
            </w:r>
          </w:p>
        </w:tc>
        <w:tc>
          <w:tcPr>
            <w:tcW w:type="dxa" w:w="3168"/>
          </w:tcPr>
          <w:p>
            <w:pPr>
              <w:spacing w:after="40"/>
            </w:pPr>
            <w:r/>
            <w:r>
              <w:rPr>
                <w:b w:val="0"/>
                <w:sz w:val="20"/>
              </w:rPr>
              <w:t>Payroll and contractor records</w:t>
            </w:r>
          </w:p>
        </w:tc>
      </w:tr>
      <w:tr>
        <w:tc>
          <w:tcPr>
            <w:tcW w:type="dxa" w:w="2304"/>
          </w:tcPr>
          <w:p>
            <w:pPr>
              <w:spacing w:after="40"/>
            </w:pPr>
            <w:r/>
            <w:r>
              <w:rPr>
                <w:b w:val="0"/>
                <w:sz w:val="20"/>
              </w:rPr>
              <w:t>Geographic reach</w:t>
            </w:r>
          </w:p>
        </w:tc>
        <w:tc>
          <w:tcPr>
            <w:tcW w:type="dxa" w:w="3744"/>
          </w:tcPr>
          <w:p>
            <w:pPr>
              <w:spacing w:after="40"/>
            </w:pPr>
            <w:r/>
            <w:r>
              <w:rPr>
                <w:b w:val="0"/>
                <w:sz w:val="20"/>
              </w:rPr>
              <w:t>Distinct ZIP codes appearing in ticket buyer records</w:t>
            </w:r>
          </w:p>
        </w:tc>
        <w:tc>
          <w:tcPr>
            <w:tcW w:type="dxa" w:w="3168"/>
          </w:tcPr>
          <w:p>
            <w:pPr>
              <w:spacing w:after="40"/>
            </w:pPr>
            <w:r/>
            <w:r>
              <w:rPr>
                <w:b w:val="0"/>
                <w:sz w:val="20"/>
              </w:rPr>
              <w:t>Ticketing system</w:t>
            </w:r>
          </w:p>
        </w:tc>
      </w:tr>
      <w:tr>
        <w:tc>
          <w:tcPr>
            <w:tcW w:type="dxa" w:w="2304"/>
          </w:tcPr>
          <w:p>
            <w:pPr>
              <w:spacing w:after="40"/>
            </w:pPr>
            <w:r/>
            <w:r>
              <w:rPr>
                <w:b w:val="0"/>
                <w:sz w:val="20"/>
              </w:rPr>
              <w:t>Survey response rate</w:t>
            </w:r>
          </w:p>
        </w:tc>
        <w:tc>
          <w:tcPr>
            <w:tcW w:type="dxa" w:w="3744"/>
          </w:tcPr>
          <w:p>
            <w:pPr>
              <w:spacing w:after="40"/>
            </w:pPr>
            <w:r/>
            <w:r>
              <w:rPr>
                <w:b w:val="0"/>
                <w:sz w:val="20"/>
              </w:rPr>
              <w:t>Completed surveys divided by attendance at surveyed performances</w:t>
            </w:r>
          </w:p>
        </w:tc>
        <w:tc>
          <w:tcPr>
            <w:tcW w:type="dxa" w:w="3168"/>
          </w:tcPr>
          <w:p>
            <w:pPr>
              <w:spacing w:after="40"/>
            </w:pPr>
            <w:r/>
            <w:r>
              <w:rPr>
                <w:b w:val="0"/>
                <w:sz w:val="20"/>
              </w:rPr>
              <w:t>Survey platform or paper count</w:t>
            </w:r>
          </w:p>
        </w:tc>
      </w:tr>
    </w:tbl>
    <w:p>
      <w:pPr>
        <w:spacing w:after="40"/>
      </w:pPr>
    </w:p>
    <w:p>
      <w:pPr>
        <w:pStyle w:val="Heading2"/>
      </w:pPr>
      <w:r>
        <w:t>Baselines and targets</w:t>
      </w:r>
    </w:p>
    <w:p>
      <w:r>
        <w:rPr>
          <w:b w:val="0"/>
          <w:i w:val="0"/>
        </w:rPr>
        <w:t>A target with no baseline is a guess. Where you have no baseline, say so and call the first year a baseline year. That is a more credible sentence than an invented starting number, and panels read a lot of invented starting numbers.</w:t>
      </w:r>
    </w:p>
    <w:tbl>
      <w:tblPr>
        <w:tblStyle w:val="LightGrid-Accent1"/>
        <w:tblW w:type="auto" w:w="0"/>
        <w:jc w:val="center"/>
        <w:tblLook w:firstColumn="1" w:firstRow="1" w:lastColumn="0" w:lastRow="0" w:noHBand="0" w:noVBand="1" w:val="04A0"/>
      </w:tblPr>
      <w:tblGrid>
        <w:gridCol w:w="2340"/>
        <w:gridCol w:w="2340"/>
        <w:gridCol w:w="2340"/>
        <w:gridCol w:w="2340"/>
      </w:tblGrid>
      <w:tr>
        <w:trPr>
          <w:tblHeader/>
        </w:trPr>
        <w:tc>
          <w:tcPr>
            <w:tcW w:type="dxa" w:w="2160"/>
          </w:tcPr>
          <w:p>
            <w:pPr>
              <w:spacing w:after="40"/>
            </w:pPr>
            <w:r/>
            <w:r>
              <w:rPr>
                <w:b/>
                <w:sz w:val="20"/>
              </w:rPr>
              <w:t>Measure</w:t>
            </w:r>
          </w:p>
        </w:tc>
        <w:tc>
          <w:tcPr>
            <w:tcW w:type="dxa" w:w="2160"/>
          </w:tcPr>
          <w:p>
            <w:pPr>
              <w:spacing w:after="40"/>
            </w:pPr>
            <w:r/>
            <w:r>
              <w:rPr>
                <w:b/>
                <w:sz w:val="20"/>
              </w:rPr>
              <w:t>Baseline</w:t>
            </w:r>
          </w:p>
        </w:tc>
        <w:tc>
          <w:tcPr>
            <w:tcW w:type="dxa" w:w="2448"/>
          </w:tcPr>
          <w:p>
            <w:pPr>
              <w:spacing w:after="40"/>
            </w:pPr>
            <w:r/>
            <w:r>
              <w:rPr>
                <w:b/>
                <w:sz w:val="20"/>
              </w:rPr>
              <w:t>Project target</w:t>
            </w:r>
          </w:p>
        </w:tc>
        <w:tc>
          <w:tcPr>
            <w:tcW w:type="dxa" w:w="2448"/>
          </w:tcPr>
          <w:p>
            <w:pPr>
              <w:spacing w:after="40"/>
            </w:pPr>
            <w:r/>
            <w:r>
              <w:rPr>
                <w:b/>
                <w:sz w:val="20"/>
              </w:rPr>
              <w:t>Source of the baseline</w:t>
            </w:r>
          </w:p>
        </w:tc>
      </w:tr>
      <w:tr>
        <w:tc>
          <w:tcPr>
            <w:tcW w:type="dxa" w:w="2160"/>
          </w:tcPr>
          <w:p>
            <w:pPr>
              <w:spacing w:after="40"/>
            </w:pPr>
            <w:r/>
            <w:r>
              <w:rPr>
                <w:b w:val="0"/>
                <w:sz w:val="20"/>
              </w:rPr>
              <w:t>Total attendance</w:t>
            </w:r>
          </w:p>
        </w:tc>
        <w:tc>
          <w:tcPr>
            <w:tcW w:type="dxa" w:w="2160"/>
          </w:tcPr>
          <w:p>
            <w:pPr>
              <w:spacing w:after="40"/>
            </w:pPr>
            <w:r/>
            <w:r>
              <w:rPr>
                <w:b w:val="0"/>
                <w:sz w:val="20"/>
              </w:rPr>
              <w:t>979 across 8 performances</w:t>
            </w:r>
          </w:p>
        </w:tc>
        <w:tc>
          <w:tcPr>
            <w:tcW w:type="dxa" w:w="2448"/>
          </w:tcPr>
          <w:p>
            <w:pPr>
              <w:spacing w:after="40"/>
            </w:pPr>
            <w:r/>
            <w:r>
              <w:rPr>
                <w:b w:val="0"/>
                <w:sz w:val="20"/>
              </w:rPr>
              <w:t>1,224 across 10 performances</w:t>
            </w:r>
          </w:p>
        </w:tc>
        <w:tc>
          <w:tcPr>
            <w:tcW w:type="dxa" w:w="2448"/>
          </w:tcPr>
          <w:p>
            <w:pPr>
              <w:spacing w:after="40"/>
            </w:pPr>
            <w:r/>
            <w:r>
              <w:rPr>
                <w:b w:val="0"/>
                <w:sz w:val="20"/>
              </w:rPr>
              <w:t>Box office report, last comparable production</w:t>
            </w:r>
          </w:p>
        </w:tc>
      </w:tr>
      <w:tr>
        <w:tc>
          <w:tcPr>
            <w:tcW w:type="dxa" w:w="2160"/>
          </w:tcPr>
          <w:p>
            <w:pPr>
              <w:spacing w:after="40"/>
            </w:pPr>
            <w:r/>
            <w:r>
              <w:rPr>
                <w:b w:val="0"/>
                <w:sz w:val="20"/>
              </w:rPr>
              <w:t>Share of house sold</w:t>
            </w:r>
          </w:p>
        </w:tc>
        <w:tc>
          <w:tcPr>
            <w:tcW w:type="dxa" w:w="2160"/>
          </w:tcPr>
          <w:p>
            <w:pPr>
              <w:spacing w:after="40"/>
            </w:pPr>
            <w:r/>
            <w:r>
              <w:rPr>
                <w:b w:val="0"/>
                <w:sz w:val="20"/>
              </w:rPr>
              <w:t>68 percent</w:t>
            </w:r>
          </w:p>
        </w:tc>
        <w:tc>
          <w:tcPr>
            <w:tcW w:type="dxa" w:w="2448"/>
          </w:tcPr>
          <w:p>
            <w:pPr>
              <w:spacing w:after="40"/>
            </w:pPr>
            <w:r/>
            <w:r>
              <w:rPr>
                <w:b w:val="0"/>
                <w:sz w:val="20"/>
              </w:rPr>
              <w:t>68 percent held</w:t>
            </w:r>
          </w:p>
        </w:tc>
        <w:tc>
          <w:tcPr>
            <w:tcW w:type="dxa" w:w="2448"/>
          </w:tcPr>
          <w:p>
            <w:pPr>
              <w:spacing w:after="40"/>
            </w:pPr>
            <w:r/>
            <w:r>
              <w:rPr>
                <w:b w:val="0"/>
                <w:sz w:val="20"/>
              </w:rPr>
              <w:t>Box office report, same production</w:t>
            </w:r>
          </w:p>
        </w:tc>
      </w:tr>
      <w:tr>
        <w:tc>
          <w:tcPr>
            <w:tcW w:type="dxa" w:w="2160"/>
          </w:tcPr>
          <w:p>
            <w:pPr>
              <w:spacing w:after="40"/>
            </w:pPr>
            <w:r/>
            <w:r>
              <w:rPr>
                <w:b w:val="0"/>
                <w:sz w:val="20"/>
              </w:rPr>
              <w:t>Free and reduced admissions</w:t>
            </w:r>
          </w:p>
        </w:tc>
        <w:tc>
          <w:tcPr>
            <w:tcW w:type="dxa" w:w="2160"/>
          </w:tcPr>
          <w:p>
            <w:pPr>
              <w:spacing w:after="40"/>
            </w:pPr>
            <w:r/>
            <w:r>
              <w:rPr>
                <w:b w:val="0"/>
                <w:sz w:val="20"/>
              </w:rPr>
              <w:t>0</w:t>
            </w:r>
          </w:p>
        </w:tc>
        <w:tc>
          <w:tcPr>
            <w:tcW w:type="dxa" w:w="2448"/>
          </w:tcPr>
          <w:p>
            <w:pPr>
              <w:spacing w:after="40"/>
            </w:pPr>
            <w:r/>
            <w:r>
              <w:rPr>
                <w:b w:val="0"/>
                <w:sz w:val="20"/>
              </w:rPr>
              <w:t>490, or 40 percent of admissions</w:t>
            </w:r>
          </w:p>
        </w:tc>
        <w:tc>
          <w:tcPr>
            <w:tcW w:type="dxa" w:w="2448"/>
          </w:tcPr>
          <w:p>
            <w:pPr>
              <w:spacing w:after="40"/>
            </w:pPr>
            <w:r/>
            <w:r>
              <w:rPr>
                <w:b w:val="0"/>
                <w:sz w:val="20"/>
              </w:rPr>
              <w:t>No prior free performances offered</w:t>
            </w:r>
          </w:p>
        </w:tc>
      </w:tr>
      <w:tr>
        <w:tc>
          <w:tcPr>
            <w:tcW w:type="dxa" w:w="2160"/>
          </w:tcPr>
          <w:p>
            <w:pPr>
              <w:spacing w:after="40"/>
            </w:pPr>
            <w:r/>
            <w:r>
              <w:rPr>
                <w:b w:val="0"/>
                <w:sz w:val="20"/>
              </w:rPr>
              <w:t>First-time attendees</w:t>
            </w:r>
          </w:p>
        </w:tc>
        <w:tc>
          <w:tcPr>
            <w:tcW w:type="dxa" w:w="2160"/>
          </w:tcPr>
          <w:p>
            <w:pPr>
              <w:spacing w:after="40"/>
            </w:pPr>
            <w:r/>
            <w:r>
              <w:rPr>
                <w:b w:val="0"/>
                <w:sz w:val="20"/>
              </w:rPr>
              <w:t>Not previously collected</w:t>
            </w:r>
          </w:p>
        </w:tc>
        <w:tc>
          <w:tcPr>
            <w:tcW w:type="dxa" w:w="2448"/>
          </w:tcPr>
          <w:p>
            <w:pPr>
              <w:spacing w:after="40"/>
            </w:pPr>
            <w:r/>
            <w:r>
              <w:rPr>
                <w:b w:val="0"/>
                <w:sz w:val="20"/>
              </w:rPr>
              <w:t>30 percent of survey respondents</w:t>
            </w:r>
          </w:p>
        </w:tc>
        <w:tc>
          <w:tcPr>
            <w:tcW w:type="dxa" w:w="2448"/>
          </w:tcPr>
          <w:p>
            <w:pPr>
              <w:spacing w:after="40"/>
            </w:pPr>
            <w:r/>
            <w:r>
              <w:rPr>
                <w:b w:val="0"/>
                <w:sz w:val="20"/>
              </w:rPr>
              <w:t>Baseline year, exit survey newly introduced</w:t>
            </w:r>
          </w:p>
        </w:tc>
      </w:tr>
      <w:tr>
        <w:tc>
          <w:tcPr>
            <w:tcW w:type="dxa" w:w="2160"/>
          </w:tcPr>
          <w:p>
            <w:pPr>
              <w:spacing w:after="40"/>
            </w:pPr>
            <w:r/>
            <w:r>
              <w:rPr>
                <w:b w:val="0"/>
                <w:sz w:val="20"/>
              </w:rPr>
              <w:t>Distinct ZIP codes</w:t>
            </w:r>
          </w:p>
        </w:tc>
        <w:tc>
          <w:tcPr>
            <w:tcW w:type="dxa" w:w="2160"/>
          </w:tcPr>
          <w:p>
            <w:pPr>
              <w:spacing w:after="40"/>
            </w:pPr>
            <w:r/>
            <w:r>
              <w:rPr>
                <w:b w:val="0"/>
                <w:sz w:val="20"/>
              </w:rPr>
              <w:t>12 across three seasons</w:t>
            </w:r>
          </w:p>
        </w:tc>
        <w:tc>
          <w:tcPr>
            <w:tcW w:type="dxa" w:w="2448"/>
          </w:tcPr>
          <w:p>
            <w:pPr>
              <w:spacing w:after="40"/>
            </w:pPr>
            <w:r/>
            <w:r>
              <w:rPr>
                <w:b w:val="0"/>
                <w:sz w:val="20"/>
              </w:rPr>
              <w:t>18</w:t>
            </w:r>
          </w:p>
        </w:tc>
        <w:tc>
          <w:tcPr>
            <w:tcW w:type="dxa" w:w="2448"/>
          </w:tcPr>
          <w:p>
            <w:pPr>
              <w:spacing w:after="40"/>
            </w:pPr>
            <w:r/>
            <w:r>
              <w:rPr>
                <w:b w:val="0"/>
                <w:sz w:val="20"/>
              </w:rPr>
              <w:t>Ticketing system export</w:t>
            </w:r>
          </w:p>
        </w:tc>
      </w:tr>
      <w:tr>
        <w:tc>
          <w:tcPr>
            <w:tcW w:type="dxa" w:w="2160"/>
          </w:tcPr>
          <w:p>
            <w:pPr>
              <w:spacing w:after="40"/>
            </w:pPr>
            <w:r/>
            <w:r>
              <w:rPr>
                <w:b w:val="0"/>
                <w:sz w:val="20"/>
              </w:rPr>
              <w:t>Student contact hours</w:t>
            </w:r>
          </w:p>
        </w:tc>
        <w:tc>
          <w:tcPr>
            <w:tcW w:type="dxa" w:w="2160"/>
          </w:tcPr>
          <w:p>
            <w:pPr>
              <w:spacing w:after="40"/>
            </w:pPr>
            <w:r/>
            <w:r>
              <w:rPr>
                <w:b w:val="0"/>
                <w:sz w:val="20"/>
              </w:rPr>
              <w:t>0</w:t>
            </w:r>
          </w:p>
        </w:tc>
        <w:tc>
          <w:tcPr>
            <w:tcW w:type="dxa" w:w="2448"/>
          </w:tcPr>
          <w:p>
            <w:pPr>
              <w:spacing w:after="40"/>
            </w:pPr>
            <w:r/>
            <w:r>
              <w:rPr>
                <w:b w:val="0"/>
                <w:sz w:val="20"/>
              </w:rPr>
              <w:t>1,980</w:t>
            </w:r>
          </w:p>
        </w:tc>
        <w:tc>
          <w:tcPr>
            <w:tcW w:type="dxa" w:w="2448"/>
          </w:tcPr>
          <w:p>
            <w:pPr>
              <w:spacing w:after="40"/>
            </w:pPr>
            <w:r/>
            <w:r>
              <w:rPr>
                <w:b w:val="0"/>
                <w:sz w:val="20"/>
              </w:rPr>
              <w:t>District confirms no in-school arts instruction since 2022</w:t>
            </w:r>
          </w:p>
        </w:tc>
      </w:tr>
      <w:tr>
        <w:tc>
          <w:tcPr>
            <w:tcW w:type="dxa" w:w="2160"/>
          </w:tcPr>
          <w:p>
            <w:pPr>
              <w:spacing w:after="40"/>
            </w:pPr>
            <w:r/>
            <w:r>
              <w:rPr>
                <w:b w:val="0"/>
                <w:sz w:val="20"/>
              </w:rPr>
              <w:t>Accessible performances</w:t>
            </w:r>
          </w:p>
        </w:tc>
        <w:tc>
          <w:tcPr>
            <w:tcW w:type="dxa" w:w="2160"/>
          </w:tcPr>
          <w:p>
            <w:pPr>
              <w:spacing w:after="40"/>
            </w:pPr>
            <w:r/>
            <w:r>
              <w:rPr>
                <w:b w:val="0"/>
                <w:sz w:val="20"/>
              </w:rPr>
              <w:t>0</w:t>
            </w:r>
          </w:p>
        </w:tc>
        <w:tc>
          <w:tcPr>
            <w:tcW w:type="dxa" w:w="2448"/>
          </w:tcPr>
          <w:p>
            <w:pPr>
              <w:spacing w:after="40"/>
            </w:pPr>
            <w:r/>
            <w:r>
              <w:rPr>
                <w:b w:val="0"/>
                <w:sz w:val="20"/>
              </w:rPr>
              <w:t>6 of 10</w:t>
            </w:r>
          </w:p>
        </w:tc>
        <w:tc>
          <w:tcPr>
            <w:tcW w:type="dxa" w:w="2448"/>
          </w:tcPr>
          <w:p>
            <w:pPr>
              <w:spacing w:after="40"/>
            </w:pPr>
            <w:r/>
            <w:r>
              <w:rPr>
                <w:b w:val="0"/>
                <w:sz w:val="20"/>
              </w:rPr>
              <w:t>No prior interpreted or captioned dates</w:t>
            </w:r>
          </w:p>
        </w:tc>
      </w:tr>
      <w:tr>
        <w:tc>
          <w:tcPr>
            <w:tcW w:type="dxa" w:w="2160"/>
          </w:tcPr>
          <w:p>
            <w:pPr>
              <w:spacing w:after="40"/>
            </w:pPr>
            <w:r/>
            <w:r>
              <w:rPr>
                <w:b w:val="0"/>
                <w:sz w:val="20"/>
              </w:rPr>
              <w:t>Accommodations fulfilled</w:t>
            </w:r>
          </w:p>
        </w:tc>
        <w:tc>
          <w:tcPr>
            <w:tcW w:type="dxa" w:w="2160"/>
          </w:tcPr>
          <w:p>
            <w:pPr>
              <w:spacing w:after="40"/>
            </w:pPr>
            <w:r/>
            <w:r>
              <w:rPr>
                <w:b w:val="0"/>
                <w:sz w:val="20"/>
              </w:rPr>
              <w:t>Not previously logged</w:t>
            </w:r>
          </w:p>
        </w:tc>
        <w:tc>
          <w:tcPr>
            <w:tcW w:type="dxa" w:w="2448"/>
          </w:tcPr>
          <w:p>
            <w:pPr>
              <w:spacing w:after="40"/>
            </w:pPr>
            <w:r/>
            <w:r>
              <w:rPr>
                <w:b w:val="0"/>
                <w:sz w:val="20"/>
              </w:rPr>
              <w:t>100 percent of requests with 7 days notice</w:t>
            </w:r>
          </w:p>
        </w:tc>
        <w:tc>
          <w:tcPr>
            <w:tcW w:type="dxa" w:w="2448"/>
          </w:tcPr>
          <w:p>
            <w:pPr>
              <w:spacing w:after="40"/>
            </w:pPr>
            <w:r/>
            <w:r>
              <w:rPr>
                <w:b w:val="0"/>
                <w:sz w:val="20"/>
              </w:rPr>
              <w:t>Log introduced with this project</w:t>
            </w:r>
          </w:p>
        </w:tc>
      </w:tr>
      <w:tr>
        <w:tc>
          <w:tcPr>
            <w:tcW w:type="dxa" w:w="2160"/>
          </w:tcPr>
          <w:p>
            <w:pPr>
              <w:spacing w:after="40"/>
            </w:pPr>
            <w:r/>
            <w:r>
              <w:rPr>
                <w:b w:val="0"/>
                <w:sz w:val="20"/>
              </w:rPr>
              <w:t>Artists paid</w:t>
            </w:r>
          </w:p>
        </w:tc>
        <w:tc>
          <w:tcPr>
            <w:tcW w:type="dxa" w:w="2160"/>
          </w:tcPr>
          <w:p>
            <w:pPr>
              <w:spacing w:after="40"/>
            </w:pPr>
            <w:r/>
            <w:r>
              <w:rPr>
                <w:b w:val="0"/>
                <w:sz w:val="20"/>
              </w:rPr>
              <w:t>9 artists, $14,200</w:t>
            </w:r>
          </w:p>
        </w:tc>
        <w:tc>
          <w:tcPr>
            <w:tcW w:type="dxa" w:w="2448"/>
          </w:tcPr>
          <w:p>
            <w:pPr>
              <w:spacing w:after="40"/>
            </w:pPr>
            <w:r/>
            <w:r>
              <w:rPr>
                <w:b w:val="0"/>
                <w:sz w:val="20"/>
              </w:rPr>
              <w:t>15 artists, $26,500</w:t>
            </w:r>
          </w:p>
        </w:tc>
        <w:tc>
          <w:tcPr>
            <w:tcW w:type="dxa" w:w="2448"/>
          </w:tcPr>
          <w:p>
            <w:pPr>
              <w:spacing w:after="40"/>
            </w:pPr>
            <w:r/>
            <w:r>
              <w:rPr>
                <w:b w:val="0"/>
                <w:sz w:val="20"/>
              </w:rPr>
              <w:t>Prior production payroll and contractor records</w:t>
            </w:r>
          </w:p>
        </w:tc>
      </w:tr>
    </w:tbl>
    <w:p>
      <w:pPr>
        <w:spacing w:after="40"/>
      </w:pPr>
    </w:p>
    <w:p>
      <w:pPr>
        <w:pStyle w:val="Heading2"/>
      </w:pPr>
      <w:r>
        <w:t>Report offered and used as two numbers</w:t>
      </w:r>
    </w:p>
    <w:p>
      <w:r>
        <w:rPr>
          <w:b w:val="0"/>
          <w:i w:val="0"/>
        </w:rPr>
        <w:t>Accommodations offered and accommodations used are different facts and a funder wants both. Two interpreted performances offered beside nine fulfilled interpretation requests tells a panel the service found its audience. Two offered beside zero requests tells you the marketing failed, which is worth knowing and worth reporting honestly. A single line claiming accessible programming tells nobody anything.</w:t>
      </w:r>
    </w:p>
    <w:p>
      <w:r>
        <w:rPr>
          <w:b w:val="0"/>
          <w:i w:val="0"/>
        </w:rPr>
        <w:t>The same logic applies to free admission. Report the number of free seats released and the number actually claimed. A company that releases 200 free seats and fills 60 has a distribution problem, not an access problem, and the fix is different.</w:t>
      </w:r>
    </w:p>
    <w:p>
      <w:pPr>
        <w:pStyle w:val="Heading2"/>
      </w:pPr>
      <w:r>
        <w:t>What not to promise</w:t>
      </w:r>
    </w:p>
    <w:p>
      <w:r>
        <w:rPr>
          <w:b w:val="0"/>
          <w:i w:val="0"/>
        </w:rPr>
        <w:t>Do not promise longitudinal outcomes a nine-month project cannot produce. Sustained change in student academic performance, long-term audience loyalty, and shifts in community attitudes all need instruments and timelines outside this grant. Promise attendance, participation, contact hours, completion, access delivery, and compensation, because you can produce every one of them from records you already keep.</w:t>
      </w:r>
    </w:p>
    <w:p>
      <w:pPr>
        <w:pStyle w:val="Heading1"/>
      </w:pPr>
      <w:r>
        <w:t>Evaluation Plan</w:t>
      </w:r>
    </w:p>
    <w:p>
      <w:r>
        <w:rPr>
          <w:b w:val="0"/>
          <w:i w:val="0"/>
        </w:rPr>
        <w:t>Say who collects the data, when, with what instrument, and where it lands. An arts evaluation plan is usually three instruments: a short post-performance audience survey, teaching artist session logs, and box office data. That is enough, and it is more than many applications describe.</w:t>
      </w:r>
    </w:p>
    <w:p>
      <w:pPr>
        <w:pStyle w:val="Heading2"/>
      </w:pPr>
      <w:r>
        <w:t>Instruments</w:t>
      </w:r>
    </w:p>
    <w:tbl>
      <w:tblPr>
        <w:tblStyle w:val="LightGrid-Accent1"/>
        <w:tblW w:type="auto" w:w="0"/>
        <w:jc w:val="center"/>
        <w:tblLook w:firstColumn="1" w:firstRow="1" w:lastColumn="0" w:lastRow="0" w:noHBand="0" w:noVBand="1" w:val="04A0"/>
      </w:tblPr>
      <w:tblGrid>
        <w:gridCol w:w="2340"/>
        <w:gridCol w:w="2340"/>
        <w:gridCol w:w="2340"/>
        <w:gridCol w:w="2340"/>
      </w:tblGrid>
      <w:tr>
        <w:trPr>
          <w:tblHeader/>
        </w:trPr>
        <w:tc>
          <w:tcPr>
            <w:tcW w:type="dxa" w:w="2160"/>
          </w:tcPr>
          <w:p>
            <w:pPr>
              <w:spacing w:after="40"/>
            </w:pPr>
            <w:r/>
            <w:r>
              <w:rPr>
                <w:b/>
                <w:sz w:val="20"/>
              </w:rPr>
              <w:t>Instrument</w:t>
            </w:r>
          </w:p>
        </w:tc>
        <w:tc>
          <w:tcPr>
            <w:tcW w:type="dxa" w:w="2304"/>
          </w:tcPr>
          <w:p>
            <w:pPr>
              <w:spacing w:after="40"/>
            </w:pPr>
            <w:r/>
            <w:r>
              <w:rPr>
                <w:b/>
                <w:sz w:val="20"/>
              </w:rPr>
              <w:t>Who administers it</w:t>
            </w:r>
          </w:p>
        </w:tc>
        <w:tc>
          <w:tcPr>
            <w:tcW w:type="dxa" w:w="2160"/>
          </w:tcPr>
          <w:p>
            <w:pPr>
              <w:spacing w:after="40"/>
            </w:pPr>
            <w:r/>
            <w:r>
              <w:rPr>
                <w:b/>
                <w:sz w:val="20"/>
              </w:rPr>
              <w:t>When</w:t>
            </w:r>
          </w:p>
        </w:tc>
        <w:tc>
          <w:tcPr>
            <w:tcW w:type="dxa" w:w="2592"/>
          </w:tcPr>
          <w:p>
            <w:pPr>
              <w:spacing w:after="40"/>
            </w:pPr>
            <w:r/>
            <w:r>
              <w:rPr>
                <w:b/>
                <w:sz w:val="20"/>
              </w:rPr>
              <w:t>Where the data lands</w:t>
            </w:r>
          </w:p>
        </w:tc>
      </w:tr>
      <w:tr>
        <w:tc>
          <w:tcPr>
            <w:tcW w:type="dxa" w:w="2160"/>
          </w:tcPr>
          <w:p>
            <w:pPr>
              <w:spacing w:after="40"/>
            </w:pPr>
            <w:r/>
            <w:r>
              <w:rPr>
                <w:b w:val="0"/>
                <w:sz w:val="20"/>
              </w:rPr>
              <w:t>Four-question exit survey</w:t>
            </w:r>
          </w:p>
        </w:tc>
        <w:tc>
          <w:tcPr>
            <w:tcW w:type="dxa" w:w="2304"/>
          </w:tcPr>
          <w:p>
            <w:pPr>
              <w:spacing w:after="40"/>
            </w:pPr>
            <w:r/>
            <w:r>
              <w:rPr>
                <w:b w:val="0"/>
                <w:sz w:val="20"/>
              </w:rPr>
              <w:t>Front-of-house volunteers, printed cards and a QR code</w:t>
            </w:r>
          </w:p>
        </w:tc>
        <w:tc>
          <w:tcPr>
            <w:tcW w:type="dxa" w:w="2160"/>
          </w:tcPr>
          <w:p>
            <w:pPr>
              <w:spacing w:after="40"/>
            </w:pPr>
            <w:r/>
            <w:r>
              <w:rPr>
                <w:b w:val="0"/>
                <w:sz w:val="20"/>
              </w:rPr>
              <w:t>All 10 performances, as audiences exit</w:t>
            </w:r>
          </w:p>
        </w:tc>
        <w:tc>
          <w:tcPr>
            <w:tcW w:type="dxa" w:w="2592"/>
          </w:tcPr>
          <w:p>
            <w:pPr>
              <w:spacing w:after="40"/>
            </w:pPr>
            <w:r/>
            <w:r>
              <w:rPr>
                <w:b w:val="0"/>
                <w:sz w:val="20"/>
              </w:rPr>
              <w:t>Survey platform, exported weekly by the project coordinator</w:t>
            </w:r>
          </w:p>
        </w:tc>
      </w:tr>
      <w:tr>
        <w:tc>
          <w:tcPr>
            <w:tcW w:type="dxa" w:w="2160"/>
          </w:tcPr>
          <w:p>
            <w:pPr>
              <w:spacing w:after="40"/>
            </w:pPr>
            <w:r/>
            <w:r>
              <w:rPr>
                <w:b w:val="0"/>
                <w:sz w:val="20"/>
              </w:rPr>
              <w:t>Teaching artist session log</w:t>
            </w:r>
          </w:p>
        </w:tc>
        <w:tc>
          <w:tcPr>
            <w:tcW w:type="dxa" w:w="2304"/>
          </w:tcPr>
          <w:p>
            <w:pPr>
              <w:spacing w:after="40"/>
            </w:pPr>
            <w:r/>
            <w:r>
              <w:rPr>
                <w:b w:val="0"/>
                <w:sz w:val="20"/>
              </w:rPr>
              <w:t>Each teaching artist, one entry per session</w:t>
            </w:r>
          </w:p>
        </w:tc>
        <w:tc>
          <w:tcPr>
            <w:tcW w:type="dxa" w:w="2160"/>
          </w:tcPr>
          <w:p>
            <w:pPr>
              <w:spacing w:after="40"/>
            </w:pPr>
            <w:r/>
            <w:r>
              <w:rPr>
                <w:b w:val="0"/>
                <w:sz w:val="20"/>
              </w:rPr>
              <w:t>Within 24 hours of each of the 60 sessions</w:t>
            </w:r>
          </w:p>
        </w:tc>
        <w:tc>
          <w:tcPr>
            <w:tcW w:type="dxa" w:w="2592"/>
          </w:tcPr>
          <w:p>
            <w:pPr>
              <w:spacing w:after="40"/>
            </w:pPr>
            <w:r/>
            <w:r>
              <w:rPr>
                <w:b w:val="0"/>
                <w:sz w:val="20"/>
              </w:rPr>
              <w:t>Shared spreadsheet reviewed monthly by the project coordinator</w:t>
            </w:r>
          </w:p>
        </w:tc>
      </w:tr>
      <w:tr>
        <w:tc>
          <w:tcPr>
            <w:tcW w:type="dxa" w:w="2160"/>
          </w:tcPr>
          <w:p>
            <w:pPr>
              <w:spacing w:after="40"/>
            </w:pPr>
            <w:r/>
            <w:r>
              <w:rPr>
                <w:b w:val="0"/>
                <w:sz w:val="20"/>
              </w:rPr>
              <w:t>Box office export</w:t>
            </w:r>
          </w:p>
        </w:tc>
        <w:tc>
          <w:tcPr>
            <w:tcW w:type="dxa" w:w="2304"/>
          </w:tcPr>
          <w:p>
            <w:pPr>
              <w:spacing w:after="40"/>
            </w:pPr>
            <w:r/>
            <w:r>
              <w:rPr>
                <w:b w:val="0"/>
                <w:sz w:val="20"/>
              </w:rPr>
              <w:t>Box office manager</w:t>
            </w:r>
          </w:p>
        </w:tc>
        <w:tc>
          <w:tcPr>
            <w:tcW w:type="dxa" w:w="2160"/>
          </w:tcPr>
          <w:p>
            <w:pPr>
              <w:spacing w:after="40"/>
            </w:pPr>
            <w:r/>
            <w:r>
              <w:rPr>
                <w:b w:val="0"/>
                <w:sz w:val="20"/>
              </w:rPr>
              <w:t>Weekly during the run, final export at close</w:t>
            </w:r>
          </w:p>
        </w:tc>
        <w:tc>
          <w:tcPr>
            <w:tcW w:type="dxa" w:w="2592"/>
          </w:tcPr>
          <w:p>
            <w:pPr>
              <w:spacing w:after="40"/>
            </w:pPr>
            <w:r/>
            <w:r>
              <w:rPr>
                <w:b w:val="0"/>
                <w:sz w:val="20"/>
              </w:rPr>
              <w:t>Ticketing system report, filed with the project record</w:t>
            </w:r>
          </w:p>
        </w:tc>
      </w:tr>
      <w:tr>
        <w:tc>
          <w:tcPr>
            <w:tcW w:type="dxa" w:w="2160"/>
          </w:tcPr>
          <w:p>
            <w:pPr>
              <w:spacing w:after="40"/>
            </w:pPr>
            <w:r/>
            <w:r>
              <w:rPr>
                <w:b w:val="0"/>
                <w:sz w:val="20"/>
              </w:rPr>
              <w:t>Accommodation log</w:t>
            </w:r>
          </w:p>
        </w:tc>
        <w:tc>
          <w:tcPr>
            <w:tcW w:type="dxa" w:w="2304"/>
          </w:tcPr>
          <w:p>
            <w:pPr>
              <w:spacing w:after="40"/>
            </w:pPr>
            <w:r/>
            <w:r>
              <w:rPr>
                <w:b w:val="0"/>
                <w:sz w:val="20"/>
              </w:rPr>
              <w:t>Box office manager</w:t>
            </w:r>
          </w:p>
        </w:tc>
        <w:tc>
          <w:tcPr>
            <w:tcW w:type="dxa" w:w="2160"/>
          </w:tcPr>
          <w:p>
            <w:pPr>
              <w:spacing w:after="40"/>
            </w:pPr>
            <w:r/>
            <w:r>
              <w:rPr>
                <w:b w:val="0"/>
                <w:sz w:val="20"/>
              </w:rPr>
              <w:t>At request, and again at performance</w:t>
            </w:r>
          </w:p>
        </w:tc>
        <w:tc>
          <w:tcPr>
            <w:tcW w:type="dxa" w:w="2592"/>
          </w:tcPr>
          <w:p>
            <w:pPr>
              <w:spacing w:after="40"/>
            </w:pPr>
            <w:r/>
            <w:r>
              <w:rPr>
                <w:b w:val="0"/>
                <w:sz w:val="20"/>
              </w:rPr>
              <w:t>Same ticketing record, separate fields for requested and fulfilled</w:t>
            </w:r>
          </w:p>
        </w:tc>
      </w:tr>
      <w:tr>
        <w:tc>
          <w:tcPr>
            <w:tcW w:type="dxa" w:w="2160"/>
          </w:tcPr>
          <w:p>
            <w:pPr>
              <w:spacing w:after="40"/>
            </w:pPr>
            <w:r/>
            <w:r>
              <w:rPr>
                <w:b w:val="0"/>
                <w:sz w:val="20"/>
              </w:rPr>
              <w:t>Partner teacher debrief</w:t>
            </w:r>
          </w:p>
        </w:tc>
        <w:tc>
          <w:tcPr>
            <w:tcW w:type="dxa" w:w="2304"/>
          </w:tcPr>
          <w:p>
            <w:pPr>
              <w:spacing w:after="40"/>
            </w:pPr>
            <w:r/>
            <w:r>
              <w:rPr>
                <w:b w:val="0"/>
                <w:sz w:val="20"/>
              </w:rPr>
              <w:t>Project coordinator, 15-minute structured call</w:t>
            </w:r>
          </w:p>
        </w:tc>
        <w:tc>
          <w:tcPr>
            <w:tcW w:type="dxa" w:w="2160"/>
          </w:tcPr>
          <w:p>
            <w:pPr>
              <w:spacing w:after="40"/>
            </w:pPr>
            <w:r/>
            <w:r>
              <w:rPr>
                <w:b w:val="0"/>
                <w:sz w:val="20"/>
              </w:rPr>
              <w:t>Month 5, after final presentations</w:t>
            </w:r>
          </w:p>
        </w:tc>
        <w:tc>
          <w:tcPr>
            <w:tcW w:type="dxa" w:w="2592"/>
          </w:tcPr>
          <w:p>
            <w:pPr>
              <w:spacing w:after="40"/>
            </w:pPr>
            <w:r/>
            <w:r>
              <w:rPr>
                <w:b w:val="0"/>
                <w:sz w:val="20"/>
              </w:rPr>
              <w:t>Written notes in the project record</w:t>
            </w:r>
          </w:p>
        </w:tc>
      </w:tr>
      <w:tr>
        <w:tc>
          <w:tcPr>
            <w:tcW w:type="dxa" w:w="2160"/>
          </w:tcPr>
          <w:p>
            <w:pPr>
              <w:spacing w:after="40"/>
            </w:pPr>
            <w:r/>
            <w:r>
              <w:rPr>
                <w:b w:val="0"/>
                <w:sz w:val="20"/>
              </w:rPr>
              <w:t>Artist debrief</w:t>
            </w:r>
          </w:p>
        </w:tc>
        <w:tc>
          <w:tcPr>
            <w:tcW w:type="dxa" w:w="2304"/>
          </w:tcPr>
          <w:p>
            <w:pPr>
              <w:spacing w:after="40"/>
            </w:pPr>
            <w:r/>
            <w:r>
              <w:rPr>
                <w:b w:val="0"/>
                <w:sz w:val="20"/>
              </w:rPr>
              <w:t>Artistic director, group session</w:t>
            </w:r>
          </w:p>
        </w:tc>
        <w:tc>
          <w:tcPr>
            <w:tcW w:type="dxa" w:w="2160"/>
          </w:tcPr>
          <w:p>
            <w:pPr>
              <w:spacing w:after="40"/>
            </w:pPr>
            <w:r/>
            <w:r>
              <w:rPr>
                <w:b w:val="0"/>
                <w:sz w:val="20"/>
              </w:rPr>
              <w:t>Month 9</w:t>
            </w:r>
          </w:p>
        </w:tc>
        <w:tc>
          <w:tcPr>
            <w:tcW w:type="dxa" w:w="2592"/>
          </w:tcPr>
          <w:p>
            <w:pPr>
              <w:spacing w:after="40"/>
            </w:pPr>
            <w:r/>
            <w:r>
              <w:rPr>
                <w:b w:val="0"/>
                <w:sz w:val="20"/>
              </w:rPr>
              <w:t>Written notes, feeding next season's planning</w:t>
            </w:r>
          </w:p>
        </w:tc>
      </w:tr>
    </w:tbl>
    <w:p>
      <w:pPr>
        <w:spacing w:after="40"/>
      </w:pPr>
    </w:p>
    <w:p>
      <w:pPr>
        <w:pStyle w:val="Heading2"/>
      </w:pPr>
      <w:r>
        <w:t>The survey</w:t>
      </w:r>
    </w:p>
    <w:p>
      <w:r>
        <w:rPr>
          <w:b w:val="0"/>
          <w:i w:val="0"/>
        </w:rPr>
        <w:t>Keep the instrument short. A four-question exit survey that people finish beats a twenty-question survey they abandon, and the completion rate is the whole game. Sample instrument you can use as written:</w:t>
      </w:r>
    </w:p>
    <w:p>
      <w:pPr>
        <w:spacing w:before="120" w:after="200"/>
        <w:ind w:left="504" w:right="288"/>
        <w:pBdr>
          <w:left w:val="single" w:sz="18" w:space="8" w:color="1F3D4A"/>
        </w:pBdr>
      </w:pPr>
      <w:r>
        <w:rPr>
          <w:i/>
          <w:color w:val="22333A"/>
        </w:rPr>
        <w:t>1. In the past 12 months, how many times have you attended a live theater performance? None, once or twice, three or more.</w:t>
        <w:br/>
        <w:t>2. What is your home ZIP code?</w:t>
        <w:br/>
        <w:t>3. Did you use an access service tonight, such as ASL interpretation, captioning, audio description, or the sensory-friendly performance? If yes, was it what you needed?</w:t>
        <w:br/>
        <w:t>4. How likely are you to attend another performance here in the next year? Not likely, somewhat likely, very likely.</w:t>
      </w:r>
    </w:p>
    <w:p>
      <w:r>
        <w:rPr>
          <w:b w:val="0"/>
          <w:i w:val="0"/>
        </w:rPr>
        <w:t>Question one produces the first-time attendee measure. Question two produces geographic reach and cross-checks the box office data. Question three produces the accommodations used figure from the audience side, which is the check on the box office log. Question four is the only attitudinal item, and it is there because funders ask for one, not because it is strong evidence.</w:t>
      </w:r>
    </w:p>
    <w:p>
      <w:pPr>
        <w:pStyle w:val="Heading2"/>
      </w:pPr>
      <w:r>
        <w:t>Analysis and reporting</w:t>
      </w:r>
    </w:p>
    <w:p>
      <w:r>
        <w:rPr>
          <w:b w:val="0"/>
          <w:i w:val="0"/>
        </w:rPr>
        <w:t>The project coordinator exports survey responses weekly during the run and analyzes them in month 9 against the targets in the baselines table. Analysis is straightforward counting and cross-tabulation by performance type, comparing free and pay-what-you-wish performances against full-price ones. An evaluation contractor at $700 reviews the method and the write-up so the numbers are not marked by the person whose project they measure.</w:t>
      </w:r>
    </w:p>
    <w:p>
      <w:r>
        <w:rPr>
          <w:b w:val="0"/>
          <w:i w:val="0"/>
        </w:rPr>
        <w:t>Reporting cadence: an interim update at month 5 covering residency delivery, and a final report at month 9 covering every measure in the metrics table. If the funder requires a different cadence, match theirs and say so here.</w:t>
      </w:r>
    </w:p>
    <w:p>
      <w:pPr>
        <w:pStyle w:val="Heading2"/>
      </w:pPr>
      <w:r>
        <w:t>What we will do if a target misses</w:t>
      </w:r>
    </w:p>
    <w:p>
      <w:r>
        <w:rPr>
          <w:b w:val="0"/>
          <w:i w:val="0"/>
        </w:rPr>
        <w:t>Name the response in advance. If the survey response rate falls below 15 percent by performance four, ETC switches from printed cards to a short handheld intercept at the exit, which historically doubles response. If a partner school withdraws, the unallocated sessions move to a waitlisted classroom in the same district, named in the partnership letter. Panels have read many applications where every target is met; the ones with a stated contingency read as more experienced, not less confident.</w:t>
      </w:r>
    </w:p>
    <w:p>
      <w:pPr>
        <w:pStyle w:val="Heading1"/>
      </w:pPr>
      <w:r>
        <w:t>Access and Inclusion Plan</w:t>
      </w:r>
    </w:p>
    <w:p>
      <w:r>
        <w:rPr>
          <w:b w:val="0"/>
          <w:i w:val="0"/>
        </w:rPr>
        <w:t>Access services are the section a general nonprofit template replaces with a one-line ADA compliance statement. In an arts proposal they are a budgeted, scheduled, staffed part of the project, and writing them that way is a visible differentiator because so few applicants do it.</w:t>
      </w:r>
    </w:p>
    <w:p>
      <w:pPr>
        <w:pStyle w:val="Heading2"/>
      </w:pPr>
      <w:r>
        <w:t>Services, dates, and costs</w:t>
      </w:r>
    </w:p>
    <w:tbl>
      <w:tblPr>
        <w:tblStyle w:val="LightGrid-Accent1"/>
        <w:tblW w:type="auto" w:w="0"/>
        <w:jc w:val="center"/>
        <w:tblLook w:firstColumn="1" w:firstRow="1" w:lastColumn="0" w:lastRow="0" w:noHBand="0" w:noVBand="1" w:val="04A0"/>
      </w:tblPr>
      <w:tblGrid>
        <w:gridCol w:w="2340"/>
        <w:gridCol w:w="2340"/>
        <w:gridCol w:w="2340"/>
        <w:gridCol w:w="2340"/>
      </w:tblGrid>
      <w:tr>
        <w:trPr>
          <w:tblHeader/>
        </w:trPr>
        <w:tc>
          <w:tcPr>
            <w:tcW w:type="dxa" w:w="2160"/>
          </w:tcPr>
          <w:p>
            <w:pPr>
              <w:spacing w:after="40"/>
            </w:pPr>
            <w:r/>
            <w:r>
              <w:rPr>
                <w:b/>
                <w:sz w:val="20"/>
              </w:rPr>
              <w:t>Service</w:t>
            </w:r>
          </w:p>
        </w:tc>
        <w:tc>
          <w:tcPr>
            <w:tcW w:type="dxa" w:w="1728"/>
          </w:tcPr>
          <w:p>
            <w:pPr>
              <w:spacing w:after="40"/>
            </w:pPr>
            <w:r/>
            <w:r>
              <w:rPr>
                <w:b/>
                <w:sz w:val="20"/>
              </w:rPr>
              <w:t>Dates</w:t>
            </w:r>
          </w:p>
        </w:tc>
        <w:tc>
          <w:tcPr>
            <w:tcW w:type="dxa" w:w="4176"/>
          </w:tcPr>
          <w:p>
            <w:pPr>
              <w:spacing w:after="40"/>
            </w:pPr>
            <w:r/>
            <w:r>
              <w:rPr>
                <w:b/>
                <w:sz w:val="20"/>
              </w:rPr>
              <w:t>How it is delivered</w:t>
            </w:r>
          </w:p>
        </w:tc>
        <w:tc>
          <w:tcPr>
            <w:tcW w:type="dxa" w:w="1152"/>
          </w:tcPr>
          <w:p>
            <w:pPr>
              <w:spacing w:after="40"/>
            </w:pPr>
            <w:r/>
            <w:r>
              <w:rPr>
                <w:b/>
                <w:sz w:val="20"/>
              </w:rPr>
              <w:t>Cost</w:t>
            </w:r>
          </w:p>
        </w:tc>
      </w:tr>
      <w:tr>
        <w:tc>
          <w:tcPr>
            <w:tcW w:type="dxa" w:w="2160"/>
          </w:tcPr>
          <w:p>
            <w:pPr>
              <w:spacing w:after="40"/>
            </w:pPr>
            <w:r/>
            <w:r>
              <w:rPr>
                <w:b w:val="0"/>
                <w:sz w:val="20"/>
              </w:rPr>
              <w:t>ASL interpretation</w:t>
            </w:r>
          </w:p>
        </w:tc>
        <w:tc>
          <w:tcPr>
            <w:tcW w:type="dxa" w:w="1728"/>
          </w:tcPr>
          <w:p>
            <w:pPr>
              <w:spacing w:after="40"/>
            </w:pPr>
            <w:r/>
            <w:r>
              <w:rPr>
                <w:b w:val="0"/>
                <w:sz w:val="20"/>
              </w:rPr>
              <w:t>Performances 5 and 9</w:t>
            </w:r>
          </w:p>
        </w:tc>
        <w:tc>
          <w:tcPr>
            <w:tcW w:type="dxa" w:w="4176"/>
          </w:tcPr>
          <w:p>
            <w:pPr>
              <w:spacing w:after="40"/>
            </w:pPr>
            <w:r/>
            <w:r>
              <w:rPr>
                <w:b w:val="0"/>
                <w:sz w:val="20"/>
              </w:rPr>
              <w:t>Two certified interpreters per performance, script delivered at month 6, run-through attended in tech week</w:t>
            </w:r>
          </w:p>
        </w:tc>
        <w:tc>
          <w:tcPr>
            <w:tcW w:type="dxa" w:w="1152"/>
          </w:tcPr>
          <w:p>
            <w:pPr>
              <w:spacing w:after="40"/>
            </w:pPr>
            <w:r/>
            <w:r>
              <w:rPr>
                <w:b w:val="0"/>
                <w:sz w:val="20"/>
              </w:rPr>
              <w:t>$2,000</w:t>
            </w:r>
          </w:p>
        </w:tc>
      </w:tr>
      <w:tr>
        <w:tc>
          <w:tcPr>
            <w:tcW w:type="dxa" w:w="2160"/>
          </w:tcPr>
          <w:p>
            <w:pPr>
              <w:spacing w:after="40"/>
            </w:pPr>
            <w:r/>
            <w:r>
              <w:rPr>
                <w:b w:val="0"/>
                <w:sz w:val="20"/>
              </w:rPr>
              <w:t>Open captioning</w:t>
            </w:r>
          </w:p>
        </w:tc>
        <w:tc>
          <w:tcPr>
            <w:tcW w:type="dxa" w:w="1728"/>
          </w:tcPr>
          <w:p>
            <w:pPr>
              <w:spacing w:after="40"/>
            </w:pPr>
            <w:r/>
            <w:r>
              <w:rPr>
                <w:b w:val="0"/>
                <w:sz w:val="20"/>
              </w:rPr>
              <w:t>Performances 4 and 10</w:t>
            </w:r>
          </w:p>
        </w:tc>
        <w:tc>
          <w:tcPr>
            <w:tcW w:type="dxa" w:w="4176"/>
          </w:tcPr>
          <w:p>
            <w:pPr>
              <w:spacing w:after="40"/>
            </w:pPr>
            <w:r/>
            <w:r>
              <w:rPr>
                <w:b w:val="0"/>
                <w:sz w:val="20"/>
              </w:rPr>
              <w:t>Captioner and display rental, caption file prepared from the final script</w:t>
            </w:r>
          </w:p>
        </w:tc>
        <w:tc>
          <w:tcPr>
            <w:tcW w:type="dxa" w:w="1152"/>
          </w:tcPr>
          <w:p>
            <w:pPr>
              <w:spacing w:after="40"/>
            </w:pPr>
            <w:r/>
            <w:r>
              <w:rPr>
                <w:b w:val="0"/>
                <w:sz w:val="20"/>
              </w:rPr>
              <w:t>$1,100</w:t>
            </w:r>
          </w:p>
        </w:tc>
      </w:tr>
      <w:tr>
        <w:tc>
          <w:tcPr>
            <w:tcW w:type="dxa" w:w="2160"/>
          </w:tcPr>
          <w:p>
            <w:pPr>
              <w:spacing w:after="40"/>
            </w:pPr>
            <w:r/>
            <w:r>
              <w:rPr>
                <w:b w:val="0"/>
                <w:sz w:val="20"/>
              </w:rPr>
              <w:t>Audio description</w:t>
            </w:r>
          </w:p>
        </w:tc>
        <w:tc>
          <w:tcPr>
            <w:tcW w:type="dxa" w:w="1728"/>
          </w:tcPr>
          <w:p>
            <w:pPr>
              <w:spacing w:after="40"/>
            </w:pPr>
            <w:r/>
            <w:r>
              <w:rPr>
                <w:b w:val="0"/>
                <w:sz w:val="20"/>
              </w:rPr>
              <w:t>Performance 8</w:t>
            </w:r>
          </w:p>
        </w:tc>
        <w:tc>
          <w:tcPr>
            <w:tcW w:type="dxa" w:w="4176"/>
          </w:tcPr>
          <w:p>
            <w:pPr>
              <w:spacing w:after="40"/>
            </w:pPr>
            <w:r/>
            <w:r>
              <w:rPr>
                <w:b w:val="0"/>
                <w:sz w:val="20"/>
              </w:rPr>
              <w:t>Describer fee, receiver rental, pre-show touch tour of the set</w:t>
            </w:r>
          </w:p>
        </w:tc>
        <w:tc>
          <w:tcPr>
            <w:tcW w:type="dxa" w:w="1152"/>
          </w:tcPr>
          <w:p>
            <w:pPr>
              <w:spacing w:after="40"/>
            </w:pPr>
            <w:r/>
            <w:r>
              <w:rPr>
                <w:b w:val="0"/>
                <w:sz w:val="20"/>
              </w:rPr>
              <w:t>$600</w:t>
            </w:r>
          </w:p>
        </w:tc>
      </w:tr>
      <w:tr>
        <w:tc>
          <w:tcPr>
            <w:tcW w:type="dxa" w:w="2160"/>
          </w:tcPr>
          <w:p>
            <w:pPr>
              <w:spacing w:after="40"/>
            </w:pPr>
            <w:r/>
            <w:r>
              <w:rPr>
                <w:b w:val="0"/>
                <w:sz w:val="20"/>
              </w:rPr>
              <w:t>Large-print and braille programs</w:t>
            </w:r>
          </w:p>
        </w:tc>
        <w:tc>
          <w:tcPr>
            <w:tcW w:type="dxa" w:w="1728"/>
          </w:tcPr>
          <w:p>
            <w:pPr>
              <w:spacing w:after="40"/>
            </w:pPr>
            <w:r/>
            <w:r>
              <w:rPr>
                <w:b w:val="0"/>
                <w:sz w:val="20"/>
              </w:rPr>
              <w:t>All performances</w:t>
            </w:r>
          </w:p>
        </w:tc>
        <w:tc>
          <w:tcPr>
            <w:tcW w:type="dxa" w:w="4176"/>
          </w:tcPr>
          <w:p>
            <w:pPr>
              <w:spacing w:after="40"/>
            </w:pPr>
            <w:r/>
            <w:r>
              <w:rPr>
                <w:b w:val="0"/>
                <w:sz w:val="20"/>
              </w:rPr>
              <w:t>Printed in-house from the program file, available at the box office</w:t>
            </w:r>
          </w:p>
        </w:tc>
        <w:tc>
          <w:tcPr>
            <w:tcW w:type="dxa" w:w="1152"/>
          </w:tcPr>
          <w:p>
            <w:pPr>
              <w:spacing w:after="40"/>
            </w:pPr>
            <w:r/>
            <w:r>
              <w:rPr>
                <w:b w:val="0"/>
                <w:sz w:val="20"/>
              </w:rPr>
              <w:t>$300</w:t>
            </w:r>
          </w:p>
        </w:tc>
      </w:tr>
      <w:tr>
        <w:tc>
          <w:tcPr>
            <w:tcW w:type="dxa" w:w="2160"/>
          </w:tcPr>
          <w:p>
            <w:pPr>
              <w:spacing w:after="40"/>
            </w:pPr>
            <w:r/>
            <w:r>
              <w:rPr>
                <w:b w:val="0"/>
                <w:sz w:val="20"/>
              </w:rPr>
              <w:t>Sensory-friendly performance</w:t>
            </w:r>
          </w:p>
        </w:tc>
        <w:tc>
          <w:tcPr>
            <w:tcW w:type="dxa" w:w="1728"/>
          </w:tcPr>
          <w:p>
            <w:pPr>
              <w:spacing w:after="40"/>
            </w:pPr>
            <w:r/>
            <w:r>
              <w:rPr>
                <w:b w:val="0"/>
                <w:sz w:val="20"/>
              </w:rPr>
              <w:t>Performance 3</w:t>
            </w:r>
          </w:p>
        </w:tc>
        <w:tc>
          <w:tcPr>
            <w:tcW w:type="dxa" w:w="4176"/>
          </w:tcPr>
          <w:p>
            <w:pPr>
              <w:spacing w:after="40"/>
            </w:pPr>
            <w:r/>
            <w:r>
              <w:rPr>
                <w:b w:val="0"/>
                <w:sz w:val="20"/>
              </w:rPr>
              <w:t>Adjusted light and sound levels, house lights partially up, quiet room staffed by a company member, social story published two weeks ahead</w:t>
            </w:r>
          </w:p>
        </w:tc>
        <w:tc>
          <w:tcPr>
            <w:tcW w:type="dxa" w:w="1152"/>
          </w:tcPr>
          <w:p>
            <w:pPr>
              <w:spacing w:after="40"/>
            </w:pPr>
            <w:r/>
            <w:r>
              <w:rPr>
                <w:b w:val="0"/>
                <w:sz w:val="20"/>
              </w:rPr>
              <w:t>Absorbed in production personnel</w:t>
            </w:r>
          </w:p>
        </w:tc>
      </w:tr>
      <w:tr>
        <w:tc>
          <w:tcPr>
            <w:tcW w:type="dxa" w:w="2160"/>
          </w:tcPr>
          <w:p>
            <w:pPr>
              <w:spacing w:after="40"/>
            </w:pPr>
            <w:r/>
            <w:r>
              <w:rPr>
                <w:b w:val="0"/>
                <w:sz w:val="20"/>
              </w:rPr>
              <w:t>Assistive listening</w:t>
            </w:r>
          </w:p>
        </w:tc>
        <w:tc>
          <w:tcPr>
            <w:tcW w:type="dxa" w:w="1728"/>
          </w:tcPr>
          <w:p>
            <w:pPr>
              <w:spacing w:after="40"/>
            </w:pPr>
            <w:r/>
            <w:r>
              <w:rPr>
                <w:b w:val="0"/>
                <w:sz w:val="20"/>
              </w:rPr>
              <w:t>All performances</w:t>
            </w:r>
          </w:p>
        </w:tc>
        <w:tc>
          <w:tcPr>
            <w:tcW w:type="dxa" w:w="4176"/>
          </w:tcPr>
          <w:p>
            <w:pPr>
              <w:spacing w:after="40"/>
            </w:pPr>
            <w:r/>
            <w:r>
              <w:rPr>
                <w:b w:val="0"/>
                <w:sz w:val="20"/>
              </w:rPr>
              <w:t>Existing venue system, batteries and cleaning in venue costs</w:t>
            </w:r>
          </w:p>
        </w:tc>
        <w:tc>
          <w:tcPr>
            <w:tcW w:type="dxa" w:w="1152"/>
          </w:tcPr>
          <w:p>
            <w:pPr>
              <w:spacing w:after="40"/>
            </w:pPr>
            <w:r/>
            <w:r>
              <w:rPr>
                <w:b w:val="0"/>
                <w:sz w:val="20"/>
              </w:rPr>
              <w:t>Existing equipment</w:t>
            </w:r>
          </w:p>
        </w:tc>
      </w:tr>
      <w:tr>
        <w:tc>
          <w:tcPr>
            <w:tcW w:type="dxa" w:w="2160"/>
          </w:tcPr>
          <w:p>
            <w:pPr>
              <w:spacing w:after="40"/>
            </w:pPr>
            <w:r/>
            <w:r>
              <w:rPr>
                <w:b/>
                <w:sz w:val="20"/>
              </w:rPr>
              <w:t>Total access services line</w:t>
            </w:r>
          </w:p>
        </w:tc>
        <w:tc>
          <w:tcPr>
            <w:tcW w:type="dxa" w:w="1728"/>
          </w:tcPr>
          <w:p>
            <w:pPr>
              <w:spacing w:after="40"/>
            </w:pPr>
            <w:r/>
            <w:r>
              <w:rPr>
                <w:b/>
                <w:sz w:val="20"/>
              </w:rPr>
            </w:r>
          </w:p>
        </w:tc>
        <w:tc>
          <w:tcPr>
            <w:tcW w:type="dxa" w:w="4176"/>
          </w:tcPr>
          <w:p>
            <w:pPr>
              <w:spacing w:after="40"/>
            </w:pPr>
            <w:r/>
            <w:r>
              <w:rPr>
                <w:b/>
                <w:sz w:val="20"/>
              </w:rPr>
            </w:r>
          </w:p>
        </w:tc>
        <w:tc>
          <w:tcPr>
            <w:tcW w:type="dxa" w:w="1152"/>
          </w:tcPr>
          <w:p>
            <w:pPr>
              <w:spacing w:after="40"/>
            </w:pPr>
            <w:r/>
            <w:r>
              <w:rPr>
                <w:b/>
                <w:sz w:val="20"/>
              </w:rPr>
              <w:t>$4,000</w:t>
            </w:r>
          </w:p>
        </w:tc>
      </w:tr>
    </w:tbl>
    <w:p>
      <w:pPr>
        <w:spacing w:after="40"/>
      </w:pPr>
    </w:p>
    <w:p>
      <w:pPr>
        <w:pStyle w:val="Heading2"/>
      </w:pPr>
      <w:r>
        <w:t>How access gets used, not just offered</w:t>
      </w:r>
    </w:p>
    <w:p>
      <w:r>
        <w:rPr>
          <w:b w:val="0"/>
          <w:i w:val="0"/>
        </w:rPr>
        <w:t>Booking the service is half the work. The other half is telling the people who need it, early enough to plan a trip. ETC lists the accessible dates on every piece of marketing rather than on a separate accessibility page, sends the schedule to [named local disability services organizations and school district special education coordinators] at month 6, and publishes a social story for the sensory-friendly performance two weeks in advance. The box office takes accommodation requests by phone, email, and text, and logs each one on receipt.</w:t>
      </w:r>
    </w:p>
    <w:p>
      <w:r>
        <w:rPr>
          <w:b w:val="0"/>
          <w:i w:val="0"/>
        </w:rPr>
        <w:t>Front-of-house staff and volunteers receive a 60-minute briefing before the run covering the accommodation log, the quiet room, seating for interpreted performances, and how to hand off a receiver without making an audience member explain themselves. That briefing costs nothing and prevents the failure mode where the service exists and the staff do not know about it.</w:t>
      </w:r>
    </w:p>
    <w:p>
      <w:pPr>
        <w:pStyle w:val="Heading1"/>
      </w:pPr>
      <w:r>
        <w:t>Organizational Background and Capacity</w:t>
      </w:r>
    </w:p>
    <w:p>
      <w:r>
        <w:rPr>
          <w:b w:val="0"/>
          <w:i w:val="0"/>
        </w:rPr>
        <w:t>Establish that you can deliver, then get out of the way. This section is evidence, not mission language. Replace all of it with your own history.</w:t>
      </w:r>
    </w:p>
    <w:p>
      <w:pPr>
        <w:pStyle w:val="Heading2"/>
      </w:pPr>
      <w:r>
        <w:t>Organization profile</w:t>
      </w:r>
    </w:p>
    <w:p>
      <w:r>
        <w:rPr>
          <w:b w:val="0"/>
          <w:i w:val="0"/>
        </w:rPr>
        <w:t>Example Theater Collective is a composite nonprofit theater company founded in a mid-sized city, producing three productions a year in a 180-seat venue with two full-time staff, one part-time staff member, and a contracted artistic company for each production. Annual operating expenses are approximately $310,000, of which 41 percent is earned revenue and 59 percent contributed. A nine-member board governs the organization.</w:t>
      </w:r>
    </w:p>
    <w:p>
      <w:pPr>
        <w:pStyle w:val="IntenseQuote"/>
      </w:pPr>
      <w:r>
        <w:t>Eligibility check before you invest the drafting time. NEA Grants for Arts Projects applicants must have completed at least five years of arts programming before the deadline and must have had an annual operating budget of $20,000 or more in its most recently completed fiscal year, and the NEA estimates roughly 24 hours to draft and submit an application once registrations are complete (National Endowment for the Arts, FY27 GAP Program Guidelines, arts.gov, retrieved September 2026). Confirm your own eligibility and your registration status before you start writing, not after.</w:t>
      </w:r>
    </w:p>
    <w:p>
      <w:pPr>
        <w:pStyle w:val="Heading2"/>
      </w:pPr>
      <w:r>
        <w:t>Capacity to run this project</w:t>
      </w:r>
    </w:p>
    <w:tbl>
      <w:tblPr>
        <w:tblStyle w:val="LightGrid-Accent1"/>
        <w:tblW w:type="auto" w:w="0"/>
        <w:jc w:val="center"/>
        <w:tblLook w:firstColumn="1" w:firstRow="1" w:lastColumn="0" w:lastRow="0" w:noHBand="0" w:noVBand="1" w:val="04A0"/>
      </w:tblPr>
      <w:tblGrid>
        <w:gridCol w:w="4680"/>
        <w:gridCol w:w="4680"/>
      </w:tblGrid>
      <w:tr>
        <w:trPr>
          <w:tblHeader/>
        </w:trPr>
        <w:tc>
          <w:tcPr>
            <w:tcW w:type="dxa" w:w="3888"/>
          </w:tcPr>
          <w:p>
            <w:pPr>
              <w:spacing w:after="40"/>
            </w:pPr>
            <w:r/>
            <w:r>
              <w:rPr>
                <w:b/>
                <w:sz w:val="20"/>
              </w:rPr>
              <w:t>Capacity question a panel asks</w:t>
            </w:r>
          </w:p>
        </w:tc>
        <w:tc>
          <w:tcPr>
            <w:tcW w:type="dxa" w:w="5328"/>
          </w:tcPr>
          <w:p>
            <w:pPr>
              <w:spacing w:after="40"/>
            </w:pPr>
            <w:r/>
            <w:r>
              <w:rPr>
                <w:b/>
                <w:sz w:val="20"/>
              </w:rPr>
              <w:t>What this proposal answers with</w:t>
            </w:r>
          </w:p>
        </w:tc>
      </w:tr>
      <w:tr>
        <w:tc>
          <w:tcPr>
            <w:tcW w:type="dxa" w:w="3888"/>
          </w:tcPr>
          <w:p>
            <w:pPr>
              <w:spacing w:after="40"/>
            </w:pPr>
            <w:r/>
            <w:r>
              <w:rPr>
                <w:b w:val="0"/>
                <w:sz w:val="20"/>
              </w:rPr>
              <w:t>Have you produced at this scale before?</w:t>
            </w:r>
          </w:p>
        </w:tc>
        <w:tc>
          <w:tcPr>
            <w:tcW w:type="dxa" w:w="5328"/>
          </w:tcPr>
          <w:p>
            <w:pPr>
              <w:spacing w:after="40"/>
            </w:pPr>
            <w:r/>
            <w:r>
              <w:rPr>
                <w:b w:val="0"/>
                <w:sz w:val="20"/>
              </w:rPr>
              <w:t>Eight prior productions in the same venue, the most recent with a cast of five and an eight-performance run</w:t>
            </w:r>
          </w:p>
        </w:tc>
      </w:tr>
      <w:tr>
        <w:tc>
          <w:tcPr>
            <w:tcW w:type="dxa" w:w="3888"/>
          </w:tcPr>
          <w:p>
            <w:pPr>
              <w:spacing w:after="40"/>
            </w:pPr>
            <w:r/>
            <w:r>
              <w:rPr>
                <w:b w:val="0"/>
                <w:sz w:val="20"/>
              </w:rPr>
              <w:t>Have you run a school partnership before?</w:t>
            </w:r>
          </w:p>
        </w:tc>
        <w:tc>
          <w:tcPr>
            <w:tcW w:type="dxa" w:w="5328"/>
          </w:tcPr>
          <w:p>
            <w:pPr>
              <w:spacing w:after="40"/>
            </w:pPr>
            <w:r/>
            <w:r>
              <w:rPr>
                <w:b w:val="0"/>
                <w:sz w:val="20"/>
              </w:rPr>
              <w:t>Two prior single-school residencies, each four sessions, with letters from both principals attached</w:t>
            </w:r>
          </w:p>
        </w:tc>
      </w:tr>
      <w:tr>
        <w:tc>
          <w:tcPr>
            <w:tcW w:type="dxa" w:w="3888"/>
          </w:tcPr>
          <w:p>
            <w:pPr>
              <w:spacing w:after="40"/>
            </w:pPr>
            <w:r/>
            <w:r>
              <w:rPr>
                <w:b w:val="0"/>
                <w:sz w:val="20"/>
              </w:rPr>
              <w:t>Can you administer a grant of this size?</w:t>
            </w:r>
          </w:p>
        </w:tc>
        <w:tc>
          <w:tcPr>
            <w:tcW w:type="dxa" w:w="5328"/>
          </w:tcPr>
          <w:p>
            <w:pPr>
              <w:spacing w:after="40"/>
            </w:pPr>
            <w:r/>
            <w:r>
              <w:rPr>
                <w:b w:val="0"/>
                <w:sz w:val="20"/>
              </w:rPr>
              <w:t>Prior awards administered and reported on time, listed with amounts and funders in the attachment</w:t>
            </w:r>
          </w:p>
        </w:tc>
      </w:tr>
      <w:tr>
        <w:tc>
          <w:tcPr>
            <w:tcW w:type="dxa" w:w="3888"/>
          </w:tcPr>
          <w:p>
            <w:pPr>
              <w:spacing w:after="40"/>
            </w:pPr>
            <w:r/>
            <w:r>
              <w:rPr>
                <w:b w:val="0"/>
                <w:sz w:val="20"/>
              </w:rPr>
              <w:t>Who holds the project together day to day?</w:t>
            </w:r>
          </w:p>
        </w:tc>
        <w:tc>
          <w:tcPr>
            <w:tcW w:type="dxa" w:w="5328"/>
          </w:tcPr>
          <w:p>
            <w:pPr>
              <w:spacing w:after="40"/>
            </w:pPr>
            <w:r/>
            <w:r>
              <w:rPr>
                <w:b w:val="0"/>
                <w:sz w:val="20"/>
              </w:rPr>
              <w:t>Project coordinator at 0.15 FTE across nine months, a named role with the milestones assigned in the timeline</w:t>
            </w:r>
          </w:p>
        </w:tc>
      </w:tr>
      <w:tr>
        <w:tc>
          <w:tcPr>
            <w:tcW w:type="dxa" w:w="3888"/>
          </w:tcPr>
          <w:p>
            <w:pPr>
              <w:spacing w:after="40"/>
            </w:pPr>
            <w:r/>
            <w:r>
              <w:rPr>
                <w:b w:val="0"/>
                <w:sz w:val="20"/>
              </w:rPr>
              <w:t>Can your financial systems track restricted funds?</w:t>
            </w:r>
          </w:p>
        </w:tc>
        <w:tc>
          <w:tcPr>
            <w:tcW w:type="dxa" w:w="5328"/>
          </w:tcPr>
          <w:p>
            <w:pPr>
              <w:spacing w:after="40"/>
            </w:pPr>
            <w:r/>
            <w:r>
              <w:rPr>
                <w:b w:val="0"/>
                <w:sz w:val="20"/>
              </w:rPr>
              <w:t>Fund accounting in [your accounting system], restricted revenue tracked by grant, reviewed annually by [your auditor or reviewer]</w:t>
            </w:r>
          </w:p>
        </w:tc>
      </w:tr>
      <w:tr>
        <w:tc>
          <w:tcPr>
            <w:tcW w:type="dxa" w:w="3888"/>
          </w:tcPr>
          <w:p>
            <w:pPr>
              <w:spacing w:after="40"/>
            </w:pPr>
            <w:r/>
            <w:r>
              <w:rPr>
                <w:b w:val="0"/>
                <w:sz w:val="20"/>
              </w:rPr>
              <w:t>What happens if a key person leaves?</w:t>
            </w:r>
          </w:p>
        </w:tc>
        <w:tc>
          <w:tcPr>
            <w:tcW w:type="dxa" w:w="5328"/>
          </w:tcPr>
          <w:p>
            <w:pPr>
              <w:spacing w:after="40"/>
            </w:pPr>
            <w:r/>
            <w:r>
              <w:rPr>
                <w:b w:val="0"/>
                <w:sz w:val="20"/>
              </w:rPr>
              <w:t>Artistic director and board chair share signing authority, and the stage manager holds the production book</w:t>
            </w:r>
          </w:p>
        </w:tc>
      </w:tr>
    </w:tbl>
    <w:p>
      <w:pPr>
        <w:spacing w:after="40"/>
      </w:pPr>
    </w:p>
    <w:p>
      <w:pPr>
        <w:pStyle w:val="Heading2"/>
      </w:pPr>
      <w:r>
        <w:t>Partnerships</w:t>
      </w:r>
    </w:p>
    <w:p>
      <w:r>
        <w:rPr>
          <w:b w:val="0"/>
          <w:i w:val="0"/>
        </w:rPr>
        <w:t>Name the partners and attach their letters. ETC's district partnership letter names the four schools, the 12 classrooms, the term, and the district contact who signed it. A partnership letter that describes enthusiasm and no commitments is a weak attachment. Ask each partner for a letter that states what they will do, when, and who is responsible, and offer to draft it for them.</w:t>
      </w:r>
    </w:p>
    <w:p>
      <w:pPr>
        <w:pStyle w:val="Heading1"/>
      </w:pPr>
      <w:r>
        <w:t>Work Samples</w:t>
      </w:r>
    </w:p>
    <w:p>
      <w:r>
        <w:rPr>
          <w:b w:val="0"/>
          <w:i w:val="0"/>
        </w:rPr>
        <w:t>Work samples are reviewed against the same criteria as the narrative, and a polished proposal attached to a badly lit rehearsal video loses to a plainer proposal with a curated sample. NEA panelists spend up to 20 minutes per application on work samples, within a 250MB upload allowance (National Endowment for the Arts, FY27 GAP discipline application instructions, arts.gov, retrieved September 2026). Twenty minutes is both generous and finite: it rewards a short, strong, well-labeled sample and punishes a 20-minute unedited recording.</w:t>
      </w:r>
    </w:p>
    <w:p>
      <w:pPr>
        <w:pStyle w:val="Heading2"/>
      </w:pPr>
      <w:r>
        <w:t>What to submit</w:t>
      </w:r>
    </w:p>
    <w:tbl>
      <w:tblPr>
        <w:tblStyle w:val="LightGrid-Accent1"/>
        <w:tblW w:type="auto" w:w="0"/>
        <w:jc w:val="center"/>
        <w:tblLook w:firstColumn="1" w:firstRow="1" w:lastColumn="0" w:lastRow="0" w:noHBand="0" w:noVBand="1" w:val="04A0"/>
      </w:tblPr>
      <w:tblGrid>
        <w:gridCol w:w="3120"/>
        <w:gridCol w:w="3120"/>
        <w:gridCol w:w="3120"/>
      </w:tblGrid>
      <w:tr>
        <w:trPr>
          <w:tblHeader/>
        </w:trPr>
        <w:tc>
          <w:tcPr>
            <w:tcW w:type="dxa" w:w="3600"/>
          </w:tcPr>
          <w:p>
            <w:pPr>
              <w:spacing w:after="40"/>
            </w:pPr>
            <w:r/>
            <w:r>
              <w:rPr>
                <w:b/>
                <w:sz w:val="20"/>
              </w:rPr>
              <w:t>Sample</w:t>
            </w:r>
          </w:p>
        </w:tc>
        <w:tc>
          <w:tcPr>
            <w:tcW w:type="dxa" w:w="2016"/>
          </w:tcPr>
          <w:p>
            <w:pPr>
              <w:spacing w:after="40"/>
            </w:pPr>
            <w:r/>
            <w:r>
              <w:rPr>
                <w:b/>
                <w:sz w:val="20"/>
              </w:rPr>
              <w:t>Length or format</w:t>
            </w:r>
          </w:p>
        </w:tc>
        <w:tc>
          <w:tcPr>
            <w:tcW w:type="dxa" w:w="3600"/>
          </w:tcPr>
          <w:p>
            <w:pPr>
              <w:spacing w:after="40"/>
            </w:pPr>
            <w:r/>
            <w:r>
              <w:rPr>
                <w:b/>
                <w:sz w:val="20"/>
              </w:rPr>
              <w:t>Why it is included</w:t>
            </w:r>
          </w:p>
        </w:tc>
      </w:tr>
      <w:tr>
        <w:tc>
          <w:tcPr>
            <w:tcW w:type="dxa" w:w="3600"/>
          </w:tcPr>
          <w:p>
            <w:pPr>
              <w:spacing w:after="40"/>
            </w:pPr>
            <w:r/>
            <w:r>
              <w:rPr>
                <w:b w:val="0"/>
                <w:sz w:val="20"/>
              </w:rPr>
              <w:t>Excerpt from the most recent production, single continuous take</w:t>
            </w:r>
          </w:p>
        </w:tc>
        <w:tc>
          <w:tcPr>
            <w:tcW w:type="dxa" w:w="2016"/>
          </w:tcPr>
          <w:p>
            <w:pPr>
              <w:spacing w:after="40"/>
            </w:pPr>
            <w:r/>
            <w:r>
              <w:rPr>
                <w:b w:val="0"/>
                <w:sz w:val="20"/>
              </w:rPr>
              <w:t>3 to 5 minutes</w:t>
            </w:r>
          </w:p>
        </w:tc>
        <w:tc>
          <w:tcPr>
            <w:tcW w:type="dxa" w:w="3600"/>
          </w:tcPr>
          <w:p>
            <w:pPr>
              <w:spacing w:after="40"/>
            </w:pPr>
            <w:r/>
            <w:r>
              <w:rPr>
                <w:b w:val="0"/>
                <w:sz w:val="20"/>
              </w:rPr>
              <w:t>Shows ensemble performance quality without editing that a panel might read as concealment</w:t>
            </w:r>
          </w:p>
        </w:tc>
      </w:tr>
      <w:tr>
        <w:tc>
          <w:tcPr>
            <w:tcW w:type="dxa" w:w="3600"/>
          </w:tcPr>
          <w:p>
            <w:pPr>
              <w:spacing w:after="40"/>
            </w:pPr>
            <w:r/>
            <w:r>
              <w:rPr>
                <w:b w:val="0"/>
                <w:sz w:val="20"/>
              </w:rPr>
              <w:t>Second excerpt, contrasting scene or tone</w:t>
            </w:r>
          </w:p>
        </w:tc>
        <w:tc>
          <w:tcPr>
            <w:tcW w:type="dxa" w:w="2016"/>
          </w:tcPr>
          <w:p>
            <w:pPr>
              <w:spacing w:after="40"/>
            </w:pPr>
            <w:r/>
            <w:r>
              <w:rPr>
                <w:b w:val="0"/>
                <w:sz w:val="20"/>
              </w:rPr>
              <w:t>2 to 3 minutes</w:t>
            </w:r>
          </w:p>
        </w:tc>
        <w:tc>
          <w:tcPr>
            <w:tcW w:type="dxa" w:w="3600"/>
          </w:tcPr>
          <w:p>
            <w:pPr>
              <w:spacing w:after="40"/>
            </w:pPr>
            <w:r/>
            <w:r>
              <w:rPr>
                <w:b w:val="0"/>
                <w:sz w:val="20"/>
              </w:rPr>
              <w:t>Demonstrates range, and shows the design work in a different light state</w:t>
            </w:r>
          </w:p>
        </w:tc>
      </w:tr>
      <w:tr>
        <w:tc>
          <w:tcPr>
            <w:tcW w:type="dxa" w:w="3600"/>
          </w:tcPr>
          <w:p>
            <w:pPr>
              <w:spacing w:after="40"/>
            </w:pPr>
            <w:r/>
            <w:r>
              <w:rPr>
                <w:b w:val="0"/>
                <w:sz w:val="20"/>
              </w:rPr>
              <w:t>Recording of the composer's prior score, if a commission is proposed</w:t>
            </w:r>
          </w:p>
        </w:tc>
        <w:tc>
          <w:tcPr>
            <w:tcW w:type="dxa" w:w="2016"/>
          </w:tcPr>
          <w:p>
            <w:pPr>
              <w:spacing w:after="40"/>
            </w:pPr>
            <w:r/>
            <w:r>
              <w:rPr>
                <w:b w:val="0"/>
                <w:sz w:val="20"/>
              </w:rPr>
              <w:t>2 minutes</w:t>
            </w:r>
          </w:p>
        </w:tc>
        <w:tc>
          <w:tcPr>
            <w:tcW w:type="dxa" w:w="3600"/>
          </w:tcPr>
          <w:p>
            <w:pPr>
              <w:spacing w:after="40"/>
            </w:pPr>
            <w:r/>
            <w:r>
              <w:rPr>
                <w:b w:val="0"/>
                <w:sz w:val="20"/>
              </w:rPr>
              <w:t>Supports the artistic claim about the commissioned element</w:t>
            </w:r>
          </w:p>
        </w:tc>
      </w:tr>
      <w:tr>
        <w:tc>
          <w:tcPr>
            <w:tcW w:type="dxa" w:w="3600"/>
          </w:tcPr>
          <w:p>
            <w:pPr>
              <w:spacing w:after="40"/>
            </w:pPr>
            <w:r/>
            <w:r>
              <w:rPr>
                <w:b w:val="0"/>
                <w:sz w:val="20"/>
              </w:rPr>
              <w:t>Production photographs, captioned</w:t>
            </w:r>
          </w:p>
        </w:tc>
        <w:tc>
          <w:tcPr>
            <w:tcW w:type="dxa" w:w="2016"/>
          </w:tcPr>
          <w:p>
            <w:pPr>
              <w:spacing w:after="40"/>
            </w:pPr>
            <w:r/>
            <w:r>
              <w:rPr>
                <w:b w:val="0"/>
                <w:sz w:val="20"/>
              </w:rPr>
              <w:t>6 to 8 images</w:t>
            </w:r>
          </w:p>
        </w:tc>
        <w:tc>
          <w:tcPr>
            <w:tcW w:type="dxa" w:w="3600"/>
          </w:tcPr>
          <w:p>
            <w:pPr>
              <w:spacing w:after="40"/>
            </w:pPr>
            <w:r/>
            <w:r>
              <w:rPr>
                <w:b w:val="0"/>
                <w:sz w:val="20"/>
              </w:rPr>
              <w:t>Shows design and venue quickly, and survives a panelist with a slow connection</w:t>
            </w:r>
          </w:p>
        </w:tc>
      </w:tr>
      <w:tr>
        <w:tc>
          <w:tcPr>
            <w:tcW w:type="dxa" w:w="3600"/>
          </w:tcPr>
          <w:p>
            <w:pPr>
              <w:spacing w:after="40"/>
            </w:pPr>
            <w:r/>
            <w:r>
              <w:rPr>
                <w:b w:val="0"/>
                <w:sz w:val="20"/>
              </w:rPr>
              <w:t>Residency documentation, if education work is central</w:t>
            </w:r>
          </w:p>
        </w:tc>
        <w:tc>
          <w:tcPr>
            <w:tcW w:type="dxa" w:w="2016"/>
          </w:tcPr>
          <w:p>
            <w:pPr>
              <w:spacing w:after="40"/>
            </w:pPr>
            <w:r/>
            <w:r>
              <w:rPr>
                <w:b w:val="0"/>
                <w:sz w:val="20"/>
              </w:rPr>
              <w:t>1 to 2 minutes or 4 images</w:t>
            </w:r>
          </w:p>
        </w:tc>
        <w:tc>
          <w:tcPr>
            <w:tcW w:type="dxa" w:w="3600"/>
          </w:tcPr>
          <w:p>
            <w:pPr>
              <w:spacing w:after="40"/>
            </w:pPr>
            <w:r/>
            <w:r>
              <w:rPr>
                <w:b w:val="0"/>
                <w:sz w:val="20"/>
              </w:rPr>
              <w:t>Evidences the teaching artist practice the budget pays for</w:t>
            </w:r>
          </w:p>
        </w:tc>
      </w:tr>
    </w:tbl>
    <w:p>
      <w:pPr>
        <w:spacing w:after="40"/>
      </w:pPr>
    </w:p>
    <w:p>
      <w:pPr>
        <w:pStyle w:val="Heading2"/>
      </w:pPr>
      <w:r>
        <w:t>Metadata a panel expects on every sample</w:t>
      </w:r>
    </w:p>
    <w:p>
      <w:r>
        <w:rPr>
          <w:b w:val="0"/>
          <w:i w:val="0"/>
        </w:rPr>
        <w:t>NEA guidance asks applicants to include creative credits, the title of the work, the date it was created and performed, the medium, dimensions for visual art, and sample length for audio and video, and requires that links stay active for at least six months after the funding notification date (National Endowment for the Arts, FY27 GAP discipline application instructions, arts.gov, retrieved September 2026). Build a caption block like the one below for each sample and reuse it across applications.</w:t>
      </w:r>
    </w:p>
    <w:p>
      <w:pPr>
        <w:spacing w:before="120" w:after="200"/>
        <w:ind w:left="504" w:right="288"/>
        <w:pBdr>
          <w:left w:val="single" w:sz="18" w:space="8" w:color="1F3D4A"/>
        </w:pBdr>
      </w:pPr>
      <w:r>
        <w:rPr>
          <w:i/>
          <w:color w:val="22333A"/>
        </w:rPr>
        <w:t>[Title of work], [playwright or composer]. Produced by [organization], [venue], [month and year of performance]. Excerpt: Act I, scene 3. Sample length: 4 minutes 12 seconds. Credits: director [role], performers [roles], scenic and costume design [role], lighting design [role], score [role]. Recorded [date] at [venue]. Link active through [date at least six months after the notification date].</w:t>
      </w:r>
    </w:p>
    <w:p>
      <w:r>
        <w:rPr>
          <w:b w:val="0"/>
          <w:i w:val="0"/>
        </w:rPr>
        <w:t>Two practical rules. Host samples somewhere you control, because a link that dies in month four of a review cycle cannot be replaced. And cue the excerpt precisely, because a panelist who has to search a 90-minute recording for the scene you meant will watch whatever plays first.</w:t>
      </w:r>
    </w:p>
    <w:p>
      <w:pPr>
        <w:pStyle w:val="Heading1"/>
      </w:pPr>
      <w:r>
        <w:t>Budget</w:t>
      </w:r>
    </w:p>
    <w:p>
      <w:r>
        <w:rPr>
          <w:b w:val="0"/>
          <w:i w:val="0"/>
        </w:rPr>
        <w:t>An arts project budget carries line items no other sector needs: rights and royalties, artist fees separated from staff salaries, production materials, and access services. The budget below totals $60,000 against a $30,000 request, which satisfies a 1 to 1 cost share. Every NEA award requires a nonfederal cost share of at least 1 to 1, so federal funds cannot exceed half of total project cost (National Endowment for the Arts, FY27 GAP Program Guidelines, arts.gov, retrieved September 2026). Many private funders apply a similar expectation without publishing it.</w:t>
      </w:r>
    </w:p>
    <w:p>
      <w:pPr>
        <w:pStyle w:val="Heading2"/>
      </w:pPr>
      <w:r>
        <w:t>Line-item budget</w:t>
      </w:r>
    </w:p>
    <w:tbl>
      <w:tblPr>
        <w:tblStyle w:val="LightGrid-Accent1"/>
        <w:tblW w:type="auto" w:w="0"/>
        <w:jc w:val="center"/>
        <w:tblLook w:firstColumn="1" w:firstRow="1" w:lastColumn="0" w:lastRow="0" w:noHBand="0" w:noVBand="1" w:val="04A0"/>
      </w:tblPr>
      <w:tblGrid>
        <w:gridCol w:w="1872"/>
        <w:gridCol w:w="1872"/>
        <w:gridCol w:w="1872"/>
        <w:gridCol w:w="1872"/>
        <w:gridCol w:w="1872"/>
      </w:tblGrid>
      <w:tr>
        <w:trPr>
          <w:tblHeader/>
        </w:trPr>
        <w:tc>
          <w:tcPr>
            <w:tcW w:type="dxa" w:w="2448"/>
          </w:tcPr>
          <w:p>
            <w:pPr>
              <w:spacing w:after="40"/>
            </w:pPr>
            <w:r/>
            <w:r>
              <w:rPr>
                <w:b/>
                <w:sz w:val="20"/>
              </w:rPr>
              <w:t>Line item</w:t>
            </w:r>
          </w:p>
        </w:tc>
        <w:tc>
          <w:tcPr>
            <w:tcW w:type="dxa" w:w="1080"/>
          </w:tcPr>
          <w:p>
            <w:pPr>
              <w:spacing w:after="40"/>
            </w:pPr>
            <w:r/>
            <w:r>
              <w:rPr>
                <w:b/>
                <w:sz w:val="20"/>
              </w:rPr>
              <w:t>Total</w:t>
            </w:r>
          </w:p>
        </w:tc>
        <w:tc>
          <w:tcPr>
            <w:tcW w:type="dxa" w:w="1080"/>
          </w:tcPr>
          <w:p>
            <w:pPr>
              <w:spacing w:after="40"/>
            </w:pPr>
            <w:r/>
            <w:r>
              <w:rPr>
                <w:b/>
                <w:sz w:val="20"/>
              </w:rPr>
              <w:t>Request</w:t>
            </w:r>
          </w:p>
        </w:tc>
        <w:tc>
          <w:tcPr>
            <w:tcW w:type="dxa" w:w="1152"/>
          </w:tcPr>
          <w:p>
            <w:pPr>
              <w:spacing w:after="40"/>
            </w:pPr>
            <w:r/>
            <w:r>
              <w:rPr>
                <w:b/>
                <w:sz w:val="20"/>
              </w:rPr>
              <w:t>Cost share</w:t>
            </w:r>
          </w:p>
        </w:tc>
        <w:tc>
          <w:tcPr>
            <w:tcW w:type="dxa" w:w="3456"/>
          </w:tcPr>
          <w:p>
            <w:pPr>
              <w:spacing w:after="40"/>
            </w:pPr>
            <w:r/>
            <w:r>
              <w:rPr>
                <w:b/>
                <w:sz w:val="20"/>
              </w:rPr>
              <w:t>Basis stated in the narrative</w:t>
            </w:r>
          </w:p>
        </w:tc>
      </w:tr>
      <w:tr>
        <w:tc>
          <w:tcPr>
            <w:tcW w:type="dxa" w:w="2448"/>
          </w:tcPr>
          <w:p>
            <w:pPr>
              <w:spacing w:after="40"/>
            </w:pPr>
            <w:r/>
            <w:r>
              <w:rPr>
                <w:b w:val="0"/>
                <w:sz w:val="20"/>
              </w:rPr>
              <w:t>Artist fees and honoraria</w:t>
            </w:r>
          </w:p>
        </w:tc>
        <w:tc>
          <w:tcPr>
            <w:tcW w:type="dxa" w:w="1080"/>
          </w:tcPr>
          <w:p>
            <w:pPr>
              <w:spacing w:after="40"/>
            </w:pPr>
            <w:r/>
            <w:r>
              <w:rPr>
                <w:b w:val="0"/>
                <w:sz w:val="20"/>
              </w:rPr>
              <w:t>$19,000</w:t>
            </w:r>
          </w:p>
        </w:tc>
        <w:tc>
          <w:tcPr>
            <w:tcW w:type="dxa" w:w="1080"/>
          </w:tcPr>
          <w:p>
            <w:pPr>
              <w:spacing w:after="40"/>
            </w:pPr>
            <w:r/>
            <w:r>
              <w:rPr>
                <w:b w:val="0"/>
                <w:sz w:val="20"/>
              </w:rPr>
              <w:t>$12,000</w:t>
            </w:r>
          </w:p>
        </w:tc>
        <w:tc>
          <w:tcPr>
            <w:tcW w:type="dxa" w:w="1152"/>
          </w:tcPr>
          <w:p>
            <w:pPr>
              <w:spacing w:after="40"/>
            </w:pPr>
            <w:r/>
            <w:r>
              <w:rPr>
                <w:b w:val="0"/>
                <w:sz w:val="20"/>
              </w:rPr>
              <w:t>$7,000</w:t>
            </w:r>
          </w:p>
        </w:tc>
        <w:tc>
          <w:tcPr>
            <w:tcW w:type="dxa" w:w="3456"/>
          </w:tcPr>
          <w:p>
            <w:pPr>
              <w:spacing w:after="40"/>
            </w:pPr>
            <w:r/>
            <w:r>
              <w:rPr>
                <w:b w:val="0"/>
                <w:sz w:val="20"/>
              </w:rPr>
              <w:t>12 artists at the contracted rates in the roster table</w:t>
            </w:r>
          </w:p>
        </w:tc>
      </w:tr>
      <w:tr>
        <w:tc>
          <w:tcPr>
            <w:tcW w:type="dxa" w:w="2448"/>
          </w:tcPr>
          <w:p>
            <w:pPr>
              <w:spacing w:after="40"/>
            </w:pPr>
            <w:r/>
            <w:r>
              <w:rPr>
                <w:b w:val="0"/>
                <w:sz w:val="20"/>
              </w:rPr>
              <w:t>Teaching artist fees</w:t>
            </w:r>
          </w:p>
        </w:tc>
        <w:tc>
          <w:tcPr>
            <w:tcW w:type="dxa" w:w="1080"/>
          </w:tcPr>
          <w:p>
            <w:pPr>
              <w:spacing w:after="40"/>
            </w:pPr>
            <w:r/>
            <w:r>
              <w:rPr>
                <w:b w:val="0"/>
                <w:sz w:val="20"/>
              </w:rPr>
              <w:t>$7,500</w:t>
            </w:r>
          </w:p>
        </w:tc>
        <w:tc>
          <w:tcPr>
            <w:tcW w:type="dxa" w:w="1080"/>
          </w:tcPr>
          <w:p>
            <w:pPr>
              <w:spacing w:after="40"/>
            </w:pPr>
            <w:r/>
            <w:r>
              <w:rPr>
                <w:b w:val="0"/>
                <w:sz w:val="20"/>
              </w:rPr>
              <w:t>$6,000</w:t>
            </w:r>
          </w:p>
        </w:tc>
        <w:tc>
          <w:tcPr>
            <w:tcW w:type="dxa" w:w="1152"/>
          </w:tcPr>
          <w:p>
            <w:pPr>
              <w:spacing w:after="40"/>
            </w:pPr>
            <w:r/>
            <w:r>
              <w:rPr>
                <w:b w:val="0"/>
                <w:sz w:val="20"/>
              </w:rPr>
              <w:t>$1,500</w:t>
            </w:r>
          </w:p>
        </w:tc>
        <w:tc>
          <w:tcPr>
            <w:tcW w:type="dxa" w:w="3456"/>
          </w:tcPr>
          <w:p>
            <w:pPr>
              <w:spacing w:after="40"/>
            </w:pPr>
            <w:r/>
            <w:r>
              <w:rPr>
                <w:b w:val="0"/>
                <w:sz w:val="20"/>
              </w:rPr>
              <w:t>60 sessions at $125 per session, 3 teaching artists</w:t>
            </w:r>
          </w:p>
        </w:tc>
      </w:tr>
      <w:tr>
        <w:tc>
          <w:tcPr>
            <w:tcW w:type="dxa" w:w="2448"/>
          </w:tcPr>
          <w:p>
            <w:pPr>
              <w:spacing w:after="40"/>
            </w:pPr>
            <w:r/>
            <w:r>
              <w:rPr>
                <w:b w:val="0"/>
                <w:sz w:val="20"/>
              </w:rPr>
              <w:t>Production personnel</w:t>
            </w:r>
          </w:p>
        </w:tc>
        <w:tc>
          <w:tcPr>
            <w:tcW w:type="dxa" w:w="1080"/>
          </w:tcPr>
          <w:p>
            <w:pPr>
              <w:spacing w:after="40"/>
            </w:pPr>
            <w:r/>
            <w:r>
              <w:rPr>
                <w:b w:val="0"/>
                <w:sz w:val="20"/>
              </w:rPr>
              <w:t>$6,000</w:t>
            </w:r>
          </w:p>
        </w:tc>
        <w:tc>
          <w:tcPr>
            <w:tcW w:type="dxa" w:w="1080"/>
          </w:tcPr>
          <w:p>
            <w:pPr>
              <w:spacing w:after="40"/>
            </w:pPr>
            <w:r/>
            <w:r>
              <w:rPr>
                <w:b w:val="0"/>
                <w:sz w:val="20"/>
              </w:rPr>
              <w:t>$3,000</w:t>
            </w:r>
          </w:p>
        </w:tc>
        <w:tc>
          <w:tcPr>
            <w:tcW w:type="dxa" w:w="1152"/>
          </w:tcPr>
          <w:p>
            <w:pPr>
              <w:spacing w:after="40"/>
            </w:pPr>
            <w:r/>
            <w:r>
              <w:rPr>
                <w:b w:val="0"/>
                <w:sz w:val="20"/>
              </w:rPr>
              <w:t>$3,000</w:t>
            </w:r>
          </w:p>
        </w:tc>
        <w:tc>
          <w:tcPr>
            <w:tcW w:type="dxa" w:w="3456"/>
          </w:tcPr>
          <w:p>
            <w:pPr>
              <w:spacing w:after="40"/>
            </w:pPr>
            <w:r/>
            <w:r>
              <w:rPr>
                <w:b w:val="0"/>
                <w:sz w:val="20"/>
              </w:rPr>
              <w:t>Stage manager $3,500 over 10 weeks, technical director $2,500</w:t>
            </w:r>
          </w:p>
        </w:tc>
      </w:tr>
      <w:tr>
        <w:tc>
          <w:tcPr>
            <w:tcW w:type="dxa" w:w="2448"/>
          </w:tcPr>
          <w:p>
            <w:pPr>
              <w:spacing w:after="40"/>
            </w:pPr>
            <w:r/>
            <w:r>
              <w:rPr>
                <w:b w:val="0"/>
                <w:sz w:val="20"/>
              </w:rPr>
              <w:t>Venue and rehearsal space</w:t>
            </w:r>
          </w:p>
        </w:tc>
        <w:tc>
          <w:tcPr>
            <w:tcW w:type="dxa" w:w="1080"/>
          </w:tcPr>
          <w:p>
            <w:pPr>
              <w:spacing w:after="40"/>
            </w:pPr>
            <w:r/>
            <w:r>
              <w:rPr>
                <w:b w:val="0"/>
                <w:sz w:val="20"/>
              </w:rPr>
              <w:t>$5,500</w:t>
            </w:r>
          </w:p>
        </w:tc>
        <w:tc>
          <w:tcPr>
            <w:tcW w:type="dxa" w:w="1080"/>
          </w:tcPr>
          <w:p>
            <w:pPr>
              <w:spacing w:after="40"/>
            </w:pPr>
            <w:r/>
            <w:r>
              <w:rPr>
                <w:b w:val="0"/>
                <w:sz w:val="20"/>
              </w:rPr>
              <w:t>$0</w:t>
            </w:r>
          </w:p>
        </w:tc>
        <w:tc>
          <w:tcPr>
            <w:tcW w:type="dxa" w:w="1152"/>
          </w:tcPr>
          <w:p>
            <w:pPr>
              <w:spacing w:after="40"/>
            </w:pPr>
            <w:r/>
            <w:r>
              <w:rPr>
                <w:b w:val="0"/>
                <w:sz w:val="20"/>
              </w:rPr>
              <w:t>$5,500</w:t>
            </w:r>
          </w:p>
        </w:tc>
        <w:tc>
          <w:tcPr>
            <w:tcW w:type="dxa" w:w="3456"/>
          </w:tcPr>
          <w:p>
            <w:pPr>
              <w:spacing w:after="40"/>
            </w:pPr>
            <w:r/>
            <w:r>
              <w:rPr>
                <w:b w:val="0"/>
                <w:sz w:val="20"/>
              </w:rPr>
              <w:t>$4,000 donated venue counted as in-kind, $1,500 cash rehearsal hall</w:t>
            </w:r>
          </w:p>
        </w:tc>
      </w:tr>
      <w:tr>
        <w:tc>
          <w:tcPr>
            <w:tcW w:type="dxa" w:w="2448"/>
          </w:tcPr>
          <w:p>
            <w:pPr>
              <w:spacing w:after="40"/>
            </w:pPr>
            <w:r/>
            <w:r>
              <w:rPr>
                <w:b w:val="0"/>
                <w:sz w:val="20"/>
              </w:rPr>
              <w:t>Rights, royalties, licensing</w:t>
            </w:r>
          </w:p>
        </w:tc>
        <w:tc>
          <w:tcPr>
            <w:tcW w:type="dxa" w:w="1080"/>
          </w:tcPr>
          <w:p>
            <w:pPr>
              <w:spacing w:after="40"/>
            </w:pPr>
            <w:r/>
            <w:r>
              <w:rPr>
                <w:b w:val="0"/>
                <w:sz w:val="20"/>
              </w:rPr>
              <w:t>$2,500</w:t>
            </w:r>
          </w:p>
        </w:tc>
        <w:tc>
          <w:tcPr>
            <w:tcW w:type="dxa" w:w="1080"/>
          </w:tcPr>
          <w:p>
            <w:pPr>
              <w:spacing w:after="40"/>
            </w:pPr>
            <w:r/>
            <w:r>
              <w:rPr>
                <w:b w:val="0"/>
                <w:sz w:val="20"/>
              </w:rPr>
              <w:t>$1,500</w:t>
            </w:r>
          </w:p>
        </w:tc>
        <w:tc>
          <w:tcPr>
            <w:tcW w:type="dxa" w:w="1152"/>
          </w:tcPr>
          <w:p>
            <w:pPr>
              <w:spacing w:after="40"/>
            </w:pPr>
            <w:r/>
            <w:r>
              <w:rPr>
                <w:b w:val="0"/>
                <w:sz w:val="20"/>
              </w:rPr>
              <w:t>$1,000</w:t>
            </w:r>
          </w:p>
        </w:tc>
        <w:tc>
          <w:tcPr>
            <w:tcW w:type="dxa" w:w="3456"/>
          </w:tcPr>
          <w:p>
            <w:pPr>
              <w:spacing w:after="40"/>
            </w:pPr>
            <w:r/>
            <w:r>
              <w:rPr>
                <w:b w:val="0"/>
                <w:sz w:val="20"/>
              </w:rPr>
              <w:t>Performance license $1,800 for 10 performances, music rights $700</w:t>
            </w:r>
          </w:p>
        </w:tc>
      </w:tr>
      <w:tr>
        <w:tc>
          <w:tcPr>
            <w:tcW w:type="dxa" w:w="2448"/>
          </w:tcPr>
          <w:p>
            <w:pPr>
              <w:spacing w:after="40"/>
            </w:pPr>
            <w:r/>
            <w:r>
              <w:rPr>
                <w:b w:val="0"/>
                <w:sz w:val="20"/>
              </w:rPr>
              <w:t>Sets, costumes, props, lighting</w:t>
            </w:r>
          </w:p>
        </w:tc>
        <w:tc>
          <w:tcPr>
            <w:tcW w:type="dxa" w:w="1080"/>
          </w:tcPr>
          <w:p>
            <w:pPr>
              <w:spacing w:after="40"/>
            </w:pPr>
            <w:r/>
            <w:r>
              <w:rPr>
                <w:b w:val="0"/>
                <w:sz w:val="20"/>
              </w:rPr>
              <w:t>$4,000</w:t>
            </w:r>
          </w:p>
        </w:tc>
        <w:tc>
          <w:tcPr>
            <w:tcW w:type="dxa" w:w="1080"/>
          </w:tcPr>
          <w:p>
            <w:pPr>
              <w:spacing w:after="40"/>
            </w:pPr>
            <w:r/>
            <w:r>
              <w:rPr>
                <w:b w:val="0"/>
                <w:sz w:val="20"/>
              </w:rPr>
              <w:t>$2,000</w:t>
            </w:r>
          </w:p>
        </w:tc>
        <w:tc>
          <w:tcPr>
            <w:tcW w:type="dxa" w:w="1152"/>
          </w:tcPr>
          <w:p>
            <w:pPr>
              <w:spacing w:after="40"/>
            </w:pPr>
            <w:r/>
            <w:r>
              <w:rPr>
                <w:b w:val="0"/>
                <w:sz w:val="20"/>
              </w:rPr>
              <w:t>$2,000</w:t>
            </w:r>
          </w:p>
        </w:tc>
        <w:tc>
          <w:tcPr>
            <w:tcW w:type="dxa" w:w="3456"/>
          </w:tcPr>
          <w:p>
            <w:pPr>
              <w:spacing w:after="40"/>
            </w:pPr>
            <w:r/>
            <w:r>
              <w:rPr>
                <w:b w:val="0"/>
                <w:sz w:val="20"/>
              </w:rPr>
              <w:t>Scenic materials $1,400, costumes $1,000, props $500, rentals $1,100</w:t>
            </w:r>
          </w:p>
        </w:tc>
      </w:tr>
      <w:tr>
        <w:tc>
          <w:tcPr>
            <w:tcW w:type="dxa" w:w="2448"/>
          </w:tcPr>
          <w:p>
            <w:pPr>
              <w:spacing w:after="40"/>
            </w:pPr>
            <w:r/>
            <w:r>
              <w:rPr>
                <w:b w:val="0"/>
                <w:sz w:val="20"/>
              </w:rPr>
              <w:t>Access services</w:t>
            </w:r>
          </w:p>
        </w:tc>
        <w:tc>
          <w:tcPr>
            <w:tcW w:type="dxa" w:w="1080"/>
          </w:tcPr>
          <w:p>
            <w:pPr>
              <w:spacing w:after="40"/>
            </w:pPr>
            <w:r/>
            <w:r>
              <w:rPr>
                <w:b w:val="0"/>
                <w:sz w:val="20"/>
              </w:rPr>
              <w:t>$4,000</w:t>
            </w:r>
          </w:p>
        </w:tc>
        <w:tc>
          <w:tcPr>
            <w:tcW w:type="dxa" w:w="1080"/>
          </w:tcPr>
          <w:p>
            <w:pPr>
              <w:spacing w:after="40"/>
            </w:pPr>
            <w:r/>
            <w:r>
              <w:rPr>
                <w:b w:val="0"/>
                <w:sz w:val="20"/>
              </w:rPr>
              <w:t>$3,000</w:t>
            </w:r>
          </w:p>
        </w:tc>
        <w:tc>
          <w:tcPr>
            <w:tcW w:type="dxa" w:w="1152"/>
          </w:tcPr>
          <w:p>
            <w:pPr>
              <w:spacing w:after="40"/>
            </w:pPr>
            <w:r/>
            <w:r>
              <w:rPr>
                <w:b w:val="0"/>
                <w:sz w:val="20"/>
              </w:rPr>
              <w:t>$1,000</w:t>
            </w:r>
          </w:p>
        </w:tc>
        <w:tc>
          <w:tcPr>
            <w:tcW w:type="dxa" w:w="3456"/>
          </w:tcPr>
          <w:p>
            <w:pPr>
              <w:spacing w:after="40"/>
            </w:pPr>
            <w:r/>
            <w:r>
              <w:rPr>
                <w:b w:val="0"/>
                <w:sz w:val="20"/>
              </w:rPr>
              <w:t>Itemized in the access services table</w:t>
            </w:r>
          </w:p>
        </w:tc>
      </w:tr>
      <w:tr>
        <w:tc>
          <w:tcPr>
            <w:tcW w:type="dxa" w:w="2448"/>
          </w:tcPr>
          <w:p>
            <w:pPr>
              <w:spacing w:after="40"/>
            </w:pPr>
            <w:r/>
            <w:r>
              <w:rPr>
                <w:b w:val="0"/>
                <w:sz w:val="20"/>
              </w:rPr>
              <w:t>Marketing and audience development</w:t>
            </w:r>
          </w:p>
        </w:tc>
        <w:tc>
          <w:tcPr>
            <w:tcW w:type="dxa" w:w="1080"/>
          </w:tcPr>
          <w:p>
            <w:pPr>
              <w:spacing w:after="40"/>
            </w:pPr>
            <w:r/>
            <w:r>
              <w:rPr>
                <w:b w:val="0"/>
                <w:sz w:val="20"/>
              </w:rPr>
              <w:t>$3,500</w:t>
            </w:r>
          </w:p>
        </w:tc>
        <w:tc>
          <w:tcPr>
            <w:tcW w:type="dxa" w:w="1080"/>
          </w:tcPr>
          <w:p>
            <w:pPr>
              <w:spacing w:after="40"/>
            </w:pPr>
            <w:r/>
            <w:r>
              <w:rPr>
                <w:b w:val="0"/>
                <w:sz w:val="20"/>
              </w:rPr>
              <w:t>$1,000</w:t>
            </w:r>
          </w:p>
        </w:tc>
        <w:tc>
          <w:tcPr>
            <w:tcW w:type="dxa" w:w="1152"/>
          </w:tcPr>
          <w:p>
            <w:pPr>
              <w:spacing w:after="40"/>
            </w:pPr>
            <w:r/>
            <w:r>
              <w:rPr>
                <w:b w:val="0"/>
                <w:sz w:val="20"/>
              </w:rPr>
              <w:t>$2,500</w:t>
            </w:r>
          </w:p>
        </w:tc>
        <w:tc>
          <w:tcPr>
            <w:tcW w:type="dxa" w:w="3456"/>
          </w:tcPr>
          <w:p>
            <w:pPr>
              <w:spacing w:after="40"/>
            </w:pPr>
            <w:r/>
            <w:r>
              <w:rPr>
                <w:b w:val="0"/>
                <w:sz w:val="20"/>
              </w:rPr>
              <w:t>Print $900, targeted digital $1,200, partner outreach $800, accessible formats $600</w:t>
            </w:r>
          </w:p>
        </w:tc>
      </w:tr>
      <w:tr>
        <w:tc>
          <w:tcPr>
            <w:tcW w:type="dxa" w:w="2448"/>
          </w:tcPr>
          <w:p>
            <w:pPr>
              <w:spacing w:after="40"/>
            </w:pPr>
            <w:r/>
            <w:r>
              <w:rPr>
                <w:b w:val="0"/>
                <w:sz w:val="20"/>
              </w:rPr>
              <w:t>Archival documentation</w:t>
            </w:r>
          </w:p>
        </w:tc>
        <w:tc>
          <w:tcPr>
            <w:tcW w:type="dxa" w:w="1080"/>
          </w:tcPr>
          <w:p>
            <w:pPr>
              <w:spacing w:after="40"/>
            </w:pPr>
            <w:r/>
            <w:r>
              <w:rPr>
                <w:b w:val="0"/>
                <w:sz w:val="20"/>
              </w:rPr>
              <w:t>$1,500</w:t>
            </w:r>
          </w:p>
        </w:tc>
        <w:tc>
          <w:tcPr>
            <w:tcW w:type="dxa" w:w="1080"/>
          </w:tcPr>
          <w:p>
            <w:pPr>
              <w:spacing w:after="40"/>
            </w:pPr>
            <w:r/>
            <w:r>
              <w:rPr>
                <w:b w:val="0"/>
                <w:sz w:val="20"/>
              </w:rPr>
              <w:t>$500</w:t>
            </w:r>
          </w:p>
        </w:tc>
        <w:tc>
          <w:tcPr>
            <w:tcW w:type="dxa" w:w="1152"/>
          </w:tcPr>
          <w:p>
            <w:pPr>
              <w:spacing w:after="40"/>
            </w:pPr>
            <w:r/>
            <w:r>
              <w:rPr>
                <w:b w:val="0"/>
                <w:sz w:val="20"/>
              </w:rPr>
              <w:t>$1,000</w:t>
            </w:r>
          </w:p>
        </w:tc>
        <w:tc>
          <w:tcPr>
            <w:tcW w:type="dxa" w:w="3456"/>
          </w:tcPr>
          <w:p>
            <w:pPr>
              <w:spacing w:after="40"/>
            </w:pPr>
            <w:r/>
            <w:r>
              <w:rPr>
                <w:b w:val="0"/>
                <w:sz w:val="20"/>
              </w:rPr>
              <w:t>Photographer $700, videographer $800, two performances</w:t>
            </w:r>
          </w:p>
        </w:tc>
      </w:tr>
      <w:tr>
        <w:tc>
          <w:tcPr>
            <w:tcW w:type="dxa" w:w="2448"/>
          </w:tcPr>
          <w:p>
            <w:pPr>
              <w:spacing w:after="40"/>
            </w:pPr>
            <w:r/>
            <w:r>
              <w:rPr>
                <w:b w:val="0"/>
                <w:sz w:val="20"/>
              </w:rPr>
              <w:t>Evaluation</w:t>
            </w:r>
          </w:p>
        </w:tc>
        <w:tc>
          <w:tcPr>
            <w:tcW w:type="dxa" w:w="1080"/>
          </w:tcPr>
          <w:p>
            <w:pPr>
              <w:spacing w:after="40"/>
            </w:pPr>
            <w:r/>
            <w:r>
              <w:rPr>
                <w:b w:val="0"/>
                <w:sz w:val="20"/>
              </w:rPr>
              <w:t>$1,500</w:t>
            </w:r>
          </w:p>
        </w:tc>
        <w:tc>
          <w:tcPr>
            <w:tcW w:type="dxa" w:w="1080"/>
          </w:tcPr>
          <w:p>
            <w:pPr>
              <w:spacing w:after="40"/>
            </w:pPr>
            <w:r/>
            <w:r>
              <w:rPr>
                <w:b w:val="0"/>
                <w:sz w:val="20"/>
              </w:rPr>
              <w:t>$1,000</w:t>
            </w:r>
          </w:p>
        </w:tc>
        <w:tc>
          <w:tcPr>
            <w:tcW w:type="dxa" w:w="1152"/>
          </w:tcPr>
          <w:p>
            <w:pPr>
              <w:spacing w:after="40"/>
            </w:pPr>
            <w:r/>
            <w:r>
              <w:rPr>
                <w:b w:val="0"/>
                <w:sz w:val="20"/>
              </w:rPr>
              <w:t>$500</w:t>
            </w:r>
          </w:p>
        </w:tc>
        <w:tc>
          <w:tcPr>
            <w:tcW w:type="dxa" w:w="3456"/>
          </w:tcPr>
          <w:p>
            <w:pPr>
              <w:spacing w:after="40"/>
            </w:pPr>
            <w:r/>
            <w:r>
              <w:rPr>
                <w:b w:val="0"/>
                <w:sz w:val="20"/>
              </w:rPr>
              <w:t>Survey administration $600, analysis contractor $700, printing $200</w:t>
            </w:r>
          </w:p>
        </w:tc>
      </w:tr>
      <w:tr>
        <w:tc>
          <w:tcPr>
            <w:tcW w:type="dxa" w:w="2448"/>
          </w:tcPr>
          <w:p>
            <w:pPr>
              <w:spacing w:after="40"/>
            </w:pPr>
            <w:r/>
            <w:r>
              <w:rPr>
                <w:b w:val="0"/>
                <w:sz w:val="20"/>
              </w:rPr>
              <w:t>Project coordination</w:t>
            </w:r>
          </w:p>
        </w:tc>
        <w:tc>
          <w:tcPr>
            <w:tcW w:type="dxa" w:w="1080"/>
          </w:tcPr>
          <w:p>
            <w:pPr>
              <w:spacing w:after="40"/>
            </w:pPr>
            <w:r/>
            <w:r>
              <w:rPr>
                <w:b w:val="0"/>
                <w:sz w:val="20"/>
              </w:rPr>
              <w:t>$5,000</w:t>
            </w:r>
          </w:p>
        </w:tc>
        <w:tc>
          <w:tcPr>
            <w:tcW w:type="dxa" w:w="1080"/>
          </w:tcPr>
          <w:p>
            <w:pPr>
              <w:spacing w:after="40"/>
            </w:pPr>
            <w:r/>
            <w:r>
              <w:rPr>
                <w:b w:val="0"/>
                <w:sz w:val="20"/>
              </w:rPr>
              <w:t>$0</w:t>
            </w:r>
          </w:p>
        </w:tc>
        <w:tc>
          <w:tcPr>
            <w:tcW w:type="dxa" w:w="1152"/>
          </w:tcPr>
          <w:p>
            <w:pPr>
              <w:spacing w:after="40"/>
            </w:pPr>
            <w:r/>
            <w:r>
              <w:rPr>
                <w:b w:val="0"/>
                <w:sz w:val="20"/>
              </w:rPr>
              <w:t>$5,000</w:t>
            </w:r>
          </w:p>
        </w:tc>
        <w:tc>
          <w:tcPr>
            <w:tcW w:type="dxa" w:w="3456"/>
          </w:tcPr>
          <w:p>
            <w:pPr>
              <w:spacing w:after="40"/>
            </w:pPr>
            <w:r/>
            <w:r>
              <w:rPr>
                <w:b w:val="0"/>
                <w:sz w:val="20"/>
              </w:rPr>
              <w:t>0.15 FTE over 9 months on a $45,000 annualized salary basis</w:t>
            </w:r>
          </w:p>
        </w:tc>
      </w:tr>
      <w:tr>
        <w:tc>
          <w:tcPr>
            <w:tcW w:type="dxa" w:w="2448"/>
          </w:tcPr>
          <w:p>
            <w:pPr>
              <w:spacing w:after="40"/>
            </w:pPr>
            <w:r/>
            <w:r>
              <w:rPr>
                <w:b/>
                <w:sz w:val="20"/>
              </w:rPr>
              <w:t>Total project expenses</w:t>
            </w:r>
          </w:p>
        </w:tc>
        <w:tc>
          <w:tcPr>
            <w:tcW w:type="dxa" w:w="1080"/>
          </w:tcPr>
          <w:p>
            <w:pPr>
              <w:spacing w:after="40"/>
            </w:pPr>
            <w:r/>
            <w:r>
              <w:rPr>
                <w:b/>
                <w:sz w:val="20"/>
              </w:rPr>
              <w:t>$60,000</w:t>
            </w:r>
          </w:p>
        </w:tc>
        <w:tc>
          <w:tcPr>
            <w:tcW w:type="dxa" w:w="1080"/>
          </w:tcPr>
          <w:p>
            <w:pPr>
              <w:spacing w:after="40"/>
            </w:pPr>
            <w:r/>
            <w:r>
              <w:rPr>
                <w:b/>
                <w:sz w:val="20"/>
              </w:rPr>
              <w:t>$30,000</w:t>
            </w:r>
          </w:p>
        </w:tc>
        <w:tc>
          <w:tcPr>
            <w:tcW w:type="dxa" w:w="1152"/>
          </w:tcPr>
          <w:p>
            <w:pPr>
              <w:spacing w:after="40"/>
            </w:pPr>
            <w:r/>
            <w:r>
              <w:rPr>
                <w:b/>
                <w:sz w:val="20"/>
              </w:rPr>
              <w:t>$30,000</w:t>
            </w:r>
          </w:p>
        </w:tc>
        <w:tc>
          <w:tcPr>
            <w:tcW w:type="dxa" w:w="3456"/>
          </w:tcPr>
          <w:p>
            <w:pPr>
              <w:spacing w:after="40"/>
            </w:pPr>
            <w:r/>
            <w:r>
              <w:rPr>
                <w:b/>
                <w:sz w:val="20"/>
              </w:rPr>
              <w:t>Request is 50 percent of total project cost</w:t>
            </w:r>
          </w:p>
        </w:tc>
      </w:tr>
    </w:tbl>
    <w:p>
      <w:pPr>
        <w:spacing w:after="40"/>
      </w:pPr>
    </w:p>
    <w:p>
      <w:r>
        <w:rPr>
          <w:b w:val="0"/>
          <w:i w:val="0"/>
        </w:rPr>
        <w:t>Check three things before you submit any version of this table. The request column and the cost share column must add to the total column on every row. The request column total must not exceed half of total project expenses if the funder requires a 1 to 1 match. And in-kind contributions must appear on both sides, as a direct cost and as a cost share source, or the budget will not balance.</w:t>
      </w:r>
    </w:p>
    <w:p>
      <w:pPr>
        <w:pStyle w:val="Heading2"/>
      </w:pPr>
      <w:r>
        <w:t>Cost share sources</w:t>
      </w:r>
    </w:p>
    <w:tbl>
      <w:tblPr>
        <w:tblStyle w:val="LightGrid-Accent1"/>
        <w:tblW w:type="auto" w:w="0"/>
        <w:jc w:val="center"/>
        <w:tblLook w:firstColumn="1" w:firstRow="1" w:lastColumn="0" w:lastRow="0" w:noHBand="0" w:noVBand="1" w:val="04A0"/>
      </w:tblPr>
      <w:tblGrid>
        <w:gridCol w:w="2340"/>
        <w:gridCol w:w="2340"/>
        <w:gridCol w:w="2340"/>
        <w:gridCol w:w="2340"/>
      </w:tblGrid>
      <w:tr>
        <w:trPr>
          <w:tblHeader/>
        </w:trPr>
        <w:tc>
          <w:tcPr>
            <w:tcW w:type="dxa" w:w="3456"/>
          </w:tcPr>
          <w:p>
            <w:pPr>
              <w:spacing w:after="40"/>
            </w:pPr>
            <w:r/>
            <w:r>
              <w:rPr>
                <w:b/>
                <w:sz w:val="20"/>
              </w:rPr>
              <w:t>Source</w:t>
            </w:r>
          </w:p>
        </w:tc>
        <w:tc>
          <w:tcPr>
            <w:tcW w:type="dxa" w:w="1296"/>
          </w:tcPr>
          <w:p>
            <w:pPr>
              <w:spacing w:after="40"/>
            </w:pPr>
            <w:r/>
            <w:r>
              <w:rPr>
                <w:b/>
                <w:sz w:val="20"/>
              </w:rPr>
              <w:t>Amount</w:t>
            </w:r>
          </w:p>
        </w:tc>
        <w:tc>
          <w:tcPr>
            <w:tcW w:type="dxa" w:w="2304"/>
          </w:tcPr>
          <w:p>
            <w:pPr>
              <w:spacing w:after="40"/>
            </w:pPr>
            <w:r/>
            <w:r>
              <w:rPr>
                <w:b/>
                <w:sz w:val="20"/>
              </w:rPr>
              <w:t>Status</w:t>
            </w:r>
          </w:p>
        </w:tc>
        <w:tc>
          <w:tcPr>
            <w:tcW w:type="dxa" w:w="2160"/>
          </w:tcPr>
          <w:p>
            <w:pPr>
              <w:spacing w:after="40"/>
            </w:pPr>
            <w:r/>
            <w:r>
              <w:rPr>
                <w:b/>
                <w:sz w:val="20"/>
              </w:rPr>
              <w:t>Evidence attached</w:t>
            </w:r>
          </w:p>
        </w:tc>
      </w:tr>
      <w:tr>
        <w:tc>
          <w:tcPr>
            <w:tcW w:type="dxa" w:w="3456"/>
          </w:tcPr>
          <w:p>
            <w:pPr>
              <w:spacing w:after="40"/>
            </w:pPr>
            <w:r/>
            <w:r>
              <w:rPr>
                <w:b w:val="0"/>
                <w:sz w:val="20"/>
              </w:rPr>
              <w:t>Individual gifts and board giving</w:t>
            </w:r>
          </w:p>
        </w:tc>
        <w:tc>
          <w:tcPr>
            <w:tcW w:type="dxa" w:w="1296"/>
          </w:tcPr>
          <w:p>
            <w:pPr>
              <w:spacing w:after="40"/>
            </w:pPr>
            <w:r/>
            <w:r>
              <w:rPr>
                <w:b w:val="0"/>
                <w:sz w:val="20"/>
              </w:rPr>
              <w:t>$9,000</w:t>
            </w:r>
          </w:p>
        </w:tc>
        <w:tc>
          <w:tcPr>
            <w:tcW w:type="dxa" w:w="2304"/>
          </w:tcPr>
          <w:p>
            <w:pPr>
              <w:spacing w:after="40"/>
            </w:pPr>
            <w:r/>
            <w:r>
              <w:rPr>
                <w:b w:val="0"/>
                <w:sz w:val="20"/>
              </w:rPr>
              <w:t>Committed</w:t>
            </w:r>
          </w:p>
        </w:tc>
        <w:tc>
          <w:tcPr>
            <w:tcW w:type="dxa" w:w="2160"/>
          </w:tcPr>
          <w:p>
            <w:pPr>
              <w:spacing w:after="40"/>
            </w:pPr>
            <w:r/>
            <w:r>
              <w:rPr>
                <w:b w:val="0"/>
                <w:sz w:val="20"/>
              </w:rPr>
              <w:t>Board resolution and prior-year giving record</w:t>
            </w:r>
          </w:p>
        </w:tc>
      </w:tr>
      <w:tr>
        <w:tc>
          <w:tcPr>
            <w:tcW w:type="dxa" w:w="3456"/>
          </w:tcPr>
          <w:p>
            <w:pPr>
              <w:spacing w:after="40"/>
            </w:pPr>
            <w:r/>
            <w:r>
              <w:rPr>
                <w:b w:val="0"/>
                <w:sz w:val="20"/>
              </w:rPr>
              <w:t>Earned revenue, ticket sales and pay-what-you-wish</w:t>
            </w:r>
          </w:p>
        </w:tc>
        <w:tc>
          <w:tcPr>
            <w:tcW w:type="dxa" w:w="1296"/>
          </w:tcPr>
          <w:p>
            <w:pPr>
              <w:spacing w:after="40"/>
            </w:pPr>
            <w:r/>
            <w:r>
              <w:rPr>
                <w:b w:val="0"/>
                <w:sz w:val="20"/>
              </w:rPr>
              <w:t>$8,500</w:t>
            </w:r>
          </w:p>
        </w:tc>
        <w:tc>
          <w:tcPr>
            <w:tcW w:type="dxa" w:w="2304"/>
          </w:tcPr>
          <w:p>
            <w:pPr>
              <w:spacing w:after="40"/>
            </w:pPr>
            <w:r/>
            <w:r>
              <w:rPr>
                <w:b w:val="0"/>
                <w:sz w:val="20"/>
              </w:rPr>
              <w:t>Projected</w:t>
            </w:r>
          </w:p>
        </w:tc>
        <w:tc>
          <w:tcPr>
            <w:tcW w:type="dxa" w:w="2160"/>
          </w:tcPr>
          <w:p>
            <w:pPr>
              <w:spacing w:after="40"/>
            </w:pPr>
            <w:r/>
            <w:r>
              <w:rPr>
                <w:b w:val="0"/>
                <w:sz w:val="20"/>
              </w:rPr>
              <w:t>Box office projection shown below</w:t>
            </w:r>
          </w:p>
        </w:tc>
      </w:tr>
      <w:tr>
        <w:tc>
          <w:tcPr>
            <w:tcW w:type="dxa" w:w="3456"/>
          </w:tcPr>
          <w:p>
            <w:pPr>
              <w:spacing w:after="40"/>
            </w:pPr>
            <w:r/>
            <w:r>
              <w:rPr>
                <w:b w:val="0"/>
                <w:sz w:val="20"/>
              </w:rPr>
              <w:t>In-kind donated venue</w:t>
            </w:r>
          </w:p>
        </w:tc>
        <w:tc>
          <w:tcPr>
            <w:tcW w:type="dxa" w:w="1296"/>
          </w:tcPr>
          <w:p>
            <w:pPr>
              <w:spacing w:after="40"/>
            </w:pPr>
            <w:r/>
            <w:r>
              <w:rPr>
                <w:b w:val="0"/>
                <w:sz w:val="20"/>
              </w:rPr>
              <w:t>$4,000</w:t>
            </w:r>
          </w:p>
        </w:tc>
        <w:tc>
          <w:tcPr>
            <w:tcW w:type="dxa" w:w="2304"/>
          </w:tcPr>
          <w:p>
            <w:pPr>
              <w:spacing w:after="40"/>
            </w:pPr>
            <w:r/>
            <w:r>
              <w:rPr>
                <w:b w:val="0"/>
                <w:sz w:val="20"/>
              </w:rPr>
              <w:t>Committed</w:t>
            </w:r>
          </w:p>
        </w:tc>
        <w:tc>
          <w:tcPr>
            <w:tcW w:type="dxa" w:w="2160"/>
          </w:tcPr>
          <w:p>
            <w:pPr>
              <w:spacing w:after="40"/>
            </w:pPr>
            <w:r/>
            <w:r>
              <w:rPr>
                <w:b w:val="0"/>
                <w:sz w:val="20"/>
              </w:rPr>
              <w:t>Letter from the venue stating the documented rental rate</w:t>
            </w:r>
          </w:p>
        </w:tc>
      </w:tr>
      <w:tr>
        <w:tc>
          <w:tcPr>
            <w:tcW w:type="dxa" w:w="3456"/>
          </w:tcPr>
          <w:p>
            <w:pPr>
              <w:spacing w:after="40"/>
            </w:pPr>
            <w:r/>
            <w:r>
              <w:rPr>
                <w:b w:val="0"/>
                <w:sz w:val="20"/>
              </w:rPr>
              <w:t>Local arts agency operating support, nonfederal funds</w:t>
            </w:r>
          </w:p>
        </w:tc>
        <w:tc>
          <w:tcPr>
            <w:tcW w:type="dxa" w:w="1296"/>
          </w:tcPr>
          <w:p>
            <w:pPr>
              <w:spacing w:after="40"/>
            </w:pPr>
            <w:r/>
            <w:r>
              <w:rPr>
                <w:b w:val="0"/>
                <w:sz w:val="20"/>
              </w:rPr>
              <w:t>$5,000</w:t>
            </w:r>
          </w:p>
        </w:tc>
        <w:tc>
          <w:tcPr>
            <w:tcW w:type="dxa" w:w="2304"/>
          </w:tcPr>
          <w:p>
            <w:pPr>
              <w:spacing w:after="40"/>
            </w:pPr>
            <w:r/>
            <w:r>
              <w:rPr>
                <w:b w:val="0"/>
                <w:sz w:val="20"/>
              </w:rPr>
              <w:t>Pending, decision in month 2</w:t>
            </w:r>
          </w:p>
        </w:tc>
        <w:tc>
          <w:tcPr>
            <w:tcW w:type="dxa" w:w="2160"/>
          </w:tcPr>
          <w:p>
            <w:pPr>
              <w:spacing w:after="40"/>
            </w:pPr>
            <w:r/>
            <w:r>
              <w:rPr>
                <w:b w:val="0"/>
                <w:sz w:val="20"/>
              </w:rPr>
              <w:t>Prior award letter, current application on file</w:t>
            </w:r>
          </w:p>
        </w:tc>
      </w:tr>
      <w:tr>
        <w:tc>
          <w:tcPr>
            <w:tcW w:type="dxa" w:w="3456"/>
          </w:tcPr>
          <w:p>
            <w:pPr>
              <w:spacing w:after="40"/>
            </w:pPr>
            <w:r/>
            <w:r>
              <w:rPr>
                <w:b w:val="0"/>
                <w:sz w:val="20"/>
              </w:rPr>
              <w:t>Business sponsorship</w:t>
            </w:r>
          </w:p>
        </w:tc>
        <w:tc>
          <w:tcPr>
            <w:tcW w:type="dxa" w:w="1296"/>
          </w:tcPr>
          <w:p>
            <w:pPr>
              <w:spacing w:after="40"/>
            </w:pPr>
            <w:r/>
            <w:r>
              <w:rPr>
                <w:b w:val="0"/>
                <w:sz w:val="20"/>
              </w:rPr>
              <w:t>$2,000</w:t>
            </w:r>
          </w:p>
        </w:tc>
        <w:tc>
          <w:tcPr>
            <w:tcW w:type="dxa" w:w="2304"/>
          </w:tcPr>
          <w:p>
            <w:pPr>
              <w:spacing w:after="40"/>
            </w:pPr>
            <w:r/>
            <w:r>
              <w:rPr>
                <w:b w:val="0"/>
                <w:sz w:val="20"/>
              </w:rPr>
              <w:t>Committed</w:t>
            </w:r>
          </w:p>
        </w:tc>
        <w:tc>
          <w:tcPr>
            <w:tcW w:type="dxa" w:w="2160"/>
          </w:tcPr>
          <w:p>
            <w:pPr>
              <w:spacing w:after="40"/>
            </w:pPr>
            <w:r/>
            <w:r>
              <w:rPr>
                <w:b w:val="0"/>
                <w:sz w:val="20"/>
              </w:rPr>
              <w:t>Signed sponsorship agreement</w:t>
            </w:r>
          </w:p>
        </w:tc>
      </w:tr>
      <w:tr>
        <w:tc>
          <w:tcPr>
            <w:tcW w:type="dxa" w:w="3456"/>
          </w:tcPr>
          <w:p>
            <w:pPr>
              <w:spacing w:after="40"/>
            </w:pPr>
            <w:r/>
            <w:r>
              <w:rPr>
                <w:b w:val="0"/>
                <w:sz w:val="20"/>
              </w:rPr>
              <w:t>District residency fee-for-service contract</w:t>
            </w:r>
          </w:p>
        </w:tc>
        <w:tc>
          <w:tcPr>
            <w:tcW w:type="dxa" w:w="1296"/>
          </w:tcPr>
          <w:p>
            <w:pPr>
              <w:spacing w:after="40"/>
            </w:pPr>
            <w:r/>
            <w:r>
              <w:rPr>
                <w:b w:val="0"/>
                <w:sz w:val="20"/>
              </w:rPr>
              <w:t>$1,500</w:t>
            </w:r>
          </w:p>
        </w:tc>
        <w:tc>
          <w:tcPr>
            <w:tcW w:type="dxa" w:w="2304"/>
          </w:tcPr>
          <w:p>
            <w:pPr>
              <w:spacing w:after="40"/>
            </w:pPr>
            <w:r/>
            <w:r>
              <w:rPr>
                <w:b w:val="0"/>
                <w:sz w:val="20"/>
              </w:rPr>
              <w:t>Committed</w:t>
            </w:r>
          </w:p>
        </w:tc>
        <w:tc>
          <w:tcPr>
            <w:tcW w:type="dxa" w:w="2160"/>
          </w:tcPr>
          <w:p>
            <w:pPr>
              <w:spacing w:after="40"/>
            </w:pPr>
            <w:r/>
            <w:r>
              <w:rPr>
                <w:b w:val="0"/>
                <w:sz w:val="20"/>
              </w:rPr>
              <w:t>District partnership letter</w:t>
            </w:r>
          </w:p>
        </w:tc>
      </w:tr>
      <w:tr>
        <w:tc>
          <w:tcPr>
            <w:tcW w:type="dxa" w:w="3456"/>
          </w:tcPr>
          <w:p>
            <w:pPr>
              <w:spacing w:after="40"/>
            </w:pPr>
            <w:r/>
            <w:r>
              <w:rPr>
                <w:b/>
                <w:sz w:val="20"/>
              </w:rPr>
              <w:t>Total cost share</w:t>
            </w:r>
          </w:p>
        </w:tc>
        <w:tc>
          <w:tcPr>
            <w:tcW w:type="dxa" w:w="1296"/>
          </w:tcPr>
          <w:p>
            <w:pPr>
              <w:spacing w:after="40"/>
            </w:pPr>
            <w:r/>
            <w:r>
              <w:rPr>
                <w:b/>
                <w:sz w:val="20"/>
              </w:rPr>
              <w:t>$30,000</w:t>
            </w:r>
          </w:p>
        </w:tc>
        <w:tc>
          <w:tcPr>
            <w:tcW w:type="dxa" w:w="2304"/>
          </w:tcPr>
          <w:p>
            <w:pPr>
              <w:spacing w:after="40"/>
            </w:pPr>
            <w:r/>
            <w:r>
              <w:rPr>
                <w:b/>
                <w:sz w:val="20"/>
              </w:rPr>
            </w:r>
          </w:p>
        </w:tc>
        <w:tc>
          <w:tcPr>
            <w:tcW w:type="dxa" w:w="2160"/>
          </w:tcPr>
          <w:p>
            <w:pPr>
              <w:spacing w:after="40"/>
            </w:pPr>
            <w:r/>
            <w:r>
              <w:rPr>
                <w:b/>
                <w:sz w:val="20"/>
              </w:rPr>
            </w:r>
          </w:p>
        </w:tc>
      </w:tr>
    </w:tbl>
    <w:p>
      <w:pPr>
        <w:spacing w:after="40"/>
      </w:pPr>
    </w:p>
    <w:p>
      <w:r>
        <w:rPr>
          <w:b w:val="0"/>
          <w:i w:val="0"/>
        </w:rPr>
        <w:t>Cost share funds do not have to be secured on the day you apply. Mark the committed sources and label the rest as pending, with a decision date. A panel reads an honest pending line as normal and an unmarked optimistic line as a risk.</w:t>
      </w:r>
    </w:p>
    <w:p>
      <w:pPr>
        <w:pStyle w:val="IntenseQuote"/>
      </w:pPr>
      <w:r>
        <w:t>No federal funds appear in this cost share. The NEA Project Budget Form states that federal funds subgranted from a state arts agency, regional arts organization, or local arts agency cannot be used as match (National Endowment for the Arts, Project Budget Form, arts.gov, retrieved September 2026). A local arts agency award counts only if its funds are nonfederal. Ask the agency in writing which they are, and keep the answer.</w:t>
      </w:r>
    </w:p>
    <w:p>
      <w:pPr>
        <w:pStyle w:val="Heading2"/>
      </w:pPr>
      <w:r>
        <w:t>Budget narrative</w:t>
      </w:r>
    </w:p>
    <w:p>
      <w:pPr>
        <w:pStyle w:val="Heading3"/>
      </w:pPr>
      <w:r>
        <w:t>Artist fees and honoraria, $19,000</w:t>
      </w:r>
    </w:p>
    <w:p>
      <w:r>
        <w:rPr>
          <w:b w:val="0"/>
          <w:i w:val="0"/>
        </w:rPr>
        <w:t>Six performers at $1,800 each for a rehearsal period and ten performances, $10,800. Director at $2,600 for a ten-week engagement. Scenic and costume designer at $1,600, lighting designer at $1,400, composer and sound designer at $1,300 for an original score performed live. Swing performer and post-show facilitator at $650 each. Rates are set by contract and stated here so a panel can see them, which is the point. State the standard you follow if you follow one, and if you do not follow a published standard, say what your rates are based on.</w:t>
      </w:r>
    </w:p>
    <w:p>
      <w:pPr>
        <w:pStyle w:val="Heading3"/>
      </w:pPr>
      <w:r>
        <w:t>Teaching artist fees, $7,500</w:t>
      </w:r>
    </w:p>
    <w:p>
      <w:r>
        <w:rPr>
          <w:b w:val="0"/>
          <w:i w:val="0"/>
        </w:rPr>
        <w:t>Sixty sessions at $125 per session across three teaching artists. The per-session rate covers planning, travel, and materials handling, which keeps the arithmetic legible and avoids a separate travel line for local work. If your district pays outside providers at a published rate, cite it here, because it makes the year-two fee-for-service conversion credible.</w:t>
      </w:r>
    </w:p>
    <w:p>
      <w:pPr>
        <w:pStyle w:val="Heading3"/>
      </w:pPr>
      <w:r>
        <w:t>Production personnel, $6,000</w:t>
      </w:r>
    </w:p>
    <w:p>
      <w:r>
        <w:rPr>
          <w:b w:val="0"/>
          <w:i w:val="0"/>
        </w:rPr>
        <w:t>Stage manager at $3,500 across a ten-week engagement and technical director at $2,500. These are production roles rather than artist fees and are budgeted separately, which is what lets the proposal state artist compensation as a clean figure.</w:t>
      </w:r>
    </w:p>
    <w:p>
      <w:pPr>
        <w:pStyle w:val="Heading3"/>
      </w:pPr>
      <w:r>
        <w:t>Venue and rehearsal space, $5,500</w:t>
      </w:r>
    </w:p>
    <w:p>
      <w:r>
        <w:rPr>
          <w:b w:val="0"/>
          <w:i w:val="0"/>
        </w:rPr>
        <w:t>The performance venue is donated for eight weeks of rehearsal and ten performance days, valued at $4,000 at the venue's documented published rental rate and supported by a letter. That $4,000 appears here as a direct cost and again in the cost share table, which is how in-kind is handled correctly. Cash rehearsal hall rental of $1,500 covers the weeks the venue is unavailable.</w:t>
      </w:r>
    </w:p>
    <w:p>
      <w:pPr>
        <w:pStyle w:val="Heading3"/>
      </w:pPr>
      <w:r>
        <w:t>Rights, royalties, licensing, $2,500</w:t>
      </w:r>
    </w:p>
    <w:p>
      <w:r>
        <w:rPr>
          <w:b w:val="0"/>
          <w:i w:val="0"/>
        </w:rPr>
        <w:t>Performance license of $1,800 for ten performances through the rights holder, plus $700 for music rights covering the two pre-existing pieces used alongside the commissioned score. Secure the license before you apply where you can, and say in the narrative that you have. A rights line that is still hypothetical at submission is a common reason an arts project slips.</w:t>
      </w:r>
    </w:p>
    <w:p>
      <w:pPr>
        <w:pStyle w:val="Heading3"/>
      </w:pPr>
      <w:r>
        <w:t>Sets, costumes, props, lighting, $4,000</w:t>
      </w:r>
    </w:p>
    <w:p>
      <w:r>
        <w:rPr>
          <w:b w:val="0"/>
          <w:i w:val="0"/>
        </w:rPr>
        <w:t>Scenic materials $1,400, costumes $1,000, props $500, lighting and sound rental $1,100. Materials and rentals only. Anything that would be capital equipment belongs in a different application, and most project support programs exclude it.</w:t>
      </w:r>
    </w:p>
    <w:p>
      <w:pPr>
        <w:pStyle w:val="Heading3"/>
      </w:pPr>
      <w:r>
        <w:t>Access services, $4,000</w:t>
      </w:r>
    </w:p>
    <w:p>
      <w:r>
        <w:rPr>
          <w:b w:val="0"/>
          <w:i w:val="0"/>
        </w:rPr>
        <w:t>Two ASL-interpreted performances with two certified interpreters each at $500 per interpreter per performance, $2,000. Two open-captioned performances at $550 each covering the captioner and display rental, $1,100. One audio-described performance at $600 covering the describer fee, receiver rental, and the pre-show touch tour. Large-print and braille programs, $300. The sensory-friendly performance is staffed by company members already budgeted under production personnel.</w:t>
      </w:r>
    </w:p>
    <w:p>
      <w:r>
        <w:rPr>
          <w:b w:val="0"/>
          <w:i w:val="0"/>
        </w:rPr>
        <w:t>Budget access services from quotes, not from guesses. Interpreter rates vary by region and by whether the assignment includes a run-through, and a proposal that underfunds this line either drops the service later or absorbs the cost somewhere it will hurt.</w:t>
      </w:r>
    </w:p>
    <w:p>
      <w:pPr>
        <w:pStyle w:val="Heading3"/>
      </w:pPr>
      <w:r>
        <w:t>Marketing and audience development, $3,500</w:t>
      </w:r>
    </w:p>
    <w:p>
      <w:r>
        <w:rPr>
          <w:b w:val="0"/>
          <w:i w:val="0"/>
        </w:rPr>
        <w:t>Printed programs and posters $900, targeted digital advertising in the partner ZIP codes $1,200, community partner outreach stipends $800, and accessible-format marketing materials including large print and plain language $600. The digital spend is targeted at the two ZIP codes the box office analysis identified as underrepresented, which ties the marketing line back to the need statement.</w:t>
      </w:r>
    </w:p>
    <w:p>
      <w:pPr>
        <w:pStyle w:val="Heading3"/>
      </w:pPr>
      <w:r>
        <w:t>Archival documentation, $1,500</w:t>
      </w:r>
    </w:p>
    <w:p>
      <w:r>
        <w:rPr>
          <w:b w:val="0"/>
          <w:i w:val="0"/>
        </w:rPr>
        <w:t>Photographer $700 and videographer $800 to capture two performances. This line pays for itself across the next three applications, because it produces the work samples those applications will need. Companies that skip it apply the following year with rehearsal footage shot on a phone.</w:t>
      </w:r>
    </w:p>
    <w:p>
      <w:pPr>
        <w:pStyle w:val="Heading3"/>
      </w:pPr>
      <w:r>
        <w:t>Evaluation, $1,500</w:t>
      </w:r>
    </w:p>
    <w:p>
      <w:r>
        <w:rPr>
          <w:b w:val="0"/>
          <w:i w:val="0"/>
        </w:rPr>
        <w:t>Survey administration and printing $600, analysis contractor $700, and $200 for materials. A modest external analysis line is worth the money because it separates the person running the project from the person reporting on it.</w:t>
      </w:r>
    </w:p>
    <w:p>
      <w:pPr>
        <w:pStyle w:val="Heading3"/>
      </w:pPr>
      <w:r>
        <w:t>Project coordination, $5,000</w:t>
      </w:r>
    </w:p>
    <w:p>
      <w:r>
        <w:rPr>
          <w:b w:val="0"/>
          <w:i w:val="0"/>
        </w:rPr>
        <w:t>0.15 FTE across nine months on a $45,000 annualized salary basis. The arithmetic: $45,000 multiplied by 0.15 is $6,750 for a full year, multiplied by nine twelfths is $5,063, budgeted at $5,000. Show that calculation. A panel that can rebuild your personnel figure stops wondering about it.</w:t>
      </w:r>
    </w:p>
    <w:p>
      <w:pPr>
        <w:pStyle w:val="Heading3"/>
      </w:pPr>
      <w:r>
        <w:t>Indirect costs</w:t>
      </w:r>
    </w:p>
    <w:p>
      <w:r>
        <w:rPr>
          <w:b w:val="0"/>
          <w:i w:val="0"/>
        </w:rPr>
        <w:t>This budget claims no indirect costs, which keeps the example simple. Applicants without a federally negotiated rate may claim a de minimis rate of up to 15 percent of modified total direct costs, a cap raised from 10 percent in the 2024 Uniform Guidance revision (2 CFR 200.414(f), ecfr.gov, retrieved September 2026).</w:t>
      </w:r>
    </w:p>
    <w:p>
      <w:r>
        <w:rPr>
          <w:b w:val="0"/>
          <w:i w:val="0"/>
        </w:rPr>
        <w:t>Claiming it raises total project cost and raises the match with it. Illustrative arithmetic: if ETC claimed 15 percent on $50,000 of modified total direct costs, indirect would add $7,500, total project cost would rise to $67,500, and a 1 to 1 match would require $33,750 in nonfederal support rather than $30,000. Claim the rate when you can document the match that comes with it, and check the funder's own indirect policy first, because many private foundations cap it lower or disallow it.</w:t>
      </w:r>
    </w:p>
    <w:p>
      <w:pPr>
        <w:pStyle w:val="Heading2"/>
      </w:pPr>
      <w:r>
        <w:t>Earned revenue projection</w:t>
      </w:r>
    </w:p>
    <w:p>
      <w:r>
        <w:rPr>
          <w:b w:val="0"/>
          <w:i w:val="0"/>
        </w:rPr>
        <w:t>Project from the capacity you actually sold in a comparable prior production, not from house capacity. The composite arithmetic, held at the 68 percent of house ETC's last production sold:</w:t>
      </w:r>
    </w:p>
    <w:tbl>
      <w:tblPr>
        <w:tblStyle w:val="LightGrid-Accent1"/>
        <w:tblW w:type="auto" w:w="0"/>
        <w:jc w:val="center"/>
        <w:tblLook w:firstColumn="1" w:firstRow="1" w:lastColumn="0" w:lastRow="0" w:noHBand="0" w:noVBand="1" w:val="04A0"/>
      </w:tblPr>
      <w:tblGrid>
        <w:gridCol w:w="1872"/>
        <w:gridCol w:w="1872"/>
        <w:gridCol w:w="1872"/>
        <w:gridCol w:w="1872"/>
        <w:gridCol w:w="1872"/>
      </w:tblGrid>
      <w:tr>
        <w:trPr>
          <w:tblHeader/>
        </w:trPr>
        <w:tc>
          <w:tcPr>
            <w:tcW w:type="dxa" w:w="2448"/>
          </w:tcPr>
          <w:p>
            <w:pPr>
              <w:spacing w:after="40"/>
            </w:pPr>
            <w:r/>
            <w:r>
              <w:rPr>
                <w:b/>
                <w:sz w:val="20"/>
              </w:rPr>
              <w:t>Performance type</w:t>
            </w:r>
          </w:p>
        </w:tc>
        <w:tc>
          <w:tcPr>
            <w:tcW w:type="dxa" w:w="1008"/>
          </w:tcPr>
          <w:p>
            <w:pPr>
              <w:spacing w:after="40"/>
            </w:pPr>
            <w:r/>
            <w:r>
              <w:rPr>
                <w:b/>
                <w:sz w:val="20"/>
              </w:rPr>
              <w:t>Count</w:t>
            </w:r>
          </w:p>
        </w:tc>
        <w:tc>
          <w:tcPr>
            <w:tcW w:type="dxa" w:w="2160"/>
          </w:tcPr>
          <w:p>
            <w:pPr>
              <w:spacing w:after="40"/>
            </w:pPr>
            <w:r/>
            <w:r>
              <w:rPr>
                <w:b/>
                <w:sz w:val="20"/>
              </w:rPr>
              <w:t>Projected attendance</w:t>
            </w:r>
          </w:p>
        </w:tc>
        <w:tc>
          <w:tcPr>
            <w:tcW w:type="dxa" w:w="1872"/>
          </w:tcPr>
          <w:p>
            <w:pPr>
              <w:spacing w:after="40"/>
            </w:pPr>
            <w:r/>
            <w:r>
              <w:rPr>
                <w:b/>
                <w:sz w:val="20"/>
              </w:rPr>
              <w:t>Average net yield</w:t>
            </w:r>
          </w:p>
        </w:tc>
        <w:tc>
          <w:tcPr>
            <w:tcW w:type="dxa" w:w="2160"/>
          </w:tcPr>
          <w:p>
            <w:pPr>
              <w:spacing w:after="40"/>
            </w:pPr>
            <w:r/>
            <w:r>
              <w:rPr>
                <w:b/>
                <w:sz w:val="20"/>
              </w:rPr>
              <w:t>Revenue</w:t>
            </w:r>
          </w:p>
        </w:tc>
      </w:tr>
      <w:tr>
        <w:tc>
          <w:tcPr>
            <w:tcW w:type="dxa" w:w="2448"/>
          </w:tcPr>
          <w:p>
            <w:pPr>
              <w:spacing w:after="40"/>
            </w:pPr>
            <w:r/>
            <w:r>
              <w:rPr>
                <w:b w:val="0"/>
                <w:sz w:val="20"/>
              </w:rPr>
              <w:t>Full-price evening</w:t>
            </w:r>
          </w:p>
        </w:tc>
        <w:tc>
          <w:tcPr>
            <w:tcW w:type="dxa" w:w="1008"/>
          </w:tcPr>
          <w:p>
            <w:pPr>
              <w:spacing w:after="40"/>
            </w:pPr>
            <w:r/>
            <w:r>
              <w:rPr>
                <w:b w:val="0"/>
                <w:sz w:val="20"/>
              </w:rPr>
              <w:t>6</w:t>
            </w:r>
          </w:p>
        </w:tc>
        <w:tc>
          <w:tcPr>
            <w:tcW w:type="dxa" w:w="2160"/>
          </w:tcPr>
          <w:p>
            <w:pPr>
              <w:spacing w:after="40"/>
            </w:pPr>
            <w:r/>
            <w:r>
              <w:rPr>
                <w:b w:val="0"/>
                <w:sz w:val="20"/>
              </w:rPr>
              <w:t>734</w:t>
            </w:r>
          </w:p>
        </w:tc>
        <w:tc>
          <w:tcPr>
            <w:tcW w:type="dxa" w:w="1872"/>
          </w:tcPr>
          <w:p>
            <w:pPr>
              <w:spacing w:after="40"/>
            </w:pPr>
            <w:r/>
            <w:r>
              <w:rPr>
                <w:b w:val="0"/>
                <w:sz w:val="20"/>
              </w:rPr>
              <w:t>$9.75</w:t>
            </w:r>
          </w:p>
        </w:tc>
        <w:tc>
          <w:tcPr>
            <w:tcW w:type="dxa" w:w="2160"/>
          </w:tcPr>
          <w:p>
            <w:pPr>
              <w:spacing w:after="40"/>
            </w:pPr>
            <w:r/>
            <w:r>
              <w:rPr>
                <w:b w:val="0"/>
                <w:sz w:val="20"/>
              </w:rPr>
              <w:t>$7,157</w:t>
            </w:r>
          </w:p>
        </w:tc>
      </w:tr>
      <w:tr>
        <w:tc>
          <w:tcPr>
            <w:tcW w:type="dxa" w:w="2448"/>
          </w:tcPr>
          <w:p>
            <w:pPr>
              <w:spacing w:after="40"/>
            </w:pPr>
            <w:r/>
            <w:r>
              <w:rPr>
                <w:b w:val="0"/>
                <w:sz w:val="20"/>
              </w:rPr>
              <w:t>Pay what you wish</w:t>
            </w:r>
          </w:p>
        </w:tc>
        <w:tc>
          <w:tcPr>
            <w:tcW w:type="dxa" w:w="1008"/>
          </w:tcPr>
          <w:p>
            <w:pPr>
              <w:spacing w:after="40"/>
            </w:pPr>
            <w:r/>
            <w:r>
              <w:rPr>
                <w:b w:val="0"/>
                <w:sz w:val="20"/>
              </w:rPr>
              <w:t>2</w:t>
            </w:r>
          </w:p>
        </w:tc>
        <w:tc>
          <w:tcPr>
            <w:tcW w:type="dxa" w:w="2160"/>
          </w:tcPr>
          <w:p>
            <w:pPr>
              <w:spacing w:after="40"/>
            </w:pPr>
            <w:r/>
            <w:r>
              <w:rPr>
                <w:b w:val="0"/>
                <w:sz w:val="20"/>
              </w:rPr>
              <w:t>245</w:t>
            </w:r>
          </w:p>
        </w:tc>
        <w:tc>
          <w:tcPr>
            <w:tcW w:type="dxa" w:w="1872"/>
          </w:tcPr>
          <w:p>
            <w:pPr>
              <w:spacing w:after="40"/>
            </w:pPr>
            <w:r/>
            <w:r>
              <w:rPr>
                <w:b w:val="0"/>
                <w:sz w:val="20"/>
              </w:rPr>
              <w:t>$5.50</w:t>
            </w:r>
          </w:p>
        </w:tc>
        <w:tc>
          <w:tcPr>
            <w:tcW w:type="dxa" w:w="2160"/>
          </w:tcPr>
          <w:p>
            <w:pPr>
              <w:spacing w:after="40"/>
            </w:pPr>
            <w:r/>
            <w:r>
              <w:rPr>
                <w:b w:val="0"/>
                <w:sz w:val="20"/>
              </w:rPr>
              <w:t>$1,348</w:t>
            </w:r>
          </w:p>
        </w:tc>
      </w:tr>
      <w:tr>
        <w:tc>
          <w:tcPr>
            <w:tcW w:type="dxa" w:w="2448"/>
          </w:tcPr>
          <w:p>
            <w:pPr>
              <w:spacing w:after="40"/>
            </w:pPr>
            <w:r/>
            <w:r>
              <w:rPr>
                <w:b w:val="0"/>
                <w:sz w:val="20"/>
              </w:rPr>
              <w:t>Free school matinee</w:t>
            </w:r>
          </w:p>
        </w:tc>
        <w:tc>
          <w:tcPr>
            <w:tcW w:type="dxa" w:w="1008"/>
          </w:tcPr>
          <w:p>
            <w:pPr>
              <w:spacing w:after="40"/>
            </w:pPr>
            <w:r/>
            <w:r>
              <w:rPr>
                <w:b w:val="0"/>
                <w:sz w:val="20"/>
              </w:rPr>
              <w:t>2</w:t>
            </w:r>
          </w:p>
        </w:tc>
        <w:tc>
          <w:tcPr>
            <w:tcW w:type="dxa" w:w="2160"/>
          </w:tcPr>
          <w:p>
            <w:pPr>
              <w:spacing w:after="40"/>
            </w:pPr>
            <w:r/>
            <w:r>
              <w:rPr>
                <w:b w:val="0"/>
                <w:sz w:val="20"/>
              </w:rPr>
              <w:t>245</w:t>
            </w:r>
          </w:p>
        </w:tc>
        <w:tc>
          <w:tcPr>
            <w:tcW w:type="dxa" w:w="1872"/>
          </w:tcPr>
          <w:p>
            <w:pPr>
              <w:spacing w:after="40"/>
            </w:pPr>
            <w:r/>
            <w:r>
              <w:rPr>
                <w:b w:val="0"/>
                <w:sz w:val="20"/>
              </w:rPr>
              <w:t>$0</w:t>
            </w:r>
          </w:p>
        </w:tc>
        <w:tc>
          <w:tcPr>
            <w:tcW w:type="dxa" w:w="2160"/>
          </w:tcPr>
          <w:p>
            <w:pPr>
              <w:spacing w:after="40"/>
            </w:pPr>
            <w:r/>
            <w:r>
              <w:rPr>
                <w:b w:val="0"/>
                <w:sz w:val="20"/>
              </w:rPr>
              <w:t>$0</w:t>
            </w:r>
          </w:p>
        </w:tc>
      </w:tr>
      <w:tr>
        <w:tc>
          <w:tcPr>
            <w:tcW w:type="dxa" w:w="2448"/>
          </w:tcPr>
          <w:p>
            <w:pPr>
              <w:spacing w:after="40"/>
            </w:pPr>
            <w:r/>
            <w:r>
              <w:rPr>
                <w:b/>
                <w:sz w:val="20"/>
              </w:rPr>
              <w:t>Total</w:t>
            </w:r>
          </w:p>
        </w:tc>
        <w:tc>
          <w:tcPr>
            <w:tcW w:type="dxa" w:w="1008"/>
          </w:tcPr>
          <w:p>
            <w:pPr>
              <w:spacing w:after="40"/>
            </w:pPr>
            <w:r/>
            <w:r>
              <w:rPr>
                <w:b/>
                <w:sz w:val="20"/>
              </w:rPr>
              <w:t>10</w:t>
            </w:r>
          </w:p>
        </w:tc>
        <w:tc>
          <w:tcPr>
            <w:tcW w:type="dxa" w:w="2160"/>
          </w:tcPr>
          <w:p>
            <w:pPr>
              <w:spacing w:after="40"/>
            </w:pPr>
            <w:r/>
            <w:r>
              <w:rPr>
                <w:b/>
                <w:sz w:val="20"/>
              </w:rPr>
              <w:t>1,224</w:t>
            </w:r>
          </w:p>
        </w:tc>
        <w:tc>
          <w:tcPr>
            <w:tcW w:type="dxa" w:w="1872"/>
          </w:tcPr>
          <w:p>
            <w:pPr>
              <w:spacing w:after="40"/>
            </w:pPr>
            <w:r/>
            <w:r>
              <w:rPr>
                <w:b/>
                <w:sz w:val="20"/>
              </w:rPr>
            </w:r>
          </w:p>
        </w:tc>
        <w:tc>
          <w:tcPr>
            <w:tcW w:type="dxa" w:w="2160"/>
          </w:tcPr>
          <w:p>
            <w:pPr>
              <w:spacing w:after="40"/>
            </w:pPr>
            <w:r/>
            <w:r>
              <w:rPr>
                <w:b/>
                <w:sz w:val="20"/>
              </w:rPr>
              <w:t>$8,505, budgeted at $8,500</w:t>
            </w:r>
          </w:p>
        </w:tc>
      </w:tr>
    </w:tbl>
    <w:p>
      <w:pPr>
        <w:spacing w:after="40"/>
      </w:pPr>
    </w:p>
    <w:p>
      <w:r>
        <w:rPr>
          <w:b w:val="0"/>
          <w:i w:val="0"/>
        </w:rPr>
        <w:t>Average net yield is stated after ticketing fees and comps rather than as face price, because face price times seats is the projection that gets applicants into trouble. If your last comparable run sold 52 percent of the house, budget from 52 percent and cite the box office report. A conservative projection that holds is worth more than an ambitious one that forces a mid-project budget revision.</w:t>
      </w:r>
    </w:p>
    <w:p>
      <w:pPr>
        <w:pStyle w:val="Heading2"/>
      </w:pPr>
      <w:r>
        <w:t>What this grant does not cover</w:t>
      </w:r>
    </w:p>
    <w:p>
      <w:r>
        <w:rPr>
          <w:b w:val="0"/>
          <w:i w:val="0"/>
        </w:rPr>
        <w:t>Draw the boundary explicitly. This project does not fund ETC's other two productions, general operating costs outside the project period, capital improvements to the venue, debt, or reserves. The NEA does not make general operating support awards through Grants for Arts Projects and its guidelines rule out funding a full season of programming, so an application that reads like season support is declined on structure regardless of artistic quality (National Endowment for the Arts, FY27 GAP Program Guidelines, arts.gov, retrieved September 2026).</w:t>
      </w:r>
    </w:p>
    <w:p>
      <w:pPr>
        <w:pStyle w:val="Heading1"/>
      </w:pPr>
      <w:r>
        <w:t>Sustainability</w:t>
      </w:r>
    </w:p>
    <w:p>
      <w:r>
        <w:rPr>
          <w:b w:val="0"/>
          <w:i w:val="0"/>
        </w:rPr>
        <w:t>Project support funders ask what happens in year two. The honest answer for most arts projects is not that the project becomes self-sustaining, but that specific pieces of it move onto other revenue. Say which pieces and where they go.</w:t>
      </w:r>
    </w:p>
    <w:tbl>
      <w:tblPr>
        <w:tblStyle w:val="LightGrid-Accent1"/>
        <w:tblW w:type="auto" w:w="0"/>
        <w:jc w:val="center"/>
        <w:tblLook w:firstColumn="1" w:firstRow="1" w:lastColumn="0" w:lastRow="0" w:noHBand="0" w:noVBand="1" w:val="04A0"/>
      </w:tblPr>
      <w:tblGrid>
        <w:gridCol w:w="3120"/>
        <w:gridCol w:w="3120"/>
        <w:gridCol w:w="3120"/>
      </w:tblGrid>
      <w:tr>
        <w:trPr>
          <w:tblHeader/>
        </w:trPr>
        <w:tc>
          <w:tcPr>
            <w:tcW w:type="dxa" w:w="2592"/>
          </w:tcPr>
          <w:p>
            <w:pPr>
              <w:spacing w:after="40"/>
            </w:pPr>
            <w:r/>
            <w:r>
              <w:rPr>
                <w:b/>
                <w:sz w:val="20"/>
              </w:rPr>
              <w:t>Project element</w:t>
            </w:r>
          </w:p>
        </w:tc>
        <w:tc>
          <w:tcPr>
            <w:tcW w:type="dxa" w:w="4320"/>
          </w:tcPr>
          <w:p>
            <w:pPr>
              <w:spacing w:after="40"/>
            </w:pPr>
            <w:r/>
            <w:r>
              <w:rPr>
                <w:b/>
                <w:sz w:val="20"/>
              </w:rPr>
              <w:t>Year two funding</w:t>
            </w:r>
          </w:p>
        </w:tc>
        <w:tc>
          <w:tcPr>
            <w:tcW w:type="dxa" w:w="2304"/>
          </w:tcPr>
          <w:p>
            <w:pPr>
              <w:spacing w:after="40"/>
            </w:pPr>
            <w:r/>
            <w:r>
              <w:rPr>
                <w:b/>
                <w:sz w:val="20"/>
              </w:rPr>
              <w:t>Status</w:t>
            </w:r>
          </w:p>
        </w:tc>
      </w:tr>
      <w:tr>
        <w:tc>
          <w:tcPr>
            <w:tcW w:type="dxa" w:w="2592"/>
          </w:tcPr>
          <w:p>
            <w:pPr>
              <w:spacing w:after="40"/>
            </w:pPr>
            <w:r/>
            <w:r>
              <w:rPr>
                <w:b w:val="0"/>
                <w:sz w:val="20"/>
              </w:rPr>
              <w:t>School residencies</w:t>
            </w:r>
          </w:p>
        </w:tc>
        <w:tc>
          <w:tcPr>
            <w:tcW w:type="dxa" w:w="4320"/>
          </w:tcPr>
          <w:p>
            <w:pPr>
              <w:spacing w:after="40"/>
            </w:pPr>
            <w:r/>
            <w:r>
              <w:rPr>
                <w:b w:val="0"/>
                <w:sz w:val="20"/>
              </w:rPr>
              <w:t>District fee-for-service contract at the rate the district already pays outside providers</w:t>
            </w:r>
          </w:p>
        </w:tc>
        <w:tc>
          <w:tcPr>
            <w:tcW w:type="dxa" w:w="2304"/>
          </w:tcPr>
          <w:p>
            <w:pPr>
              <w:spacing w:after="40"/>
            </w:pPr>
            <w:r/>
            <w:r>
              <w:rPr>
                <w:b w:val="0"/>
                <w:sz w:val="20"/>
              </w:rPr>
              <w:t>Rate confirmed, contract to be negotiated in month 8</w:t>
            </w:r>
          </w:p>
        </w:tc>
      </w:tr>
      <w:tr>
        <w:tc>
          <w:tcPr>
            <w:tcW w:type="dxa" w:w="2592"/>
          </w:tcPr>
          <w:p>
            <w:pPr>
              <w:spacing w:after="40"/>
            </w:pPr>
            <w:r/>
            <w:r>
              <w:rPr>
                <w:b w:val="0"/>
                <w:sz w:val="20"/>
              </w:rPr>
              <w:t>Access services</w:t>
            </w:r>
          </w:p>
        </w:tc>
        <w:tc>
          <w:tcPr>
            <w:tcW w:type="dxa" w:w="4320"/>
          </w:tcPr>
          <w:p>
            <w:pPr>
              <w:spacing w:after="40"/>
            </w:pPr>
            <w:r/>
            <w:r>
              <w:rPr>
                <w:b w:val="0"/>
                <w:sz w:val="20"/>
              </w:rPr>
              <w:t>Phased onto the operating budget, funded by a dedicated access fund within annual giving</w:t>
            </w:r>
          </w:p>
        </w:tc>
        <w:tc>
          <w:tcPr>
            <w:tcW w:type="dxa" w:w="2304"/>
          </w:tcPr>
          <w:p>
            <w:pPr>
              <w:spacing w:after="40"/>
            </w:pPr>
            <w:r/>
            <w:r>
              <w:rPr>
                <w:b w:val="0"/>
                <w:sz w:val="20"/>
              </w:rPr>
              <w:t>Fund created, first appeal scheduled for month 7</w:t>
            </w:r>
          </w:p>
        </w:tc>
      </w:tr>
      <w:tr>
        <w:tc>
          <w:tcPr>
            <w:tcW w:type="dxa" w:w="2592"/>
          </w:tcPr>
          <w:p>
            <w:pPr>
              <w:spacing w:after="40"/>
            </w:pPr>
            <w:r/>
            <w:r>
              <w:rPr>
                <w:b w:val="0"/>
                <w:sz w:val="20"/>
              </w:rPr>
              <w:t>Archival documentation</w:t>
            </w:r>
          </w:p>
        </w:tc>
        <w:tc>
          <w:tcPr>
            <w:tcW w:type="dxa" w:w="4320"/>
          </w:tcPr>
          <w:p>
            <w:pPr>
              <w:spacing w:after="40"/>
            </w:pPr>
            <w:r/>
            <w:r>
              <w:rPr>
                <w:b w:val="0"/>
                <w:sz w:val="20"/>
              </w:rPr>
              <w:t>Rolls forward as work samples, no year-two cost</w:t>
            </w:r>
          </w:p>
        </w:tc>
        <w:tc>
          <w:tcPr>
            <w:tcW w:type="dxa" w:w="2304"/>
          </w:tcPr>
          <w:p>
            <w:pPr>
              <w:spacing w:after="40"/>
            </w:pPr>
            <w:r/>
            <w:r>
              <w:rPr>
                <w:b w:val="0"/>
                <w:sz w:val="20"/>
              </w:rPr>
              <w:t>Complete at project close</w:t>
            </w:r>
          </w:p>
        </w:tc>
      </w:tr>
      <w:tr>
        <w:tc>
          <w:tcPr>
            <w:tcW w:type="dxa" w:w="2592"/>
          </w:tcPr>
          <w:p>
            <w:pPr>
              <w:spacing w:after="40"/>
            </w:pPr>
            <w:r/>
            <w:r>
              <w:rPr>
                <w:b w:val="0"/>
                <w:sz w:val="20"/>
              </w:rPr>
              <w:t>Production costs</w:t>
            </w:r>
          </w:p>
        </w:tc>
        <w:tc>
          <w:tcPr>
            <w:tcW w:type="dxa" w:w="4320"/>
          </w:tcPr>
          <w:p>
            <w:pPr>
              <w:spacing w:after="40"/>
            </w:pPr>
            <w:r/>
            <w:r>
              <w:rPr>
                <w:b w:val="0"/>
                <w:sz w:val="20"/>
              </w:rPr>
              <w:t>Standard production budget, earned revenue and annual fund</w:t>
            </w:r>
          </w:p>
        </w:tc>
        <w:tc>
          <w:tcPr>
            <w:tcW w:type="dxa" w:w="2304"/>
          </w:tcPr>
          <w:p>
            <w:pPr>
              <w:spacing w:after="40"/>
            </w:pPr>
            <w:r/>
            <w:r>
              <w:rPr>
                <w:b w:val="0"/>
                <w:sz w:val="20"/>
              </w:rPr>
              <w:t>Ongoing</w:t>
            </w:r>
          </w:p>
        </w:tc>
      </w:tr>
      <w:tr>
        <w:tc>
          <w:tcPr>
            <w:tcW w:type="dxa" w:w="2592"/>
          </w:tcPr>
          <w:p>
            <w:pPr>
              <w:spacing w:after="40"/>
            </w:pPr>
            <w:r/>
            <w:r>
              <w:rPr>
                <w:b w:val="0"/>
                <w:sz w:val="20"/>
              </w:rPr>
              <w:t>Project coordination</w:t>
            </w:r>
          </w:p>
        </w:tc>
        <w:tc>
          <w:tcPr>
            <w:tcW w:type="dxa" w:w="4320"/>
          </w:tcPr>
          <w:p>
            <w:pPr>
              <w:spacing w:after="40"/>
            </w:pPr>
            <w:r/>
            <w:r>
              <w:rPr>
                <w:b w:val="0"/>
                <w:sz w:val="20"/>
              </w:rPr>
              <w:t>Absorbed into existing staff time once the residency model is routine</w:t>
            </w:r>
          </w:p>
        </w:tc>
        <w:tc>
          <w:tcPr>
            <w:tcW w:type="dxa" w:w="2304"/>
          </w:tcPr>
          <w:p>
            <w:pPr>
              <w:spacing w:after="40"/>
            </w:pPr>
            <w:r/>
            <w:r>
              <w:rPr>
                <w:b w:val="0"/>
                <w:sz w:val="20"/>
              </w:rPr>
              <w:t>Reviewed at month 9</w:t>
            </w:r>
          </w:p>
        </w:tc>
      </w:tr>
    </w:tbl>
    <w:p>
      <w:pPr>
        <w:spacing w:after="40"/>
      </w:pPr>
    </w:p>
    <w:p>
      <w:r>
        <w:rPr>
          <w:b w:val="0"/>
          <w:i w:val="0"/>
        </w:rPr>
        <w:t>A sustainability section that promises the project will continue at full scale with no identified funding reads as wishful. One that says the residencies convert to a contract, the access line moves to a named fund, and the documentation is already banked reads as planning.</w:t>
      </w:r>
    </w:p>
    <w:p>
      <w:pPr>
        <w:pStyle w:val="Heading1"/>
      </w:pPr>
      <w:r>
        <w:t>Objections an Arts Panel Will Raise</w:t>
      </w:r>
    </w:p>
    <w:p>
      <w:r>
        <w:rPr>
          <w:b w:val="0"/>
          <w:i w:val="0"/>
        </w:rPr>
        <w:t>Write each objection in the margin of your draft and check that the narrative already answers it. None of these answers require new programming, only clearer writing about what you are already doing.</w:t>
      </w:r>
    </w:p>
    <w:p>
      <w:pPr>
        <w:pStyle w:val="Heading2"/>
      </w:pPr>
      <w:r>
        <w:t>"This is entertainment, not a public benefit."</w:t>
      </w:r>
    </w:p>
    <w:p>
      <w:r>
        <w:rPr>
          <w:b w:val="0"/>
          <w:i w:val="0"/>
        </w:rPr>
        <w:t>Answer with participation structure rather than with claims about the value of art. Show the free and pay-what-you-wish counts, the residency contact hours, and the accessible performance schedule as budgeted line items. A benefit that appears on the expense side of a budget is one a panel can verify. A benefit that appears only in the narrative is a sentence.</w:t>
      </w:r>
    </w:p>
    <w:p>
      <w:pPr>
        <w:pStyle w:val="Heading2"/>
      </w:pPr>
      <w:r>
        <w:t>"You are asking us to subsidize a season you would run anyway."</w:t>
      </w:r>
    </w:p>
    <w:p>
      <w:r>
        <w:rPr>
          <w:b w:val="0"/>
          <w:i w:val="0"/>
        </w:rPr>
        <w:t>Draw a hard boundary around the project and name what is new. In this proposal the new elements are the residency partnership, the interpreted and captioned performances, the free matinees, and the commissioned score. If the project genuinely is your core season, look for a funder that offers general operating support rather than reshaping a season into project language, because panels recognize the reshaping.</w:t>
      </w:r>
    </w:p>
    <w:p>
      <w:pPr>
        <w:pStyle w:val="Heading2"/>
      </w:pPr>
      <w:r>
        <w:t>"Your earned revenue assumptions are optimistic."</w:t>
      </w:r>
    </w:p>
    <w:p>
      <w:r>
        <w:rPr>
          <w:b w:val="0"/>
          <w:i w:val="0"/>
        </w:rPr>
        <w:t>Project from the capacity you actually sold in a comparable prior production and cite the box office report. The earned revenue table in this document does that explicitly, which converts the objection into a checkable claim.</w:t>
      </w:r>
    </w:p>
    <w:p>
      <w:pPr>
        <w:pStyle w:val="Heading2"/>
      </w:pPr>
      <w:r>
        <w:t>"Attendance is a count, not an outcome."</w:t>
      </w:r>
    </w:p>
    <w:p>
      <w:r>
        <w:rPr>
          <w:b w:val="0"/>
          <w:i w:val="0"/>
        </w:rPr>
        <w:t>Pair each count with a change measure and name the instrument that captures it. Total attendance is a count. The share of those attendees reporting no live theater in the prior year, collected by a named survey administered at named performances, is an outcome. An exit survey with an administrator carries more weight than a promise to evaluate.</w:t>
      </w:r>
    </w:p>
    <w:p>
      <w:pPr>
        <w:pStyle w:val="Heading2"/>
      </w:pPr>
      <w:r>
        <w:t>"Are the artists actually getting paid?"</w:t>
      </w:r>
    </w:p>
    <w:p>
      <w:r>
        <w:rPr>
          <w:b w:val="0"/>
          <w:i w:val="0"/>
        </w:rPr>
        <w:t>Answer with a number and a percentage in the narrative, not only in the budget. Fifteen artists, $26,500, 44 percent of the project budget, at rates listed by role. This is a published NEA artistic merit factor and it is easy to evidence, so leaving it implicit is a wasted opportunity.</w:t>
      </w:r>
    </w:p>
    <w:p>
      <w:pPr>
        <w:pStyle w:val="Heading2"/>
      </w:pPr>
      <w:r>
        <w:t>"Can four schools really absorb this in one term?"</w:t>
      </w:r>
    </w:p>
    <w:p>
      <w:r>
        <w:rPr>
          <w:b w:val="0"/>
          <w:i w:val="0"/>
        </w:rPr>
        <w:t>Answer with the partnership letter and the calendar. Named schools, named classrooms, a term agreed with principals, clearances filed in month 2, and a waitlisted classroom identified in case one school withdraws. Capacity objections are answered with logistics, not with enthusiasm.</w:t>
      </w:r>
    </w:p>
    <w:p>
      <w:pPr>
        <w:pStyle w:val="Heading1"/>
      </w:pPr>
      <w:r>
        <w:t>Attachments</w:t>
      </w:r>
    </w:p>
    <w:p>
      <w:r>
        <w:rPr>
          <w:b w:val="0"/>
          <w:i w:val="0"/>
        </w:rPr>
        <w:t>Funders check attachments separately from the narrative, and an incomplete attachment set can disqualify an otherwise strong application. Confirm the required list in the specific guidelines, because it varies.</w:t>
      </w:r>
    </w:p>
    <w:tbl>
      <w:tblPr>
        <w:tblStyle w:val="LightGrid-Accent1"/>
        <w:tblW w:type="auto" w:w="0"/>
        <w:jc w:val="center"/>
        <w:tblLook w:firstColumn="1" w:firstRow="1" w:lastColumn="0" w:lastRow="0" w:noHBand="0" w:noVBand="1" w:val="04A0"/>
      </w:tblPr>
      <w:tblGrid>
        <w:gridCol w:w="3120"/>
        <w:gridCol w:w="3120"/>
        <w:gridCol w:w="3120"/>
      </w:tblGrid>
      <w:tr>
        <w:trPr>
          <w:tblHeader/>
        </w:trPr>
        <w:tc>
          <w:tcPr>
            <w:tcW w:type="dxa" w:w="576"/>
          </w:tcPr>
          <w:p>
            <w:pPr>
              <w:spacing w:after="40"/>
            </w:pPr>
            <w:r/>
            <w:r>
              <w:rPr>
                <w:b/>
                <w:sz w:val="20"/>
              </w:rPr>
            </w:r>
          </w:p>
        </w:tc>
        <w:tc>
          <w:tcPr>
            <w:tcW w:type="dxa" w:w="3888"/>
          </w:tcPr>
          <w:p>
            <w:pPr>
              <w:spacing w:after="40"/>
            </w:pPr>
            <w:r/>
            <w:r>
              <w:rPr>
                <w:b/>
                <w:sz w:val="20"/>
              </w:rPr>
              <w:t>Attachment</w:t>
            </w:r>
          </w:p>
        </w:tc>
        <w:tc>
          <w:tcPr>
            <w:tcW w:type="dxa" w:w="4752"/>
          </w:tcPr>
          <w:p>
            <w:pPr>
              <w:spacing w:after="40"/>
            </w:pPr>
            <w:r/>
            <w:r>
              <w:rPr>
                <w:b/>
                <w:sz w:val="20"/>
              </w:rPr>
              <w:t>Why an arts funder asks for it</w:t>
            </w:r>
          </w:p>
        </w:tc>
      </w:tr>
      <w:tr>
        <w:tc>
          <w:tcPr>
            <w:tcW w:type="dxa" w:w="576"/>
          </w:tcPr>
          <w:p>
            <w:pPr>
              <w:spacing w:after="40"/>
            </w:pPr>
            <w:r/>
            <w:r>
              <w:rPr>
                <w:b w:val="0"/>
                <w:sz w:val="20"/>
              </w:rPr>
            </w:r>
          </w:p>
        </w:tc>
        <w:tc>
          <w:tcPr>
            <w:tcW w:type="dxa" w:w="3888"/>
          </w:tcPr>
          <w:p>
            <w:pPr>
              <w:spacing w:after="40"/>
            </w:pPr>
            <w:r/>
            <w:r>
              <w:rPr>
                <w:b w:val="0"/>
                <w:sz w:val="20"/>
              </w:rPr>
              <w:t>IRS determination letter</w:t>
            </w:r>
          </w:p>
        </w:tc>
        <w:tc>
          <w:tcPr>
            <w:tcW w:type="dxa" w:w="4752"/>
          </w:tcPr>
          <w:p>
            <w:pPr>
              <w:spacing w:after="40"/>
            </w:pPr>
            <w:r/>
            <w:r>
              <w:rPr>
                <w:b w:val="0"/>
                <w:sz w:val="20"/>
              </w:rPr>
              <w:t>Confirms tax-exempt status and eligibility</w:t>
            </w:r>
          </w:p>
        </w:tc>
      </w:tr>
      <w:tr>
        <w:tc>
          <w:tcPr>
            <w:tcW w:type="dxa" w:w="576"/>
          </w:tcPr>
          <w:p>
            <w:pPr>
              <w:spacing w:after="40"/>
            </w:pPr>
            <w:r/>
            <w:r>
              <w:rPr>
                <w:b w:val="0"/>
                <w:sz w:val="20"/>
              </w:rPr>
            </w:r>
          </w:p>
        </w:tc>
        <w:tc>
          <w:tcPr>
            <w:tcW w:type="dxa" w:w="3888"/>
          </w:tcPr>
          <w:p>
            <w:pPr>
              <w:spacing w:after="40"/>
            </w:pPr>
            <w:r/>
            <w:r>
              <w:rPr>
                <w:b w:val="0"/>
                <w:sz w:val="20"/>
              </w:rPr>
              <w:t>Most recent audited financials or reviewed statements</w:t>
            </w:r>
          </w:p>
        </w:tc>
        <w:tc>
          <w:tcPr>
            <w:tcW w:type="dxa" w:w="4752"/>
          </w:tcPr>
          <w:p>
            <w:pPr>
              <w:spacing w:after="40"/>
            </w:pPr>
            <w:r/>
            <w:r>
              <w:rPr>
                <w:b w:val="0"/>
                <w:sz w:val="20"/>
              </w:rPr>
              <w:t>Shows organizational scale and financial control</w:t>
            </w:r>
          </w:p>
        </w:tc>
      </w:tr>
      <w:tr>
        <w:tc>
          <w:tcPr>
            <w:tcW w:type="dxa" w:w="576"/>
          </w:tcPr>
          <w:p>
            <w:pPr>
              <w:spacing w:after="40"/>
            </w:pPr>
            <w:r/>
            <w:r>
              <w:rPr>
                <w:b w:val="0"/>
                <w:sz w:val="20"/>
              </w:rPr>
            </w:r>
          </w:p>
        </w:tc>
        <w:tc>
          <w:tcPr>
            <w:tcW w:type="dxa" w:w="3888"/>
          </w:tcPr>
          <w:p>
            <w:pPr>
              <w:spacing w:after="40"/>
            </w:pPr>
            <w:r/>
            <w:r>
              <w:rPr>
                <w:b w:val="0"/>
                <w:sz w:val="20"/>
              </w:rPr>
              <w:t>Current-year organizational budget</w:t>
            </w:r>
          </w:p>
        </w:tc>
        <w:tc>
          <w:tcPr>
            <w:tcW w:type="dxa" w:w="4752"/>
          </w:tcPr>
          <w:p>
            <w:pPr>
              <w:spacing w:after="40"/>
            </w:pPr>
            <w:r/>
            <w:r>
              <w:rPr>
                <w:b w:val="0"/>
                <w:sz w:val="20"/>
              </w:rPr>
              <w:t>Lets a panel see the project against the whole organization</w:t>
            </w:r>
          </w:p>
        </w:tc>
      </w:tr>
      <w:tr>
        <w:tc>
          <w:tcPr>
            <w:tcW w:type="dxa" w:w="576"/>
          </w:tcPr>
          <w:p>
            <w:pPr>
              <w:spacing w:after="40"/>
            </w:pPr>
            <w:r/>
            <w:r>
              <w:rPr>
                <w:b w:val="0"/>
                <w:sz w:val="20"/>
              </w:rPr>
            </w:r>
          </w:p>
        </w:tc>
        <w:tc>
          <w:tcPr>
            <w:tcW w:type="dxa" w:w="3888"/>
          </w:tcPr>
          <w:p>
            <w:pPr>
              <w:spacing w:after="40"/>
            </w:pPr>
            <w:r/>
            <w:r>
              <w:rPr>
                <w:b w:val="0"/>
                <w:sz w:val="20"/>
              </w:rPr>
              <w:t>Project budget on the funder's own form</w:t>
            </w:r>
          </w:p>
        </w:tc>
        <w:tc>
          <w:tcPr>
            <w:tcW w:type="dxa" w:w="4752"/>
          </w:tcPr>
          <w:p>
            <w:pPr>
              <w:spacing w:after="40"/>
            </w:pPr>
            <w:r/>
            <w:r>
              <w:rPr>
                <w:b w:val="0"/>
                <w:sz w:val="20"/>
              </w:rPr>
              <w:t>Required format, and the form usually enforces the match arithmetic</w:t>
            </w:r>
          </w:p>
        </w:tc>
      </w:tr>
      <w:tr>
        <w:tc>
          <w:tcPr>
            <w:tcW w:type="dxa" w:w="576"/>
          </w:tcPr>
          <w:p>
            <w:pPr>
              <w:spacing w:after="40"/>
            </w:pPr>
            <w:r/>
            <w:r>
              <w:rPr>
                <w:b w:val="0"/>
                <w:sz w:val="20"/>
              </w:rPr>
            </w:r>
          </w:p>
        </w:tc>
        <w:tc>
          <w:tcPr>
            <w:tcW w:type="dxa" w:w="3888"/>
          </w:tcPr>
          <w:p>
            <w:pPr>
              <w:spacing w:after="40"/>
            </w:pPr>
            <w:r/>
            <w:r>
              <w:rPr>
                <w:b w:val="0"/>
                <w:sz w:val="20"/>
              </w:rPr>
              <w:t>Board roster with affiliations</w:t>
            </w:r>
          </w:p>
        </w:tc>
        <w:tc>
          <w:tcPr>
            <w:tcW w:type="dxa" w:w="4752"/>
          </w:tcPr>
          <w:p>
            <w:pPr>
              <w:spacing w:after="40"/>
            </w:pPr>
            <w:r/>
            <w:r>
              <w:rPr>
                <w:b w:val="0"/>
                <w:sz w:val="20"/>
              </w:rPr>
              <w:t>Governance check, and conflict-of-interest screening</w:t>
            </w:r>
          </w:p>
        </w:tc>
      </w:tr>
      <w:tr>
        <w:tc>
          <w:tcPr>
            <w:tcW w:type="dxa" w:w="576"/>
          </w:tcPr>
          <w:p>
            <w:pPr>
              <w:spacing w:after="40"/>
            </w:pPr>
            <w:r/>
            <w:r>
              <w:rPr>
                <w:b w:val="0"/>
                <w:sz w:val="20"/>
              </w:rPr>
            </w:r>
          </w:p>
        </w:tc>
        <w:tc>
          <w:tcPr>
            <w:tcW w:type="dxa" w:w="3888"/>
          </w:tcPr>
          <w:p>
            <w:pPr>
              <w:spacing w:after="40"/>
            </w:pPr>
            <w:r/>
            <w:r>
              <w:rPr>
                <w:b w:val="0"/>
                <w:sz w:val="20"/>
              </w:rPr>
              <w:t>Curated work samples with metadata</w:t>
            </w:r>
          </w:p>
        </w:tc>
        <w:tc>
          <w:tcPr>
            <w:tcW w:type="dxa" w:w="4752"/>
          </w:tcPr>
          <w:p>
            <w:pPr>
              <w:spacing w:after="40"/>
            </w:pPr>
            <w:r/>
            <w:r>
              <w:rPr>
                <w:b w:val="0"/>
                <w:sz w:val="20"/>
              </w:rPr>
              <w:t>Judged against the same criteria as the narrative</w:t>
            </w:r>
          </w:p>
        </w:tc>
      </w:tr>
      <w:tr>
        <w:tc>
          <w:tcPr>
            <w:tcW w:type="dxa" w:w="576"/>
          </w:tcPr>
          <w:p>
            <w:pPr>
              <w:spacing w:after="40"/>
            </w:pPr>
            <w:r/>
            <w:r>
              <w:rPr>
                <w:b w:val="0"/>
                <w:sz w:val="20"/>
              </w:rPr>
            </w:r>
          </w:p>
        </w:tc>
        <w:tc>
          <w:tcPr>
            <w:tcW w:type="dxa" w:w="3888"/>
          </w:tcPr>
          <w:p>
            <w:pPr>
              <w:spacing w:after="40"/>
            </w:pPr>
            <w:r/>
            <w:r>
              <w:rPr>
                <w:b w:val="0"/>
                <w:sz w:val="20"/>
              </w:rPr>
              <w:t>Work sample index listing credits, dates, and lengths</w:t>
            </w:r>
          </w:p>
        </w:tc>
        <w:tc>
          <w:tcPr>
            <w:tcW w:type="dxa" w:w="4752"/>
          </w:tcPr>
          <w:p>
            <w:pPr>
              <w:spacing w:after="40"/>
            </w:pPr>
            <w:r/>
            <w:r>
              <w:rPr>
                <w:b w:val="0"/>
                <w:sz w:val="20"/>
              </w:rPr>
              <w:t>Makes 20 minutes of panel time usable</w:t>
            </w:r>
          </w:p>
        </w:tc>
      </w:tr>
      <w:tr>
        <w:tc>
          <w:tcPr>
            <w:tcW w:type="dxa" w:w="576"/>
          </w:tcPr>
          <w:p>
            <w:pPr>
              <w:spacing w:after="40"/>
            </w:pPr>
            <w:r/>
            <w:r>
              <w:rPr>
                <w:b w:val="0"/>
                <w:sz w:val="20"/>
              </w:rPr>
            </w:r>
          </w:p>
        </w:tc>
        <w:tc>
          <w:tcPr>
            <w:tcW w:type="dxa" w:w="3888"/>
          </w:tcPr>
          <w:p>
            <w:pPr>
              <w:spacing w:after="40"/>
            </w:pPr>
            <w:r/>
            <w:r>
              <w:rPr>
                <w:b w:val="0"/>
                <w:sz w:val="20"/>
              </w:rPr>
              <w:t>Partnership letter from the school district</w:t>
            </w:r>
          </w:p>
        </w:tc>
        <w:tc>
          <w:tcPr>
            <w:tcW w:type="dxa" w:w="4752"/>
          </w:tcPr>
          <w:p>
            <w:pPr>
              <w:spacing w:after="40"/>
            </w:pPr>
            <w:r/>
            <w:r>
              <w:rPr>
                <w:b w:val="0"/>
                <w:sz w:val="20"/>
              </w:rPr>
              <w:t>Evidences the residency commitment, not just the intention</w:t>
            </w:r>
          </w:p>
        </w:tc>
      </w:tr>
      <w:tr>
        <w:tc>
          <w:tcPr>
            <w:tcW w:type="dxa" w:w="576"/>
          </w:tcPr>
          <w:p>
            <w:pPr>
              <w:spacing w:after="40"/>
            </w:pPr>
            <w:r/>
            <w:r>
              <w:rPr>
                <w:b w:val="0"/>
                <w:sz w:val="20"/>
              </w:rPr>
            </w:r>
          </w:p>
        </w:tc>
        <w:tc>
          <w:tcPr>
            <w:tcW w:type="dxa" w:w="3888"/>
          </w:tcPr>
          <w:p>
            <w:pPr>
              <w:spacing w:after="40"/>
            </w:pPr>
            <w:r/>
            <w:r>
              <w:rPr>
                <w:b w:val="0"/>
                <w:sz w:val="20"/>
              </w:rPr>
              <w:t>Venue in-kind letter stating the documented rate</w:t>
            </w:r>
          </w:p>
        </w:tc>
        <w:tc>
          <w:tcPr>
            <w:tcW w:type="dxa" w:w="4752"/>
          </w:tcPr>
          <w:p>
            <w:pPr>
              <w:spacing w:after="40"/>
            </w:pPr>
            <w:r/>
            <w:r>
              <w:rPr>
                <w:b w:val="0"/>
                <w:sz w:val="20"/>
              </w:rPr>
              <w:t>Substantiates the $4,000 in-kind cost share</w:t>
            </w:r>
          </w:p>
        </w:tc>
      </w:tr>
      <w:tr>
        <w:tc>
          <w:tcPr>
            <w:tcW w:type="dxa" w:w="576"/>
          </w:tcPr>
          <w:p>
            <w:pPr>
              <w:spacing w:after="40"/>
            </w:pPr>
            <w:r/>
            <w:r>
              <w:rPr>
                <w:b w:val="0"/>
                <w:sz w:val="20"/>
              </w:rPr>
            </w:r>
          </w:p>
        </w:tc>
        <w:tc>
          <w:tcPr>
            <w:tcW w:type="dxa" w:w="3888"/>
          </w:tcPr>
          <w:p>
            <w:pPr>
              <w:spacing w:after="40"/>
            </w:pPr>
            <w:r/>
            <w:r>
              <w:rPr>
                <w:b w:val="0"/>
                <w:sz w:val="20"/>
              </w:rPr>
              <w:t>Rights or licensing confirmation</w:t>
            </w:r>
          </w:p>
        </w:tc>
        <w:tc>
          <w:tcPr>
            <w:tcW w:type="dxa" w:w="4752"/>
          </w:tcPr>
          <w:p>
            <w:pPr>
              <w:spacing w:after="40"/>
            </w:pPr>
            <w:r/>
            <w:r>
              <w:rPr>
                <w:b w:val="0"/>
                <w:sz w:val="20"/>
              </w:rPr>
              <w:t>Shows the production can legally happen on the proposed dates</w:t>
            </w:r>
          </w:p>
        </w:tc>
      </w:tr>
      <w:tr>
        <w:tc>
          <w:tcPr>
            <w:tcW w:type="dxa" w:w="576"/>
          </w:tcPr>
          <w:p>
            <w:pPr>
              <w:spacing w:after="40"/>
            </w:pPr>
            <w:r/>
            <w:r>
              <w:rPr>
                <w:b w:val="0"/>
                <w:sz w:val="20"/>
              </w:rPr>
            </w:r>
          </w:p>
        </w:tc>
        <w:tc>
          <w:tcPr>
            <w:tcW w:type="dxa" w:w="3888"/>
          </w:tcPr>
          <w:p>
            <w:pPr>
              <w:spacing w:after="40"/>
            </w:pPr>
            <w:r/>
            <w:r>
              <w:rPr>
                <w:b w:val="0"/>
                <w:sz w:val="20"/>
              </w:rPr>
              <w:t>Artist bios or one-page company roster</w:t>
            </w:r>
          </w:p>
        </w:tc>
        <w:tc>
          <w:tcPr>
            <w:tcW w:type="dxa" w:w="4752"/>
          </w:tcPr>
          <w:p>
            <w:pPr>
              <w:spacing w:after="40"/>
            </w:pPr>
            <w:r/>
            <w:r>
              <w:rPr>
                <w:b w:val="0"/>
                <w:sz w:val="20"/>
              </w:rPr>
              <w:t>Supports the artistic rationale</w:t>
            </w:r>
          </w:p>
        </w:tc>
      </w:tr>
      <w:tr>
        <w:tc>
          <w:tcPr>
            <w:tcW w:type="dxa" w:w="576"/>
          </w:tcPr>
          <w:p>
            <w:pPr>
              <w:spacing w:after="40"/>
            </w:pPr>
            <w:r/>
            <w:r>
              <w:rPr>
                <w:b w:val="0"/>
                <w:sz w:val="20"/>
              </w:rPr>
            </w:r>
          </w:p>
        </w:tc>
        <w:tc>
          <w:tcPr>
            <w:tcW w:type="dxa" w:w="3888"/>
          </w:tcPr>
          <w:p>
            <w:pPr>
              <w:spacing w:after="40"/>
            </w:pPr>
            <w:r/>
            <w:r>
              <w:rPr>
                <w:b w:val="0"/>
                <w:sz w:val="20"/>
              </w:rPr>
              <w:t>Access services quotes</w:t>
            </w:r>
          </w:p>
        </w:tc>
        <w:tc>
          <w:tcPr>
            <w:tcW w:type="dxa" w:w="4752"/>
          </w:tcPr>
          <w:p>
            <w:pPr>
              <w:spacing w:after="40"/>
            </w:pPr>
            <w:r/>
            <w:r>
              <w:rPr>
                <w:b w:val="0"/>
                <w:sz w:val="20"/>
              </w:rPr>
              <w:t>Substantiates the access line if a funder queries it</w:t>
            </w:r>
          </w:p>
        </w:tc>
      </w:tr>
      <w:tr>
        <w:tc>
          <w:tcPr>
            <w:tcW w:type="dxa" w:w="576"/>
          </w:tcPr>
          <w:p>
            <w:pPr>
              <w:spacing w:after="40"/>
            </w:pPr>
            <w:r/>
            <w:r>
              <w:rPr>
                <w:b w:val="0"/>
                <w:sz w:val="20"/>
              </w:rPr>
            </w:r>
          </w:p>
        </w:tc>
        <w:tc>
          <w:tcPr>
            <w:tcW w:type="dxa" w:w="3888"/>
          </w:tcPr>
          <w:p>
            <w:pPr>
              <w:spacing w:after="40"/>
            </w:pPr>
            <w:r/>
            <w:r>
              <w:rPr>
                <w:b w:val="0"/>
                <w:sz w:val="20"/>
              </w:rPr>
              <w:t>Prior award and reporting history</w:t>
            </w:r>
          </w:p>
        </w:tc>
        <w:tc>
          <w:tcPr>
            <w:tcW w:type="dxa" w:w="4752"/>
          </w:tcPr>
          <w:p>
            <w:pPr>
              <w:spacing w:after="40"/>
            </w:pPr>
            <w:r/>
            <w:r>
              <w:rPr>
                <w:b w:val="0"/>
                <w:sz w:val="20"/>
              </w:rPr>
              <w:t>Evidences grant administration capacity</w:t>
            </w:r>
          </w:p>
        </w:tc>
      </w:tr>
    </w:tbl>
    <w:p>
      <w:pPr>
        <w:spacing w:after="40"/>
      </w:pPr>
    </w:p>
    <w:p>
      <w:pPr>
        <w:pStyle w:val="Heading1"/>
      </w:pPr>
      <w:r>
        <w:t>Adaptation Checklist</w:t>
      </w:r>
    </w:p>
    <w:p>
      <w:r>
        <w:rPr>
          <w:b w:val="0"/>
          <w:i w:val="0"/>
        </w:rPr>
        <w:t>Work down this list before you submit. Every item is a point an arts panel has deducted from someone.</w:t>
      </w:r>
    </w:p>
    <w:p>
      <w:pPr>
        <w:pStyle w:val="ListBullet"/>
      </w:pPr>
      <w:r>
        <w:t>The artistic rationale is rewritten from scratch and names the work, the artists, and the selection process.</w:t>
      </w:r>
    </w:p>
    <w:p>
      <w:pPr>
        <w:pStyle w:val="ListBullet"/>
      </w:pPr>
      <w:r>
        <w:t>Artist fees appear as their own budget line, separate from staff salaries, with a stated total and percentage.</w:t>
      </w:r>
    </w:p>
    <w:p>
      <w:pPr>
        <w:pStyle w:val="ListBullet"/>
      </w:pPr>
      <w:r>
        <w:t>Access services carry a costed line with named services and named dates, not an ADA compliance sentence.</w:t>
      </w:r>
    </w:p>
    <w:p>
      <w:pPr>
        <w:pStyle w:val="ListBullet"/>
      </w:pPr>
      <w:r>
        <w:t>The budget's request column and cost share column add to the total column on every row.</w:t>
      </w:r>
    </w:p>
    <w:p>
      <w:pPr>
        <w:pStyle w:val="ListBullet"/>
      </w:pPr>
      <w:r>
        <w:t>Total project cost is at least double the request if the funder requires a 1 to 1 match.</w:t>
      </w:r>
    </w:p>
    <w:p>
      <w:pPr>
        <w:pStyle w:val="ListBullet"/>
      </w:pPr>
      <w:r>
        <w:t>No federal pass-through funds appear in the cost share.</w:t>
      </w:r>
    </w:p>
    <w:p>
      <w:pPr>
        <w:pStyle w:val="ListBullet"/>
      </w:pPr>
      <w:r>
        <w:t>In-kind contributions appear on both the expense side and the cost share side.</w:t>
      </w:r>
    </w:p>
    <w:p>
      <w:pPr>
        <w:pStyle w:val="ListBullet"/>
      </w:pPr>
      <w:r>
        <w:t>Every outcome statement carries a target figure, a deadline, and a named data source.</w:t>
      </w:r>
    </w:p>
    <w:p>
      <w:pPr>
        <w:pStyle w:val="ListBullet"/>
      </w:pPr>
      <w:r>
        <w:t>Outputs and outcomes are separated rather than mixed in one list.</w:t>
      </w:r>
    </w:p>
    <w:p>
      <w:pPr>
        <w:pStyle w:val="ListBullet"/>
      </w:pPr>
      <w:r>
        <w:t>Accommodations offered and accommodations used are reported as two different numbers.</w:t>
      </w:r>
    </w:p>
    <w:p>
      <w:pPr>
        <w:pStyle w:val="ListBullet"/>
      </w:pPr>
      <w:r>
        <w:t>Earned revenue is projected from a prior production's actual sales percentage, not from house capacity.</w:t>
      </w:r>
    </w:p>
    <w:p>
      <w:pPr>
        <w:pStyle w:val="ListBullet"/>
      </w:pPr>
      <w:r>
        <w:t>Work samples are curated, cued to the exact excerpt, captioned with full credits, and hosted where you control the link.</w:t>
      </w:r>
    </w:p>
    <w:p>
      <w:pPr>
        <w:pStyle w:val="ListBullet"/>
      </w:pPr>
      <w:r>
        <w:t>Work sample links will stay live for at least six months after the notification date.</w:t>
      </w:r>
    </w:p>
    <w:p>
      <w:pPr>
        <w:pStyle w:val="ListBullet"/>
      </w:pPr>
      <w:r>
        <w:t>The need statement describes the community's gap, not the organization's deficit.</w:t>
      </w:r>
    </w:p>
    <w:p>
      <w:pPr>
        <w:pStyle w:val="ListBullet"/>
      </w:pPr>
      <w:r>
        <w:t>Local data is cited to a named local source rather than to a national statistic.</w:t>
      </w:r>
    </w:p>
    <w:p>
      <w:pPr>
        <w:pStyle w:val="ListBullet"/>
      </w:pPr>
      <w:r>
        <w:t>Every partner named in the narrative has a letter attached that states a commitment.</w:t>
      </w:r>
    </w:p>
    <w:p>
      <w:pPr>
        <w:pStyle w:val="ListBullet"/>
      </w:pPr>
      <w:r>
        <w:t>The rights or performance license is secured, or the narrative says exactly when it will be.</w:t>
      </w:r>
    </w:p>
    <w:p>
      <w:pPr>
        <w:pStyle w:val="ListBullet"/>
      </w:pPr>
      <w:r>
        <w:t>Eligibility is confirmed against the specific program guidelines before drafting.</w:t>
      </w:r>
    </w:p>
    <w:p>
      <w:pPr>
        <w:pStyle w:val="ListBullet"/>
      </w:pPr>
      <w:r>
        <w:t>The proposal says what the grant does not cover.</w:t>
      </w:r>
    </w:p>
    <w:p>
      <w:pPr>
        <w:pStyle w:val="Heading2"/>
      </w:pPr>
      <w:r>
        <w:t>Substitutions by discipline</w:t>
      </w:r>
    </w:p>
    <w:tbl>
      <w:tblPr>
        <w:tblStyle w:val="LightGrid-Accent1"/>
        <w:tblW w:type="auto" w:w="0"/>
        <w:jc w:val="center"/>
        <w:tblLook w:firstColumn="1" w:firstRow="1" w:lastColumn="0" w:lastRow="0" w:noHBand="0" w:noVBand="1" w:val="04A0"/>
      </w:tblPr>
      <w:tblGrid>
        <w:gridCol w:w="2340"/>
        <w:gridCol w:w="2340"/>
        <w:gridCol w:w="2340"/>
        <w:gridCol w:w="2340"/>
      </w:tblGrid>
      <w:tr>
        <w:trPr>
          <w:tblHeader/>
        </w:trPr>
        <w:tc>
          <w:tcPr>
            <w:tcW w:type="dxa" w:w="2304"/>
          </w:tcPr>
          <w:p>
            <w:pPr>
              <w:spacing w:after="40"/>
            </w:pPr>
            <w:r/>
            <w:r>
              <w:rPr>
                <w:b/>
                <w:sz w:val="20"/>
              </w:rPr>
              <w:t>If you are a</w:t>
            </w:r>
          </w:p>
        </w:tc>
        <w:tc>
          <w:tcPr>
            <w:tcW w:type="dxa" w:w="2448"/>
          </w:tcPr>
          <w:p>
            <w:pPr>
              <w:spacing w:after="40"/>
            </w:pPr>
            <w:r/>
            <w:r>
              <w:rPr>
                <w:b/>
                <w:sz w:val="20"/>
              </w:rPr>
              <w:t>Replace performances with</w:t>
            </w:r>
          </w:p>
        </w:tc>
        <w:tc>
          <w:tcPr>
            <w:tcW w:type="dxa" w:w="2448"/>
          </w:tcPr>
          <w:p>
            <w:pPr>
              <w:spacing w:after="40"/>
            </w:pPr>
            <w:r/>
            <w:r>
              <w:rPr>
                <w:b/>
                <w:sz w:val="20"/>
              </w:rPr>
              <w:t>Replace residencies with</w:t>
            </w:r>
          </w:p>
        </w:tc>
        <w:tc>
          <w:tcPr>
            <w:tcW w:type="dxa" w:w="2736"/>
          </w:tcPr>
          <w:p>
            <w:pPr>
              <w:spacing w:after="40"/>
            </w:pPr>
            <w:r/>
            <w:r>
              <w:rPr>
                <w:b/>
                <w:sz w:val="20"/>
              </w:rPr>
              <w:t>Access line becomes</w:t>
            </w:r>
          </w:p>
        </w:tc>
      </w:tr>
      <w:tr>
        <w:tc>
          <w:tcPr>
            <w:tcW w:type="dxa" w:w="2304"/>
          </w:tcPr>
          <w:p>
            <w:pPr>
              <w:spacing w:after="40"/>
            </w:pPr>
            <w:r/>
            <w:r>
              <w:rPr>
                <w:b w:val="0"/>
                <w:sz w:val="20"/>
              </w:rPr>
              <w:t>Gallery or visual arts organization</w:t>
            </w:r>
          </w:p>
        </w:tc>
        <w:tc>
          <w:tcPr>
            <w:tcW w:type="dxa" w:w="2448"/>
          </w:tcPr>
          <w:p>
            <w:pPr>
              <w:spacing w:after="40"/>
            </w:pPr>
            <w:r/>
            <w:r>
              <w:rPr>
                <w:b w:val="0"/>
                <w:sz w:val="20"/>
              </w:rPr>
              <w:t>Exhibition days and open hours</w:t>
            </w:r>
          </w:p>
        </w:tc>
        <w:tc>
          <w:tcPr>
            <w:tcW w:type="dxa" w:w="2448"/>
          </w:tcPr>
          <w:p>
            <w:pPr>
              <w:spacing w:after="40"/>
            </w:pPr>
            <w:r/>
            <w:r>
              <w:rPr>
                <w:b w:val="0"/>
                <w:sz w:val="20"/>
              </w:rPr>
              <w:t>Artist talks and studio workshops</w:t>
            </w:r>
          </w:p>
        </w:tc>
        <w:tc>
          <w:tcPr>
            <w:tcW w:type="dxa" w:w="2736"/>
          </w:tcPr>
          <w:p>
            <w:pPr>
              <w:spacing w:after="40"/>
            </w:pPr>
            <w:r/>
            <w:r>
              <w:rPr>
                <w:b w:val="0"/>
                <w:sz w:val="20"/>
              </w:rPr>
              <w:t>Tactile tours, large-print labels, interpreted openings</w:t>
            </w:r>
          </w:p>
        </w:tc>
      </w:tr>
      <w:tr>
        <w:tc>
          <w:tcPr>
            <w:tcW w:type="dxa" w:w="2304"/>
          </w:tcPr>
          <w:p>
            <w:pPr>
              <w:spacing w:after="40"/>
            </w:pPr>
            <w:r/>
            <w:r>
              <w:rPr>
                <w:b w:val="0"/>
                <w:sz w:val="20"/>
              </w:rPr>
              <w:t>Music ensemble</w:t>
            </w:r>
          </w:p>
        </w:tc>
        <w:tc>
          <w:tcPr>
            <w:tcW w:type="dxa" w:w="2448"/>
          </w:tcPr>
          <w:p>
            <w:pPr>
              <w:spacing w:after="40"/>
            </w:pPr>
            <w:r/>
            <w:r>
              <w:rPr>
                <w:b w:val="0"/>
                <w:sz w:val="20"/>
              </w:rPr>
              <w:t>Concerts in the season</w:t>
            </w:r>
          </w:p>
        </w:tc>
        <w:tc>
          <w:tcPr>
            <w:tcW w:type="dxa" w:w="2448"/>
          </w:tcPr>
          <w:p>
            <w:pPr>
              <w:spacing w:after="40"/>
            </w:pPr>
            <w:r/>
            <w:r>
              <w:rPr>
                <w:b w:val="0"/>
                <w:sz w:val="20"/>
              </w:rPr>
              <w:t>School clinics and side-by-side rehearsals</w:t>
            </w:r>
          </w:p>
        </w:tc>
        <w:tc>
          <w:tcPr>
            <w:tcW w:type="dxa" w:w="2736"/>
          </w:tcPr>
          <w:p>
            <w:pPr>
              <w:spacing w:after="40"/>
            </w:pPr>
            <w:r/>
            <w:r>
              <w:rPr>
                <w:b w:val="0"/>
                <w:sz w:val="20"/>
              </w:rPr>
              <w:t>Interpreted concerts, assistive listening, relaxed performances</w:t>
            </w:r>
          </w:p>
        </w:tc>
      </w:tr>
      <w:tr>
        <w:tc>
          <w:tcPr>
            <w:tcW w:type="dxa" w:w="2304"/>
          </w:tcPr>
          <w:p>
            <w:pPr>
              <w:spacing w:after="40"/>
            </w:pPr>
            <w:r/>
            <w:r>
              <w:rPr>
                <w:b w:val="0"/>
                <w:sz w:val="20"/>
              </w:rPr>
              <w:t>Dance company</w:t>
            </w:r>
          </w:p>
        </w:tc>
        <w:tc>
          <w:tcPr>
            <w:tcW w:type="dxa" w:w="2448"/>
          </w:tcPr>
          <w:p>
            <w:pPr>
              <w:spacing w:after="40"/>
            </w:pPr>
            <w:r/>
            <w:r>
              <w:rPr>
                <w:b w:val="0"/>
                <w:sz w:val="20"/>
              </w:rPr>
              <w:t>Performances and open rehearsals</w:t>
            </w:r>
          </w:p>
        </w:tc>
        <w:tc>
          <w:tcPr>
            <w:tcW w:type="dxa" w:w="2448"/>
          </w:tcPr>
          <w:p>
            <w:pPr>
              <w:spacing w:after="40"/>
            </w:pPr>
            <w:r/>
            <w:r>
              <w:rPr>
                <w:b w:val="0"/>
                <w:sz w:val="20"/>
              </w:rPr>
              <w:t>Community classes and residencies</w:t>
            </w:r>
          </w:p>
        </w:tc>
        <w:tc>
          <w:tcPr>
            <w:tcW w:type="dxa" w:w="2736"/>
          </w:tcPr>
          <w:p>
            <w:pPr>
              <w:spacing w:after="40"/>
            </w:pPr>
            <w:r/>
            <w:r>
              <w:rPr>
                <w:b w:val="0"/>
                <w:sz w:val="20"/>
              </w:rPr>
              <w:t>Audio description, interpreted performances, relaxed performances</w:t>
            </w:r>
          </w:p>
        </w:tc>
      </w:tr>
      <w:tr>
        <w:tc>
          <w:tcPr>
            <w:tcW w:type="dxa" w:w="2304"/>
          </w:tcPr>
          <w:p>
            <w:pPr>
              <w:spacing w:after="40"/>
            </w:pPr>
            <w:r/>
            <w:r>
              <w:rPr>
                <w:b w:val="0"/>
                <w:sz w:val="20"/>
              </w:rPr>
              <w:t>Folk and traditional arts program</w:t>
            </w:r>
          </w:p>
        </w:tc>
        <w:tc>
          <w:tcPr>
            <w:tcW w:type="dxa" w:w="2448"/>
          </w:tcPr>
          <w:p>
            <w:pPr>
              <w:spacing w:after="40"/>
            </w:pPr>
            <w:r/>
            <w:r>
              <w:rPr>
                <w:b w:val="0"/>
                <w:sz w:val="20"/>
              </w:rPr>
              <w:t>Public presentations and festival days</w:t>
            </w:r>
          </w:p>
        </w:tc>
        <w:tc>
          <w:tcPr>
            <w:tcW w:type="dxa" w:w="2448"/>
          </w:tcPr>
          <w:p>
            <w:pPr>
              <w:spacing w:after="40"/>
            </w:pPr>
            <w:r/>
            <w:r>
              <w:rPr>
                <w:b w:val="0"/>
                <w:sz w:val="20"/>
              </w:rPr>
              <w:t>Apprenticeships and workshops</w:t>
            </w:r>
          </w:p>
        </w:tc>
        <w:tc>
          <w:tcPr>
            <w:tcW w:type="dxa" w:w="2736"/>
          </w:tcPr>
          <w:p>
            <w:pPr>
              <w:spacing w:after="40"/>
            </w:pPr>
            <w:r/>
            <w:r>
              <w:rPr>
                <w:b w:val="0"/>
                <w:sz w:val="20"/>
              </w:rPr>
              <w:t>Interpretation in community languages, accessible venues</w:t>
            </w:r>
          </w:p>
        </w:tc>
      </w:tr>
      <w:tr>
        <w:tc>
          <w:tcPr>
            <w:tcW w:type="dxa" w:w="2304"/>
          </w:tcPr>
          <w:p>
            <w:pPr>
              <w:spacing w:after="40"/>
            </w:pPr>
            <w:r/>
            <w:r>
              <w:rPr>
                <w:b w:val="0"/>
                <w:sz w:val="20"/>
              </w:rPr>
              <w:t>Museum education department</w:t>
            </w:r>
          </w:p>
        </w:tc>
        <w:tc>
          <w:tcPr>
            <w:tcW w:type="dxa" w:w="2448"/>
          </w:tcPr>
          <w:p>
            <w:pPr>
              <w:spacing w:after="40"/>
            </w:pPr>
            <w:r/>
            <w:r>
              <w:rPr>
                <w:b w:val="0"/>
                <w:sz w:val="20"/>
              </w:rPr>
              <w:t>Program days and gallery sessions</w:t>
            </w:r>
          </w:p>
        </w:tc>
        <w:tc>
          <w:tcPr>
            <w:tcW w:type="dxa" w:w="2448"/>
          </w:tcPr>
          <w:p>
            <w:pPr>
              <w:spacing w:after="40"/>
            </w:pPr>
            <w:r/>
            <w:r>
              <w:rPr>
                <w:b w:val="0"/>
                <w:sz w:val="20"/>
              </w:rPr>
              <w:t>Classroom partnerships and family programs</w:t>
            </w:r>
          </w:p>
        </w:tc>
        <w:tc>
          <w:tcPr>
            <w:tcW w:type="dxa" w:w="2736"/>
          </w:tcPr>
          <w:p>
            <w:pPr>
              <w:spacing w:after="40"/>
            </w:pPr>
            <w:r/>
            <w:r>
              <w:rPr>
                <w:b w:val="0"/>
                <w:sz w:val="20"/>
              </w:rPr>
              <w:t>Sensory-friendly hours, interpreted tours, tactile materials</w:t>
            </w:r>
          </w:p>
        </w:tc>
      </w:tr>
      <w:tr>
        <w:tc>
          <w:tcPr>
            <w:tcW w:type="dxa" w:w="2304"/>
          </w:tcPr>
          <w:p>
            <w:pPr>
              <w:spacing w:after="40"/>
            </w:pPr>
            <w:r/>
            <w:r>
              <w:rPr>
                <w:b w:val="0"/>
                <w:sz w:val="20"/>
              </w:rPr>
              <w:t>Literary organization</w:t>
            </w:r>
          </w:p>
        </w:tc>
        <w:tc>
          <w:tcPr>
            <w:tcW w:type="dxa" w:w="2448"/>
          </w:tcPr>
          <w:p>
            <w:pPr>
              <w:spacing w:after="40"/>
            </w:pPr>
            <w:r/>
            <w:r>
              <w:rPr>
                <w:b w:val="0"/>
                <w:sz w:val="20"/>
              </w:rPr>
              <w:t>Readings and public events</w:t>
            </w:r>
          </w:p>
        </w:tc>
        <w:tc>
          <w:tcPr>
            <w:tcW w:type="dxa" w:w="2448"/>
          </w:tcPr>
          <w:p>
            <w:pPr>
              <w:spacing w:after="40"/>
            </w:pPr>
            <w:r/>
            <w:r>
              <w:rPr>
                <w:b w:val="0"/>
                <w:sz w:val="20"/>
              </w:rPr>
              <w:t>Writing workshops and school visits</w:t>
            </w:r>
          </w:p>
        </w:tc>
        <w:tc>
          <w:tcPr>
            <w:tcW w:type="dxa" w:w="2736"/>
          </w:tcPr>
          <w:p>
            <w:pPr>
              <w:spacing w:after="40"/>
            </w:pPr>
            <w:r/>
            <w:r>
              <w:rPr>
                <w:b w:val="0"/>
                <w:sz w:val="20"/>
              </w:rPr>
              <w:t>Captioned readings, large-print texts, interpreted events</w:t>
            </w:r>
          </w:p>
        </w:tc>
      </w:tr>
    </w:tbl>
    <w:p>
      <w:pPr>
        <w:spacing w:after="40"/>
      </w:pPr>
    </w:p>
    <w:p>
      <w:pPr>
        <w:pStyle w:val="Heading1"/>
      </w:pPr>
      <w:r>
        <w:t>Sources Cited in This Document</w:t>
      </w:r>
    </w:p>
    <w:p>
      <w:pPr>
        <w:pStyle w:val="ListBullet"/>
      </w:pPr>
      <w:r>
        <w:t>1 to 1 nonfederal cost share requirement, review criteria of artistic excellence and artistic merit, artist compensation as a merit factor, five-year programming and $20,000 operating budget eligibility, and the exclusion of full-season support: National Endowment for the Arts, FY27 Grants for Arts Projects Program Guidelines. https://www.arts.gov/grants/grants-for-arts-projects</w:t>
      </w:r>
    </w:p>
    <w:p>
      <w:pPr>
        <w:pStyle w:val="ListBullet"/>
      </w:pPr>
      <w:r>
        <w:t>Work sample review time, upload allowance, required sample metadata, and the six-month link durability requirement: National Endowment for the Arts, FY27 Grants for Arts Projects discipline application instructions. https://www.arts.gov/grants/grants-for-arts-projects</w:t>
      </w:r>
    </w:p>
    <w:p>
      <w:pPr>
        <w:pStyle w:val="ListBullet"/>
      </w:pPr>
      <w:r>
        <w:t>Federal funds subgranted from a state arts agency, regional arts organization, or local arts agency cannot be used as match: National Endowment for the Arts, Project Budget Form and instructions. https://www.arts.gov/grants/grants-for-arts-projects</w:t>
      </w:r>
    </w:p>
    <w:p>
      <w:pPr>
        <w:pStyle w:val="ListBullet"/>
      </w:pPr>
      <w:r>
        <w:t>De minimis indirect cost rate of up to 15 percent of modified total direct costs, raised from 10 percent in the 2024 Uniform Guidance revision: 2 CFR 200.414(f). https://www.ecfr.gov/current/title-2/section-200.414</w:t>
      </w:r>
    </w:p>
    <w:p>
      <w:pPr>
        <w:pStyle w:val="ListBullet"/>
      </w:pPr>
      <w:r>
        <w:t>Community characteristics for a need statement: U.S. Census Bureau, American Community Survey. https://data.census.gov</w:t>
      </w:r>
    </w:p>
    <w:p>
      <w:pPr>
        <w:pStyle w:val="ListBullet"/>
      </w:pPr>
      <w:r>
        <w:t>Local evidence a panel finds more persuasive than national statistics: your school district's staffing reports, your municipality's cultural plan, and your own box office reports by ZIP code.</w:t>
      </w:r>
    </w:p>
    <w:p>
      <w:pPr>
        <w:pStyle w:val="Heading2"/>
      </w:pPr>
      <w:r>
        <w:t>About this template</w:t>
      </w:r>
    </w:p>
    <w:p>
      <w:r>
        <w:rPr>
          <w:b w:val="0"/>
          <w:i w:val="0"/>
        </w:rPr>
        <w:t>This sample proposal accompanies the article "Sample Grant Proposal for Arts Organization: Full Example and Budget" on the GrantCue blog. It is free to adapt, reuse, and submit under your own organization's name. There is no email gate, no watermark, and no section held back.</w:t>
      </w:r>
    </w:p>
    <w:p>
      <w:r>
        <w:rPr>
          <w:b w:val="0"/>
          <w:i w:val="0"/>
        </w:rPr>
        <w:t>GrantCue searches federal, state, and local grant portals in one place and carries IRS Form 990-PF foundation data, so an arts organization can see which funders already give to arts and culture in its region before writing a word of narrative.</w:t>
      </w:r>
    </w:p>
    <w:p>
      <w:r>
        <w:rPr>
          <w:b/>
          <w:i w:val="0"/>
        </w:rPr>
        <w:t>GrantCue - grantcue.com/blog/sample-grant-proposal-arts-organization</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A60"/>
        <w:sz w:val="17"/>
      </w:rPr>
      <w:t>GrantCue - grantcue.com/blog/sample-grant-proposal-arts-organization</w:t>
    </w:r>
  </w:p>
  <w:p>
    <w:pPr>
      <w:jc w:val="center"/>
    </w:pPr>
    <w:r>
      <w:rPr>
        <w:color w:val="4A5A60"/>
        <w:sz w:val="17"/>
      </w:rPr>
      <w:t xml:space="preserve">Page </w:t>
    </w:r>
    <w:fldSimple w:instr="PAGE">
      <w:r>
        <w:rPr>
          <w:sz w:val="17"/>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F3D4A"/>
      <w:sz w:val="34"/>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Calibri" w:hAnsi="Calibri"/>
      <w:b/>
      <w:bCs/>
      <w:color w:val="1F3D4A"/>
      <w:sz w:val="27"/>
      <w:szCs w:val="26"/>
    </w:rPr>
  </w:style>
  <w:style w:type="paragraph" w:styleId="Heading3">
    <w:name w:val="heading 3"/>
    <w:basedOn w:val="Normal"/>
    <w:next w:val="Normal"/>
    <w:link w:val="Heading3Char"/>
    <w:uiPriority w:val="9"/>
    <w:unhideWhenUsed/>
    <w:qFormat/>
    <w:rsid w:val="00FC693F"/>
    <w:pPr>
      <w:keepNext/>
      <w:keepLines/>
      <w:spacing w:before="220" w:after="80"/>
      <w:outlineLvl w:val="2"/>
    </w:pPr>
    <w:rPr>
      <w:rFonts w:asciiTheme="majorHAnsi" w:eastAsiaTheme="majorEastAsia" w:hAnsiTheme="majorHAnsi" w:cstheme="majorBidi" w:ascii="Calibri" w:hAnsi="Calibri"/>
      <w:b/>
      <w:bCs/>
      <w:color w:val="2E5A6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b w:val="0"/>
      <w:color w:val="1F3D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Calibri" w:hAnsi="Calibri"/>
      <w:b w:val="0"/>
      <w:i/>
      <w:iCs/>
      <w:color w:val="4A5A6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