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rPr>
          <w:color w:val="6B7480"/>
        </w:rPr>
        <w:t>GRANT WRITING EXAMPLE PACK</w:t>
      </w:r>
    </w:p>
    <w:p>
      <w:pPr>
        <w:pStyle w:val="Title"/>
      </w:pPr>
      <w:r>
        <w:t>Weak and Strong Versions of Every Core Proposal Section</w:t>
      </w:r>
    </w:p>
    <w:p>
      <w:pPr>
        <w:pStyle w:val="PackLead"/>
      </w:pPr>
      <w:r>
        <w:t>Eight sections of a nonprofit grant proposal, written out twice: once the way a first draft usually reads, and once after the writer went looking for evidence. Each pair is followed by the specific swaps that changed it and three questions to run against your own draft.</w:t>
      </w:r>
    </w:p>
    <w:tbl>
      <w:tblPr>
        <w:tblStyle w:val="TableGrid"/>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96"/>
        <w:gridCol w:w="4896"/>
      </w:tblGrid>
      <w:tr>
        <w:trPr>
          <w:tblHeader w:val="true"/>
        </w:trPr>
        <w:tc>
          <w:tcPr>
            <w:tcW w:type="dxa" w:w="4896"/>
            <w:shd w:val="clear" w:color="auto" w:fill="1B355E"/>
          </w:tcPr>
          <w:p>
            <w:pPr>
              <w:pStyle w:val="PackTableHead"/>
            </w:pPr>
            <w:r/>
            <w:r>
              <w:t>What is in this pack</w:t>
            </w:r>
          </w:p>
        </w:tc>
        <w:tc>
          <w:tcPr>
            <w:tcW w:type="dxa" w:w="4896"/>
            <w:shd w:val="clear" w:color="auto" w:fill="1B355E"/>
          </w:tcPr>
          <w:p>
            <w:pPr>
              <w:pStyle w:val="PackTableHead"/>
            </w:pPr>
            <w:r/>
            <w:r>
              <w:t>How long it takes</w:t>
            </w:r>
          </w:p>
        </w:tc>
      </w:tr>
      <w:tr>
        <w:tc>
          <w:tcPr>
            <w:tcW w:type="dxa" w:w="4896"/>
            <w:shd w:val="clear" w:color="auto" w:fill="F3F5F8"/>
          </w:tcPr>
          <w:p>
            <w:pPr>
              <w:pStyle w:val="PackCell"/>
            </w:pPr>
            <w:r/>
            <w:r>
              <w:t>Eight paired examples: executive summary, statement of need, goals and objectives, program description, organizational capacity, evaluation plan, budget narrative, and sustainability.</w:t>
            </w:r>
          </w:p>
          <w:p>
            <w:pPr>
              <w:pStyle w:val="PackCell"/>
            </w:pPr>
            <w:r>
              <w:t>A budget table with the arithmetic shown for every line.</w:t>
            </w:r>
          </w:p>
          <w:p>
            <w:pPr>
              <w:pStyle w:val="PackCell"/>
            </w:pPr>
            <w:r>
              <w:t>A phrase swap list of thirteen expressions that signal a weak draft, with what to replace each one with.</w:t>
            </w:r>
          </w:p>
          <w:p>
            <w:pPr>
              <w:pStyle w:val="PackCell"/>
            </w:pPr>
            <w:r>
              <w:t>A five-pass revision routine and a pre-submission checklist you can work through with a printed draft.</w:t>
            </w:r>
          </w:p>
        </w:tc>
        <w:tc>
          <w:tcPr>
            <w:tcW w:type="dxa" w:w="4896"/>
            <w:shd w:val="clear" w:color="auto" w:fill="F3F5F8"/>
          </w:tcPr>
          <w:p>
            <w:pPr>
              <w:pStyle w:val="PackCell"/>
            </w:pPr>
            <w:r/>
            <w:r>
              <w:t>Read one pair, rewrite one section: about 40 minutes.</w:t>
            </w:r>
          </w:p>
          <w:p>
            <w:pPr>
              <w:pStyle w:val="PackCell"/>
            </w:pPr>
            <w:r>
              <w:t>Work the whole pack against a full draft: a focused afternoon.</w:t>
            </w:r>
          </w:p>
          <w:p>
            <w:pPr>
              <w:pStyle w:val="PackCell"/>
            </w:pPr>
            <w:r>
              <w:t>Nothing here is gated, watermarked, or shortened. Adapt any sentence you want, then replace our numbers with yours.</w:t>
            </w:r>
          </w:p>
        </w:tc>
      </w:tr>
    </w:tbl>
    <w:p>
      <w:pPr>
        <w:pStyle w:val="Heading1"/>
      </w:pPr>
      <w:r>
        <w:t>How to use these examples</w:t>
      </w:r>
    </w:p>
    <w:p>
      <w:r>
        <w:t>Read the weak version first and read it slowly. It is designed to feel acceptable, because that is the problem with weak grant writing: it sounds like content while committing to nothing. Most first drafts read this way, including drafts written by people who have been doing this for years.</w:t>
      </w:r>
    </w:p>
    <w:p>
      <w:r>
        <w:t>Then read the strong version beside it and notice that the content did not change. The program is the same program. What changed is that every claim now carries a number, a date, or a named source, so a reviewer can check it without calling you.</w:t>
      </w:r>
    </w:p>
    <w:p>
      <w:r>
        <w:t>Copy the structure and the level of specificity. Do not copy the sentences. A program officer can spot borrowed sample language because the phrasing does not match the rest of the application, and a sample written for one funder carries assumptions that will not match your solicitation, your word limit, or your data.</w:t>
      </w:r>
    </w:p>
    <w:p>
      <w:pPr>
        <w:pStyle w:val="Heading2"/>
      </w:pPr>
      <w:r>
        <w:t>About the example organization</w:t>
      </w:r>
    </w:p>
    <w:p>
      <w:r>
        <w:t>Every example in this pack comes from one composite: Riverbend Reading Partners, a small literacy nonprofit requesting $25,000 from a community foundation for an after-school reading program at two elementary schools. The organization, the schools, the district, the dates, and every number are invented for illustration. They do not describe a real nonprofit, a real school district, or a real funder, and no real person appears in these examples.</w:t>
      </w:r>
    </w:p>
    <w:p>
      <w:r>
        <w:t>The numbers are internally consistent on purpose. The staffing in the program description produces the personnel figure in the budget, the volunteer count in the training line matches the session schedule, and the three budget lines add to the $25,000 request. That consistency is itself part of what makes a proposal strong, and it is the first thing a careful reviewer tests.</w:t>
      </w:r>
    </w:p>
    <w:p>
      <w:pPr>
        <w:pStyle w:val="Heading1"/>
      </w:pPr>
      <w:r>
        <w:t>The swap, in one line per section</w:t>
      </w:r>
    </w:p>
    <w:p>
      <w:r>
        <w:t>Weak grant writing describes intentions. Strong grant writing describes commitments a reviewer can check. Every pair in this pack is a version of the same move.</w:t>
      </w:r>
    </w:p>
    <w:tbl>
      <w:tblPr>
        <w:tblStyle w:val="TableGrid"/>
        <w:tblW w:type="auto" w:w="0"/>
        <w:jc w:val="center"/>
        <w:tblLayout w:type="fixed"/>
        <w:tblCellMar>
          <w:top w:w="80" w:type="dxa"/>
          <w:left w:w="110" w:type="dxa"/>
          <w:bottom w:w="80" w:type="dxa"/>
          <w:right w:w="110" w:type="dxa"/>
        </w:tblCellMar>
        <w:tblLook w:firstColumn="1" w:firstRow="1" w:lastColumn="0" w:lastRow="0" w:noHBand="0" w:noVBand="1" w:val="04A0"/>
      </w:tblPr>
      <w:tblGrid>
        <w:gridCol w:w="2088"/>
        <w:gridCol w:w="3528"/>
        <w:gridCol w:w="4176"/>
      </w:tblGrid>
      <w:tr>
        <w:trPr>
          <w:tblHeader w:val="true"/>
        </w:trPr>
        <w:tc>
          <w:tcPr>
            <w:tcW w:type="dxa" w:w="2088"/>
            <w:shd w:val="clear" w:color="auto" w:fill="1B355E"/>
          </w:tcPr>
          <w:p>
            <w:pPr>
              <w:pStyle w:val="PackTableHead"/>
            </w:pPr>
            <w:r/>
            <w:r>
              <w:t>Section</w:t>
            </w:r>
          </w:p>
        </w:tc>
        <w:tc>
          <w:tcPr>
            <w:tcW w:type="dxa" w:w="3528"/>
            <w:shd w:val="clear" w:color="auto" w:fill="1B355E"/>
          </w:tcPr>
          <w:p>
            <w:pPr>
              <w:pStyle w:val="PackTableHead"/>
            </w:pPr>
            <w:r/>
            <w:r>
              <w:t>Weak version sounds like</w:t>
            </w:r>
          </w:p>
        </w:tc>
        <w:tc>
          <w:tcPr>
            <w:tcW w:type="dxa" w:w="4176"/>
            <w:shd w:val="clear" w:color="auto" w:fill="1B355E"/>
          </w:tcPr>
          <w:p>
            <w:pPr>
              <w:pStyle w:val="PackTableHead"/>
            </w:pPr>
            <w:r/>
            <w:r>
              <w:t>Strong version does this</w:t>
            </w:r>
          </w:p>
        </w:tc>
      </w:tr>
      <w:tr>
        <w:tc>
          <w:tcPr>
            <w:tcW w:type="dxa" w:w="2088"/>
          </w:tcPr>
          <w:p>
            <w:pPr>
              <w:pStyle w:val="PackCell"/>
            </w:pPr>
            <w:r>
              <w:rPr>
                <w:b/>
              </w:rPr>
            </w:r>
            <w:r>
              <w:rPr>
                <w:b/>
              </w:rPr>
              <w:t>Executive summary</w:t>
            </w:r>
          </w:p>
        </w:tc>
        <w:tc>
          <w:tcPr>
            <w:tcW w:type="dxa" w:w="3528"/>
          </w:tcPr>
          <w:p>
            <w:pPr>
              <w:pStyle w:val="PackCell"/>
            </w:pPr>
            <w:r/>
            <w:r>
              <w:t>"We are pleased to submit this request for your consideration"</w:t>
            </w:r>
          </w:p>
        </w:tc>
        <w:tc>
          <w:tcPr>
            <w:tcW w:type="dxa" w:w="4176"/>
          </w:tcPr>
          <w:p>
            <w:pPr>
              <w:pStyle w:val="PackCell"/>
            </w:pPr>
            <w:r/>
            <w:r>
              <w:t>States the amount, the term, the number served, and the result you will report</w:t>
            </w:r>
          </w:p>
        </w:tc>
      </w:tr>
      <w:tr>
        <w:tc>
          <w:tcPr>
            <w:tcW w:type="dxa" w:w="2088"/>
          </w:tcPr>
          <w:p>
            <w:pPr>
              <w:pStyle w:val="PackCell"/>
            </w:pPr>
            <w:r>
              <w:rPr>
                <w:b/>
              </w:rPr>
            </w:r>
            <w:r>
              <w:rPr>
                <w:b/>
              </w:rPr>
              <w:t>Statement of need</w:t>
            </w:r>
          </w:p>
        </w:tc>
        <w:tc>
          <w:tcPr>
            <w:tcW w:type="dxa" w:w="3528"/>
          </w:tcPr>
          <w:p>
            <w:pPr>
              <w:pStyle w:val="PackCell"/>
            </w:pPr>
            <w:r/>
            <w:r>
              <w:t>"Our community faces significant challenges"</w:t>
            </w:r>
          </w:p>
        </w:tc>
        <w:tc>
          <w:tcPr>
            <w:tcW w:type="dxa" w:w="4176"/>
          </w:tcPr>
          <w:p>
            <w:pPr>
              <w:pStyle w:val="PackCell"/>
            </w:pPr>
            <w:r/>
            <w:r>
              <w:t>Names the population, the size of the gap, and where the number came from</w:t>
            </w:r>
          </w:p>
        </w:tc>
      </w:tr>
      <w:tr>
        <w:tc>
          <w:tcPr>
            <w:tcW w:type="dxa" w:w="2088"/>
          </w:tcPr>
          <w:p>
            <w:pPr>
              <w:pStyle w:val="PackCell"/>
            </w:pPr>
            <w:r>
              <w:rPr>
                <w:b/>
              </w:rPr>
            </w:r>
            <w:r>
              <w:rPr>
                <w:b/>
              </w:rPr>
              <w:t>Goals and objectives</w:t>
            </w:r>
          </w:p>
        </w:tc>
        <w:tc>
          <w:tcPr>
            <w:tcW w:type="dxa" w:w="3528"/>
          </w:tcPr>
          <w:p>
            <w:pPr>
              <w:pStyle w:val="PackCell"/>
            </w:pPr>
            <w:r/>
            <w:r>
              <w:t>"Improve outcomes for local youth"</w:t>
            </w:r>
          </w:p>
        </w:tc>
        <w:tc>
          <w:tcPr>
            <w:tcW w:type="dxa" w:w="4176"/>
          </w:tcPr>
          <w:p>
            <w:pPr>
              <w:pStyle w:val="PackCell"/>
            </w:pPr>
            <w:r/>
            <w:r>
              <w:t>Commits to a number, a date, a measurement instrument, and a baseline</w:t>
            </w:r>
          </w:p>
        </w:tc>
      </w:tr>
      <w:tr>
        <w:tc>
          <w:tcPr>
            <w:tcW w:type="dxa" w:w="2088"/>
          </w:tcPr>
          <w:p>
            <w:pPr>
              <w:pStyle w:val="PackCell"/>
            </w:pPr>
            <w:r>
              <w:rPr>
                <w:b/>
              </w:rPr>
            </w:r>
            <w:r>
              <w:rPr>
                <w:b/>
              </w:rPr>
              <w:t>Program description</w:t>
            </w:r>
          </w:p>
        </w:tc>
        <w:tc>
          <w:tcPr>
            <w:tcW w:type="dxa" w:w="3528"/>
          </w:tcPr>
          <w:p>
            <w:pPr>
              <w:pStyle w:val="PackCell"/>
            </w:pPr>
            <w:r/>
            <w:r>
              <w:t>"Evidence-based services and best practices"</w:t>
            </w:r>
          </w:p>
        </w:tc>
        <w:tc>
          <w:tcPr>
            <w:tcW w:type="dxa" w:w="4176"/>
          </w:tcPr>
          <w:p>
            <w:pPr>
              <w:pStyle w:val="PackCell"/>
            </w:pPr>
            <w:r/>
            <w:r>
              <w:t>Lets a reviewer tell who runs each session, on what days, with how many students</w:t>
            </w:r>
          </w:p>
        </w:tc>
      </w:tr>
      <w:tr>
        <w:tc>
          <w:tcPr>
            <w:tcW w:type="dxa" w:w="2088"/>
          </w:tcPr>
          <w:p>
            <w:pPr>
              <w:pStyle w:val="PackCell"/>
            </w:pPr>
            <w:r>
              <w:rPr>
                <w:b/>
              </w:rPr>
            </w:r>
            <w:r>
              <w:rPr>
                <w:b/>
              </w:rPr>
              <w:t>Organizational capacity</w:t>
            </w:r>
          </w:p>
        </w:tc>
        <w:tc>
          <w:tcPr>
            <w:tcW w:type="dxa" w:w="3528"/>
          </w:tcPr>
          <w:p>
            <w:pPr>
              <w:pStyle w:val="PackCell"/>
            </w:pPr>
            <w:r/>
            <w:r>
              <w:t>"A long track record of success"</w:t>
            </w:r>
          </w:p>
        </w:tc>
        <w:tc>
          <w:tcPr>
            <w:tcW w:type="dxa" w:w="4176"/>
          </w:tcPr>
          <w:p>
            <w:pPr>
              <w:pStyle w:val="PackCell"/>
            </w:pPr>
            <w:r/>
            <w:r>
              <w:t>Gives titles, tenure, current grant load, and a recent audit history</w:t>
            </w:r>
          </w:p>
        </w:tc>
      </w:tr>
      <w:tr>
        <w:tc>
          <w:tcPr>
            <w:tcW w:type="dxa" w:w="2088"/>
          </w:tcPr>
          <w:p>
            <w:pPr>
              <w:pStyle w:val="PackCell"/>
            </w:pPr>
            <w:r>
              <w:rPr>
                <w:b/>
              </w:rPr>
            </w:r>
            <w:r>
              <w:rPr>
                <w:b/>
              </w:rPr>
              <w:t>Evaluation plan</w:t>
            </w:r>
          </w:p>
        </w:tc>
        <w:tc>
          <w:tcPr>
            <w:tcW w:type="dxa" w:w="3528"/>
          </w:tcPr>
          <w:p>
            <w:pPr>
              <w:pStyle w:val="PackCell"/>
            </w:pPr>
            <w:r/>
            <w:r>
              <w:t>"We will evaluate effectiveness"</w:t>
            </w:r>
          </w:p>
        </w:tc>
        <w:tc>
          <w:tcPr>
            <w:tcW w:type="dxa" w:w="4176"/>
          </w:tcPr>
          <w:p>
            <w:pPr>
              <w:pStyle w:val="PackCell"/>
            </w:pPr>
            <w:r/>
            <w:r>
              <w:t>Names the instrument, the testing windows, and who reviews the results</w:t>
            </w:r>
          </w:p>
        </w:tc>
      </w:tr>
      <w:tr>
        <w:tc>
          <w:tcPr>
            <w:tcW w:type="dxa" w:w="2088"/>
          </w:tcPr>
          <w:p>
            <w:pPr>
              <w:pStyle w:val="PackCell"/>
            </w:pPr>
            <w:r>
              <w:rPr>
                <w:b/>
              </w:rPr>
            </w:r>
            <w:r>
              <w:rPr>
                <w:b/>
              </w:rPr>
              <w:t>Budget narrative</w:t>
            </w:r>
          </w:p>
        </w:tc>
        <w:tc>
          <w:tcPr>
            <w:tcW w:type="dxa" w:w="3528"/>
          </w:tcPr>
          <w:p>
            <w:pPr>
              <w:pStyle w:val="PackCell"/>
            </w:pPr>
            <w:r/>
            <w:r>
              <w:t>A list of line items with totals</w:t>
            </w:r>
          </w:p>
        </w:tc>
        <w:tc>
          <w:tcPr>
            <w:tcW w:type="dxa" w:w="4176"/>
          </w:tcPr>
          <w:p>
            <w:pPr>
              <w:pStyle w:val="PackCell"/>
            </w:pPr>
            <w:r/>
            <w:r>
              <w:t>Shows the arithmetic behind each line and what the grant does not pay for</w:t>
            </w:r>
          </w:p>
        </w:tc>
      </w:tr>
      <w:tr>
        <w:tc>
          <w:tcPr>
            <w:tcW w:type="dxa" w:w="2088"/>
          </w:tcPr>
          <w:p>
            <w:pPr>
              <w:pStyle w:val="PackCell"/>
            </w:pPr>
            <w:r>
              <w:rPr>
                <w:b/>
              </w:rPr>
            </w:r>
            <w:r>
              <w:rPr>
                <w:b/>
              </w:rPr>
              <w:t>Sustainability</w:t>
            </w:r>
          </w:p>
        </w:tc>
        <w:tc>
          <w:tcPr>
            <w:tcW w:type="dxa" w:w="3528"/>
          </w:tcPr>
          <w:p>
            <w:pPr>
              <w:pStyle w:val="PackCell"/>
            </w:pPr>
            <w:r/>
            <w:r>
              <w:t>"We will seek additional funding"</w:t>
            </w:r>
          </w:p>
        </w:tc>
        <w:tc>
          <w:tcPr>
            <w:tcW w:type="dxa" w:w="4176"/>
          </w:tcPr>
          <w:p>
            <w:pPr>
              <w:pStyle w:val="PackCell"/>
            </w:pPr>
            <w:r/>
            <w:r>
              <w:t>Points to money already committed and a dated renewal decision</w:t>
            </w:r>
          </w:p>
        </w:tc>
      </w:tr>
    </w:tbl>
    <w:p>
      <w:pPr>
        <w:pStyle w:val="PackNote"/>
      </w:pPr>
      <w:r>
        <w:t>The pattern in all eight rows is the same. The strong column answers a question the reviewer would otherwise have to ask you. If you strip every adjective out of a paragraph and nothing measurable is left, the paragraph is not saying anything yet.</w:t>
      </w:r>
    </w:p>
    <w:p>
      <w:r>
        <w:br w:type="page"/>
      </w:r>
    </w:p>
    <w:p>
      <w:pPr>
        <w:pStyle w:val="Heading1"/>
      </w:pPr>
      <w:r>
        <w:t>1. Executive Summary</w:t>
      </w:r>
    </w:p>
    <w:p>
      <w:r>
        <w:t>The summary is often the only section every committee member reads, and it is frequently read last by the person writing it and first by the person scoring it. It has one job: let a reviewer state your request accurately to someone who has not read the proposal.</w:t>
      </w:r>
    </w:p>
    <w:tbl>
      <w:tblPr>
        <w:tblStyle w:val="TableGrid"/>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67"/>
        <w:gridCol w:w="4867"/>
      </w:tblGrid>
      <w:tr>
        <w:trPr>
          <w:tblHeader w:val="true"/>
        </w:trPr>
        <w:tc>
          <w:tcPr>
            <w:tcW w:type="dxa" w:w="4867"/>
            <w:shd w:val="clear" w:color="auto" w:fill="1B355E"/>
          </w:tcPr>
          <w:p>
            <w:pPr>
              <w:pStyle w:val="PackTableHead"/>
            </w:pPr>
            <w:r/>
            <w:r>
              <w:t>Weak version</w:t>
            </w:r>
          </w:p>
        </w:tc>
        <w:tc>
          <w:tcPr>
            <w:tcW w:type="dxa" w:w="4867"/>
            <w:shd w:val="clear" w:color="auto" w:fill="1B355E"/>
          </w:tcPr>
          <w:p>
            <w:pPr>
              <w:pStyle w:val="PackTableHead"/>
            </w:pPr>
            <w:r/>
            <w:r>
              <w:t>Strong version</w:t>
            </w:r>
          </w:p>
        </w:tc>
      </w:tr>
      <w:tr>
        <w:tc>
          <w:tcPr>
            <w:tcW w:type="dxa" w:w="4867"/>
            <w:shd w:val="clear" w:color="auto" w:fill="FBF1EE"/>
          </w:tcPr>
          <w:p>
            <w:pPr>
              <w:pStyle w:val="PackCell"/>
            </w:pPr>
            <w:r/>
            <w:r>
              <w:t>Riverbend Reading Partners is pleased to submit this proposal for your consideration. We are a dedicated organization with a passion for helping children succeed, and we have a long history of serving our community.</w:t>
            </w:r>
          </w:p>
          <w:p>
            <w:pPr>
              <w:pStyle w:val="PackCell"/>
            </w:pPr>
            <w:r>
              <w:t>Our after-school program addresses a critical need in the area of childhood literacy, and we are uniquely positioned to make a meaningful difference in the lives of the students we serve. With your support, we will be able to expand our reach and deepen our impact.</w:t>
            </w:r>
          </w:p>
          <w:p>
            <w:pPr>
              <w:pStyle w:val="PackCell"/>
            </w:pPr>
            <w:r>
              <w:t>We respectfully request your support for this important work and look forward to the possibility of partnering with your foundation. Thank you for your time and consideration.</w:t>
            </w:r>
          </w:p>
        </w:tc>
        <w:tc>
          <w:tcPr>
            <w:tcW w:type="dxa" w:w="4867"/>
            <w:shd w:val="clear" w:color="auto" w:fill="EFF5EF"/>
          </w:tcPr>
          <w:p>
            <w:pPr>
              <w:pStyle w:val="PackCell"/>
            </w:pPr>
            <w:r/>
            <w:r>
              <w:t>Riverbend Reading Partners requests $25,000 over twelve months to run an after-school reading program for 80 second and third graders at Cedar Hill Elementary and Marsh Creek Elementary.</w:t>
            </w:r>
          </w:p>
          <w:p>
            <w:pPr>
              <w:pStyle w:val="PackCell"/>
            </w:pPr>
            <w:r>
              <w:t>Second and third graders at both schools read below grade level at a higher rate than the district average on the spring assessment, and the only other free afternoon tutoring in the attendance zone ended its sessions in 2024. Our intake log recorded 84 families last year we could not seat because every reading slot was full.</w:t>
            </w:r>
          </w:p>
          <w:p>
            <w:pPr>
              <w:pStyle w:val="PackCell"/>
            </w:pPr>
            <w:r>
              <w:t>The grant covers the program's full direct cost: two part-time site coordinators, workbooks for all 80 enrolled students, and onboarding for the 25 volunteer tutors who staff the sessions. Our organizational budget for the year is $310,000. The district provides classroom space and the phonics curriculum at no charge, so no facilities cost appears in this request.</w:t>
            </w:r>
          </w:p>
          <w:p>
            <w:pPr>
              <w:pStyle w:val="PackCell"/>
            </w:pPr>
            <w:r>
              <w:t>By June 30, 2027, we expect 60 of the 80 enrolled students to gain at least one grade level on the district reading assessment, measured against each student's own fall score. We report results by grade level and by attendance band, and we send that report to the foundation in June, before the board reviews it in August.</w:t>
            </w:r>
          </w:p>
          <w:p>
            <w:pPr>
              <w:pStyle w:val="PackCell"/>
            </w:pPr>
            <w:r>
              <w:t>Our program director is available to walk any part of this request through with your staff before the committee meets.</w:t>
            </w:r>
          </w:p>
        </w:tc>
      </w:tr>
    </w:tbl>
    <w:p>
      <w:pPr>
        <w:pStyle w:val="Heading3"/>
      </w:pPr>
      <w:r>
        <w:t>What changed, and why it scores better</w:t>
      </w:r>
    </w:p>
    <w:p>
      <w:pPr>
        <w:pStyle w:val="ListBullet"/>
      </w:pPr>
      <w:r>
        <w:t>Opens with the amount, the term, the number served, and the sites, so a reviewer can log the request before reading the second sentence.</w:t>
      </w:r>
    </w:p>
    <w:p>
      <w:pPr>
        <w:pStyle w:val="ListBullet"/>
      </w:pPr>
      <w:r>
        <w:t>Replaces "a critical need" with the two facts a program officer would otherwise have to ask for: how the schools compare with the district, and what happened to the alternative.</w:t>
      </w:r>
    </w:p>
    <w:p>
      <w:pPr>
        <w:pStyle w:val="ListBullet"/>
      </w:pPr>
      <w:r>
        <w:t>States what the money buys and what the district contributes, which tells the funder this is the real cost of the program rather than a slice of it.</w:t>
      </w:r>
    </w:p>
    <w:p>
      <w:pPr>
        <w:pStyle w:val="ListBullet"/>
      </w:pPr>
      <w:r>
        <w:t>Ends on the result the funder will be able to check next year, not on a thank-you.</w:t>
      </w:r>
    </w:p>
    <w:p>
      <w:pPr>
        <w:pStyle w:val="Heading3"/>
      </w:pPr>
      <w:r>
        <w:t>Check your own draft</w:t>
      </w:r>
    </w:p>
    <w:tbl>
      <w:tblPr>
        <w:tblStyle w:val="TableGrid"/>
        <w:tblW w:type="auto" w:w="0"/>
        <w:tblLayout w:type="fixed"/>
        <w:tblCellMar>
          <w:top w:w="90" w:type="dxa"/>
          <w:left w:w="110" w:type="dxa"/>
          <w:bottom w:w="90" w:type="dxa"/>
          <w:right w:w="110" w:type="dxa"/>
        </w:tblCellMar>
        <w:tblLook w:firstColumn="1" w:firstRow="1" w:lastColumn="0" w:lastRow="0" w:noHBand="0" w:noVBand="1" w:val="04A0"/>
      </w:tblPr>
      <w:tblGrid>
        <w:gridCol w:w="9792"/>
      </w:tblGrid>
      <w:tr>
        <w:tc>
          <w:tcPr>
            <w:tcW w:type="dxa" w:w="9792"/>
            <w:shd w:val="clear" w:color="auto" w:fill="F3F5F8"/>
          </w:tcPr>
          <w:p>
            <w:pPr>
              <w:pStyle w:val="PackCell"/>
            </w:pPr>
            <w:r/>
            <w:r>
              <w:t>After your first sentence, can a reader state the amount, the term, and the number of people served?</w:t>
            </w:r>
          </w:p>
        </w:tc>
      </w:tr>
      <w:tr>
        <w:tc>
          <w:tcPr>
            <w:tcW w:type="dxa" w:w="9792"/>
            <w:shd w:val="clear" w:color="auto" w:fill="F3F5F8"/>
          </w:tcPr>
          <w:p>
            <w:pPr>
              <w:pStyle w:val="PackCell"/>
            </w:pPr>
            <w:r/>
            <w:r>
              <w:t>Does every claim in the summary reappear, with its source, somewhere in the body of the proposal?</w:t>
            </w:r>
          </w:p>
        </w:tc>
      </w:tr>
      <w:tr>
        <w:tc>
          <w:tcPr>
            <w:tcW w:type="dxa" w:w="9792"/>
            <w:shd w:val="clear" w:color="auto" w:fill="F3F5F8"/>
          </w:tcPr>
          <w:p>
            <w:pPr>
              <w:pStyle w:val="PackCell"/>
            </w:pPr>
            <w:r/>
            <w:r>
              <w:t>Is there a sentence here that a competing applicant could sign without changing a word? Cut it.</w:t>
            </w:r>
          </w:p>
        </w:tc>
      </w:tr>
    </w:tbl>
    <w:p>
      <w:pPr>
        <w:pStyle w:val="PackNote"/>
      </w:pPr>
    </w:p>
    <w:p>
      <w:r>
        <w:br w:type="page"/>
      </w:r>
    </w:p>
    <w:p>
      <w:pPr>
        <w:pStyle w:val="Heading1"/>
      </w:pPr>
      <w:r>
        <w:t>2. Statement of Need</w:t>
      </w:r>
    </w:p>
    <w:p>
      <w:r>
        <w:t>The need section is where most proposals lose their first points, because it is the easiest place to write something that sounds serious and proves nothing. A reviewer is not asking whether the problem is real. They are asking how large it is, in your service area, and how you know.</w:t>
      </w:r>
    </w:p>
    <w:tbl>
      <w:tblPr>
        <w:tblStyle w:val="TableGrid"/>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67"/>
        <w:gridCol w:w="4867"/>
      </w:tblGrid>
      <w:tr>
        <w:trPr>
          <w:tblHeader w:val="true"/>
        </w:trPr>
        <w:tc>
          <w:tcPr>
            <w:tcW w:type="dxa" w:w="4867"/>
            <w:shd w:val="clear" w:color="auto" w:fill="1B355E"/>
          </w:tcPr>
          <w:p>
            <w:pPr>
              <w:pStyle w:val="PackTableHead"/>
            </w:pPr>
            <w:r/>
            <w:r>
              <w:t>Weak version</w:t>
            </w:r>
          </w:p>
        </w:tc>
        <w:tc>
          <w:tcPr>
            <w:tcW w:type="dxa" w:w="4867"/>
            <w:shd w:val="clear" w:color="auto" w:fill="1B355E"/>
          </w:tcPr>
          <w:p>
            <w:pPr>
              <w:pStyle w:val="PackTableHead"/>
            </w:pPr>
            <w:r/>
            <w:r>
              <w:t>Strong version</w:t>
            </w:r>
          </w:p>
        </w:tc>
      </w:tr>
      <w:tr>
        <w:tc>
          <w:tcPr>
            <w:tcW w:type="dxa" w:w="4867"/>
            <w:shd w:val="clear" w:color="auto" w:fill="FBF1EE"/>
          </w:tcPr>
          <w:p>
            <w:pPr>
              <w:pStyle w:val="PackCell"/>
            </w:pPr>
            <w:r/>
            <w:r>
              <w:t>Our community faces significant challenges around childhood literacy. Many students are falling behind, and there is a great need for additional support in our area.</w:t>
            </w:r>
          </w:p>
          <w:p>
            <w:pPr>
              <w:pStyle w:val="PackCell"/>
            </w:pPr>
            <w:r>
              <w:t>Research has consistently shown the importance of early reading skills for long-term academic success. Students who struggle with reading in the early grades often continue to struggle throughout their school careers.</w:t>
            </w:r>
          </w:p>
          <w:p>
            <w:pPr>
              <w:pStyle w:val="PackCell"/>
            </w:pPr>
            <w:r>
              <w:t>Our organization is uniquely positioned to meet this need through our after-school programming. Without additional funding, many children in our community will continue to fall further behind their peers.</w:t>
            </w:r>
          </w:p>
        </w:tc>
        <w:tc>
          <w:tcPr>
            <w:tcW w:type="dxa" w:w="4867"/>
            <w:shd w:val="clear" w:color="auto" w:fill="EFF5EF"/>
          </w:tcPr>
          <w:p>
            <w:pPr>
              <w:pStyle w:val="PackCell"/>
            </w:pPr>
            <w:r/>
            <w:r>
              <w:t>Second and third graders at Cedar Hill and Marsh Creek elementary schools read below grade level at a higher rate than the district average, according to the district's spring assessment summary published in June 2026. Both schools sit in the same attendance zone, and both draw from the neighborhoods where the district reports its highest share of students qualifying for free and reduced-price meals.</w:t>
            </w:r>
          </w:p>
          <w:p>
            <w:pPr>
              <w:pStyle w:val="PackCell"/>
            </w:pPr>
            <w:r>
              <w:t>Two things changed in the last two years. The free afternoon tutoring that operated out of the Marsh Creek community center ended in 2024 when its staffing grant closed. In the same period, both schools moved to a single reading interventionist shared across four buildings, which cut the number of small-group sessions a struggling reader can get during the school day.</w:t>
            </w:r>
          </w:p>
          <w:p>
            <w:pPr>
              <w:pStyle w:val="PackCell"/>
            </w:pPr>
            <w:r>
              <w:t>Our own records show what that produced. Our intake log recorded 84 families last year who asked for a reading slot and were told none was available, and 61 of those families listed a second or third grader. We keep the log because the waiting list is the only measure of unmet demand nobody else in the attendance zone collects.</w:t>
            </w:r>
          </w:p>
          <w:p>
            <w:pPr>
              <w:pStyle w:val="PackCell"/>
            </w:pPr>
            <w:r>
              <w:t>The consequence is specific rather than general. A student who leaves third grade reading below grade level enters fourth grade in classrooms where the reading load assumes the skill is already in place, and the schools' remaining intervention capacity is committed to kindergarten and first grade. The 80 seats in this request are aimed at that window, at the two schools where the gap against the district average is widest and where we already have space, staff, and a waiting list.</w:t>
            </w:r>
          </w:p>
        </w:tc>
      </w:tr>
    </w:tbl>
    <w:p>
      <w:pPr>
        <w:pStyle w:val="Heading3"/>
      </w:pPr>
      <w:r>
        <w:t>What changed, and why it scores better</w:t>
      </w:r>
    </w:p>
    <w:p>
      <w:pPr>
        <w:pStyle w:val="ListBullet"/>
      </w:pPr>
      <w:r>
        <w:t>Every claim names where it came from: a dated district publication, a dated closure, our own intake log.</w:t>
      </w:r>
    </w:p>
    <w:p>
      <w:pPr>
        <w:pStyle w:val="ListBullet"/>
      </w:pPr>
      <w:r>
        <w:t>Trades "many students" for counts a program officer can quote in a committee summary: 84 families, 61 of them with a second or third grader.</w:t>
      </w:r>
    </w:p>
    <w:p>
      <w:pPr>
        <w:pStyle w:val="ListBullet"/>
      </w:pPr>
      <w:r>
        <w:t>Explains what changed recently, which answers the question hiding behind every need statement: why now, and why has nobody else fixed it?</w:t>
      </w:r>
    </w:p>
    <w:p>
      <w:pPr>
        <w:pStyle w:val="ListBullet"/>
      </w:pPr>
      <w:r>
        <w:t>Cuts the paragraph of general reading research. The funder already believes reading matters. What they do not know is your gap.</w:t>
      </w:r>
    </w:p>
    <w:p>
      <w:pPr>
        <w:pStyle w:val="ListBullet"/>
      </w:pPr>
      <w:r>
        <w:t>Ends on the window the program targets instead of on a warning about what happens without funding.</w:t>
      </w:r>
    </w:p>
    <w:p>
      <w:pPr>
        <w:pStyle w:val="Heading3"/>
      </w:pPr>
      <w:r>
        <w:t>Check your own draft</w:t>
      </w:r>
    </w:p>
    <w:tbl>
      <w:tblPr>
        <w:tblStyle w:val="TableGrid"/>
        <w:tblW w:type="auto" w:w="0"/>
        <w:tblLayout w:type="fixed"/>
        <w:tblCellMar>
          <w:top w:w="90" w:type="dxa"/>
          <w:left w:w="110" w:type="dxa"/>
          <w:bottom w:w="90" w:type="dxa"/>
          <w:right w:w="110" w:type="dxa"/>
        </w:tblCellMar>
        <w:tblLook w:firstColumn="1" w:firstRow="1" w:lastColumn="0" w:lastRow="0" w:noHBand="0" w:noVBand="1" w:val="04A0"/>
      </w:tblPr>
      <w:tblGrid>
        <w:gridCol w:w="9792"/>
      </w:tblGrid>
      <w:tr>
        <w:tc>
          <w:tcPr>
            <w:tcW w:type="dxa" w:w="9792"/>
            <w:shd w:val="clear" w:color="auto" w:fill="F3F5F8"/>
          </w:tcPr>
          <w:p>
            <w:pPr>
              <w:pStyle w:val="PackCell"/>
            </w:pPr>
            <w:r/>
            <w:r>
              <w:t>Does each number in this section have both a source and a year attached to it?</w:t>
            </w:r>
          </w:p>
        </w:tc>
      </w:tr>
      <w:tr>
        <w:tc>
          <w:tcPr>
            <w:tcW w:type="dxa" w:w="9792"/>
            <w:shd w:val="clear" w:color="auto" w:fill="F3F5F8"/>
          </w:tcPr>
          <w:p>
            <w:pPr>
              <w:pStyle w:val="PackCell"/>
            </w:pPr>
            <w:r/>
            <w:r>
              <w:t>Would the paragraph still be true if you pasted it into another nonprofit's proposal? If yes, it is not describing your need yet.</w:t>
            </w:r>
          </w:p>
        </w:tc>
      </w:tr>
      <w:tr>
        <w:tc>
          <w:tcPr>
            <w:tcW w:type="dxa" w:w="9792"/>
            <w:shd w:val="clear" w:color="auto" w:fill="F3F5F8"/>
          </w:tcPr>
          <w:p>
            <w:pPr>
              <w:pStyle w:val="PackCell"/>
            </w:pPr>
            <w:r/>
            <w:r>
              <w:t>Have you said what changed recently, so the funder understands the timing of the request?</w:t>
            </w:r>
          </w:p>
        </w:tc>
      </w:tr>
    </w:tbl>
    <w:p>
      <w:pPr>
        <w:pStyle w:val="PackNote"/>
      </w:pPr>
    </w:p>
    <w:p>
      <w:r>
        <w:br w:type="page"/>
      </w:r>
    </w:p>
    <w:p>
      <w:pPr>
        <w:pStyle w:val="Heading1"/>
      </w:pPr>
      <w:r>
        <w:t>3. Goals and Objectives</w:t>
      </w:r>
    </w:p>
    <w:p>
      <w:r>
        <w:t>A goal is the direction. An objective is a promise with a number and a date on it. Reviewers score objectives, so an objective that cannot fail gives them nothing to score.</w:t>
      </w:r>
    </w:p>
    <w:tbl>
      <w:tblPr>
        <w:tblStyle w:val="TableGrid"/>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67"/>
        <w:gridCol w:w="4867"/>
      </w:tblGrid>
      <w:tr>
        <w:trPr>
          <w:tblHeader w:val="true"/>
        </w:trPr>
        <w:tc>
          <w:tcPr>
            <w:tcW w:type="dxa" w:w="4867"/>
            <w:shd w:val="clear" w:color="auto" w:fill="1B355E"/>
          </w:tcPr>
          <w:p>
            <w:pPr>
              <w:pStyle w:val="PackTableHead"/>
            </w:pPr>
            <w:r/>
            <w:r>
              <w:t>Weak version</w:t>
            </w:r>
          </w:p>
        </w:tc>
        <w:tc>
          <w:tcPr>
            <w:tcW w:type="dxa" w:w="4867"/>
            <w:shd w:val="clear" w:color="auto" w:fill="1B355E"/>
          </w:tcPr>
          <w:p>
            <w:pPr>
              <w:pStyle w:val="PackTableHead"/>
            </w:pPr>
            <w:r/>
            <w:r>
              <w:t>Strong version</w:t>
            </w:r>
          </w:p>
        </w:tc>
      </w:tr>
      <w:tr>
        <w:tc>
          <w:tcPr>
            <w:tcW w:type="dxa" w:w="4867"/>
            <w:shd w:val="clear" w:color="auto" w:fill="FBF1EE"/>
          </w:tcPr>
          <w:p>
            <w:pPr>
              <w:pStyle w:val="PackCell"/>
            </w:pPr>
            <w:r/>
            <w:r>
              <w:t>Our goal is to improve literacy outcomes for the children we serve and to help them succeed in school.</w:t>
            </w:r>
          </w:p>
          <w:p>
            <w:pPr>
              <w:pStyle w:val="PackCell"/>
            </w:pPr>
            <w:r>
              <w:t>We will work to increase reading skills, build student confidence, and foster a lifelong love of reading among participants.</w:t>
            </w:r>
          </w:p>
          <w:p>
            <w:pPr>
              <w:pStyle w:val="PackCell"/>
            </w:pPr>
            <w:r>
              <w:t>We also hope to strengthen family engagement and expand our volunteer base over the course of the grant period.</w:t>
            </w:r>
          </w:p>
        </w:tc>
        <w:tc>
          <w:tcPr>
            <w:tcW w:type="dxa" w:w="4867"/>
            <w:shd w:val="clear" w:color="auto" w:fill="EFF5EF"/>
          </w:tcPr>
          <w:p>
            <w:pPr>
              <w:pStyle w:val="PackCell"/>
            </w:pPr>
            <w:r/>
            <w:r>
              <w:t>Goal: raise reading proficiency among second and third graders at Cedar Hill and Marsh Creek elementary schools.</w:t>
            </w:r>
          </w:p>
          <w:p>
            <w:pPr>
              <w:pStyle w:val="PackCell"/>
            </w:pPr>
            <w:r>
              <w:t>Objective 1. By June 30, 2027, 60 of the 80 enrolled students will gain at least one grade level on the district reading assessment, measured against their own fall baseline score. Source: district assessment records, entered by site coordinators within two weeks of each testing window.</w:t>
            </w:r>
          </w:p>
          <w:p>
            <w:pPr>
              <w:pStyle w:val="PackCell"/>
            </w:pPr>
            <w:r>
              <w:t>Objective 2. By June 30, 2027, enrolled students will attend at least 75 percent of the sessions they are scheduled for, averaged across both sites. Source: the daily attendance log each site coordinator completes at the end of every session.</w:t>
            </w:r>
          </w:p>
          <w:p>
            <w:pPr>
              <w:pStyle w:val="PackCell"/>
            </w:pPr>
            <w:r>
              <w:t>Objective 3. By June 30, 2027, at least 20 of the 25 volunteer tutors onboarded in the fall will still be active. Source: the volunteer roster, reviewed monthly by the program director.</w:t>
            </w:r>
          </w:p>
          <w:p>
            <w:pPr>
              <w:pStyle w:val="PackCell"/>
            </w:pPr>
            <w:r>
              <w:t>Objective 4. By March 31, 2027, families of at least 70 of the 80 enrolled students will have received a mid-year reading report, in person at a conference or by mail. Source: conference sign-in sheets and the program mailing list.</w:t>
            </w:r>
          </w:p>
          <w:p>
            <w:pPr>
              <w:pStyle w:val="PackCell"/>
            </w:pPr>
            <w:r>
              <w:t>The four are ordered by what they tell you. Objective 1 is the result the program exists to produce. Objectives 2 and 3 are the conditions that make it possible, and we report them because a reading gain with no attendance behind it is not evidence that the sessions worked. Objective 4 is the piece families ask us for most often.</w:t>
            </w:r>
          </w:p>
        </w:tc>
      </w:tr>
    </w:tbl>
    <w:p>
      <w:pPr>
        <w:pStyle w:val="Heading3"/>
      </w:pPr>
      <w:r>
        <w:t>What changed, and why it scores better</w:t>
      </w:r>
    </w:p>
    <w:p>
      <w:pPr>
        <w:pStyle w:val="ListBullet"/>
      </w:pPr>
      <w:r>
        <w:t>Each objective carries four things: a number, a deadline, an instrument, and the person who records the data.</w:t>
      </w:r>
    </w:p>
    <w:p>
      <w:pPr>
        <w:pStyle w:val="ListBullet"/>
      </w:pPr>
      <w:r>
        <w:t>Names the baseline. "One grade level" means nothing until you say what it is measured against, and each student's own fall score is a comparison a small program can defend.</w:t>
      </w:r>
    </w:p>
    <w:p>
      <w:pPr>
        <w:pStyle w:val="ListBullet"/>
      </w:pPr>
      <w:r>
        <w:t>Separates the outcome from the conditions that produce it, which is what lets you explain a miss honestly next year instead of burying it.</w:t>
      </w:r>
    </w:p>
    <w:p>
      <w:pPr>
        <w:pStyle w:val="ListBullet"/>
      </w:pPr>
      <w:r>
        <w:t>Drops "confidence" and "a love of reading" because nothing in the program measures them. Cut any goal you have no instrument for, however true it is.</w:t>
      </w:r>
    </w:p>
    <w:p>
      <w:pPr>
        <w:pStyle w:val="Heading3"/>
      </w:pPr>
      <w:r>
        <w:t>Check your own draft</w:t>
      </w:r>
    </w:p>
    <w:tbl>
      <w:tblPr>
        <w:tblStyle w:val="TableGrid"/>
        <w:tblW w:type="auto" w:w="0"/>
        <w:tblLayout w:type="fixed"/>
        <w:tblCellMar>
          <w:top w:w="90" w:type="dxa"/>
          <w:left w:w="110" w:type="dxa"/>
          <w:bottom w:w="90" w:type="dxa"/>
          <w:right w:w="110" w:type="dxa"/>
        </w:tblCellMar>
        <w:tblLook w:firstColumn="1" w:firstRow="1" w:lastColumn="0" w:lastRow="0" w:noHBand="0" w:noVBand="1" w:val="04A0"/>
      </w:tblPr>
      <w:tblGrid>
        <w:gridCol w:w="9792"/>
      </w:tblGrid>
      <w:tr>
        <w:tc>
          <w:tcPr>
            <w:tcW w:type="dxa" w:w="9792"/>
            <w:shd w:val="clear" w:color="auto" w:fill="F3F5F8"/>
          </w:tcPr>
          <w:p>
            <w:pPr>
              <w:pStyle w:val="PackCell"/>
            </w:pPr>
            <w:r/>
            <w:r>
              <w:t>Could you fail any of these objectives? An objective that cannot fail cannot be scored.</w:t>
            </w:r>
          </w:p>
        </w:tc>
      </w:tr>
      <w:tr>
        <w:tc>
          <w:tcPr>
            <w:tcW w:type="dxa" w:w="9792"/>
            <w:shd w:val="clear" w:color="auto" w:fill="F3F5F8"/>
          </w:tcPr>
          <w:p>
            <w:pPr>
              <w:pStyle w:val="PackCell"/>
            </w:pPr>
            <w:r/>
            <w:r>
              <w:t>Does each objective name who enters the data, not only what gets measured?</w:t>
            </w:r>
          </w:p>
        </w:tc>
      </w:tr>
      <w:tr>
        <w:tc>
          <w:tcPr>
            <w:tcW w:type="dxa" w:w="9792"/>
            <w:shd w:val="clear" w:color="auto" w:fill="F3F5F8"/>
          </w:tcPr>
          <w:p>
            <w:pPr>
              <w:pStyle w:val="PackCell"/>
            </w:pPr>
            <w:r/>
            <w:r>
              <w:t>Do the counts here match the counts in your budget and your program description exactly?</w:t>
            </w:r>
          </w:p>
        </w:tc>
      </w:tr>
    </w:tbl>
    <w:p>
      <w:pPr>
        <w:pStyle w:val="PackNote"/>
      </w:pPr>
    </w:p>
    <w:p>
      <w:r>
        <w:br w:type="page"/>
      </w:r>
    </w:p>
    <w:p>
      <w:pPr>
        <w:pStyle w:val="Heading1"/>
      </w:pPr>
      <w:r>
        <w:t>4. Program Description and Methods</w:t>
      </w:r>
    </w:p>
    <w:p>
      <w:r>
        <w:t>This section has to let a reviewer picture a specific afternoon at your site. It is also where your budget becomes believable, because personnel and materials only make sense once the reader knows how many people are in the room and how often.</w:t>
      </w:r>
    </w:p>
    <w:tbl>
      <w:tblPr>
        <w:tblStyle w:val="TableGrid"/>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67"/>
        <w:gridCol w:w="4867"/>
      </w:tblGrid>
      <w:tr>
        <w:trPr>
          <w:tblHeader w:val="true"/>
        </w:trPr>
        <w:tc>
          <w:tcPr>
            <w:tcW w:type="dxa" w:w="4867"/>
            <w:shd w:val="clear" w:color="auto" w:fill="1B355E"/>
          </w:tcPr>
          <w:p>
            <w:pPr>
              <w:pStyle w:val="PackTableHead"/>
            </w:pPr>
            <w:r/>
            <w:r>
              <w:t>Weak version</w:t>
            </w:r>
          </w:p>
        </w:tc>
        <w:tc>
          <w:tcPr>
            <w:tcW w:type="dxa" w:w="4867"/>
            <w:shd w:val="clear" w:color="auto" w:fill="1B355E"/>
          </w:tcPr>
          <w:p>
            <w:pPr>
              <w:pStyle w:val="PackTableHead"/>
            </w:pPr>
            <w:r/>
            <w:r>
              <w:t>Strong version</w:t>
            </w:r>
          </w:p>
        </w:tc>
      </w:tr>
      <w:tr>
        <w:tc>
          <w:tcPr>
            <w:tcW w:type="dxa" w:w="4867"/>
            <w:shd w:val="clear" w:color="auto" w:fill="FBF1EE"/>
          </w:tcPr>
          <w:p>
            <w:pPr>
              <w:pStyle w:val="PackCell"/>
            </w:pPr>
            <w:r/>
            <w:r>
              <w:t>We will provide high-quality tutoring services using evidence-based curricula and best practices, delivered by trained volunteers in a safe and supportive environment.</w:t>
            </w:r>
          </w:p>
          <w:p>
            <w:pPr>
              <w:pStyle w:val="PackCell"/>
            </w:pPr>
            <w:r>
              <w:t>Sessions will be held regularly throughout the school year, and students will receive individualized attention tailored to their unique needs and learning styles.</w:t>
            </w:r>
          </w:p>
          <w:p>
            <w:pPr>
              <w:pStyle w:val="PackCell"/>
            </w:pPr>
            <w:r>
              <w:t>Program staff will monitor student progress on an ongoing basis and make adjustments as needed to ensure the best possible outcomes for every participant.</w:t>
            </w:r>
          </w:p>
        </w:tc>
        <w:tc>
          <w:tcPr>
            <w:tcW w:type="dxa" w:w="4867"/>
            <w:shd w:val="clear" w:color="auto" w:fill="EFF5EF"/>
          </w:tcPr>
          <w:p>
            <w:pPr>
              <w:pStyle w:val="PackCell"/>
            </w:pPr>
            <w:r/>
            <w:r>
              <w:t>The program runs Monday through Thursday afternoons at both schools, from the first week of October through the last week of May, which is 30 program weeks. Each session is 90 minutes and starts 15 minutes after dismissal.</w:t>
            </w:r>
          </w:p>
          <w:p>
            <w:pPr>
              <w:pStyle w:val="PackCell"/>
            </w:pPr>
            <w:r>
              <w:t>Each school enrolls 40 students, and each student is scheduled for two afternoons a week. That puts 20 students in the room on a given afternoon at each site, working in groups of four with one volunteer tutor per group. A typical afternoon therefore needs five tutors per school and ten across the program, which 20 volunteers cover by taking two afternoons each. We train 25 so that a mid-year withdrawal does not close a group.</w:t>
            </w:r>
          </w:p>
          <w:p>
            <w:pPr>
              <w:pStyle w:val="PackCell"/>
            </w:pPr>
            <w:r>
              <w:t>A session runs in three blocks: 20 minutes of read-aloud with the whole group, 45 minutes of small-group phonics work following the same curriculum the district uses during the school day, and 25 minutes of independent reading with the tutor listening to each student in turn. Using the district curriculum is a deliberate choice. It means an afternoon session reinforces the morning lesson instead of teaching a competing method, and a classroom teacher can tell our coordinator which unit a student is on.</w:t>
            </w:r>
          </w:p>
          <w:p>
            <w:pPr>
              <w:pStyle w:val="PackCell"/>
            </w:pPr>
            <w:r>
              <w:t>Two paid site coordinators, one at each school, run the room. They check students in, assign groups, hold the tutor schedule, and enter attendance and session notes the same day. Each coordinator works eight hours a week: six hours of session time across the four afternoons, plus two hours for scheduling, family calls, and data entry.</w:t>
            </w:r>
          </w:p>
          <w:p>
            <w:pPr>
              <w:pStyle w:val="PackCell"/>
            </w:pPr>
            <w:r>
              <w:t>Every volunteer completes six hours of onboarding before their first session, covering the curriculum's routines, a background check, mandated reporter basics, and one supervised practice session. Coordinators observe each new tutor once in the first month and again in January.</w:t>
            </w:r>
          </w:p>
          <w:p>
            <w:pPr>
              <w:pStyle w:val="PackCell"/>
            </w:pPr>
            <w:r>
              <w:t>Classroom teachers refer students in September, and we enroll in the order referrals arrive, seating the second and third graders reading furthest below grade level first. Families sign a two-afternoon commitment, and the coordinator calls home after a second unexcused absence rather than waiting for a pattern to set.</w:t>
            </w:r>
          </w:p>
        </w:tc>
      </w:tr>
    </w:tbl>
    <w:p>
      <w:pPr>
        <w:pStyle w:val="Heading3"/>
      </w:pPr>
      <w:r>
        <w:t>What changed, and why it scores better</w:t>
      </w:r>
    </w:p>
    <w:p>
      <w:pPr>
        <w:pStyle w:val="ListBullet"/>
      </w:pPr>
      <w:r>
        <w:t>Gives days, dates, session length, and group size, so the reader can picture a Tuesday afternoon at Cedar Hill.</w:t>
      </w:r>
    </w:p>
    <w:p>
      <w:pPr>
        <w:pStyle w:val="ListBullet"/>
      </w:pPr>
      <w:r>
        <w:t>Names the curriculum choice and the reason for it, which is what "evidence-based" was standing in for.</w:t>
      </w:r>
    </w:p>
    <w:p>
      <w:pPr>
        <w:pStyle w:val="ListBullet"/>
      </w:pPr>
      <w:r>
        <w:t>Shows the staffing arithmetic, and that arithmetic is what makes the personnel and training lines in the budget legible three pages later.</w:t>
      </w:r>
    </w:p>
    <w:p>
      <w:pPr>
        <w:pStyle w:val="ListBullet"/>
      </w:pPr>
      <w:r>
        <w:t>Says how a student gets in and what happens when one stops coming. Attrition handling is where programs quietly lose the students who needed them most, and reviewers know it.</w:t>
      </w:r>
    </w:p>
    <w:p>
      <w:pPr>
        <w:pStyle w:val="Heading3"/>
      </w:pPr>
      <w:r>
        <w:t>Check your own draft</w:t>
      </w:r>
    </w:p>
    <w:tbl>
      <w:tblPr>
        <w:tblStyle w:val="TableGrid"/>
        <w:tblW w:type="auto" w:w="0"/>
        <w:tblLayout w:type="fixed"/>
        <w:tblCellMar>
          <w:top w:w="90" w:type="dxa"/>
          <w:left w:w="110" w:type="dxa"/>
          <w:bottom w:w="90" w:type="dxa"/>
          <w:right w:w="110" w:type="dxa"/>
        </w:tblCellMar>
        <w:tblLook w:firstColumn="1" w:firstRow="1" w:lastColumn="0" w:lastRow="0" w:noHBand="0" w:noVBand="1" w:val="04A0"/>
      </w:tblPr>
      <w:tblGrid>
        <w:gridCol w:w="9792"/>
      </w:tblGrid>
      <w:tr>
        <w:tc>
          <w:tcPr>
            <w:tcW w:type="dxa" w:w="9792"/>
            <w:shd w:val="clear" w:color="auto" w:fill="F3F5F8"/>
          </w:tcPr>
          <w:p>
            <w:pPr>
              <w:pStyle w:val="PackCell"/>
            </w:pPr>
            <w:r/>
            <w:r>
              <w:t>Can a reader who has never visited tell who is in the room, on what day, and for how long?</w:t>
            </w:r>
          </w:p>
        </w:tc>
      </w:tr>
      <w:tr>
        <w:tc>
          <w:tcPr>
            <w:tcW w:type="dxa" w:w="9792"/>
            <w:shd w:val="clear" w:color="auto" w:fill="F3F5F8"/>
          </w:tcPr>
          <w:p>
            <w:pPr>
              <w:pStyle w:val="PackCell"/>
            </w:pPr>
            <w:r/>
            <w:r>
              <w:t>Does the staffing described here produce exactly the personnel figure in your budget?</w:t>
            </w:r>
          </w:p>
        </w:tc>
      </w:tr>
      <w:tr>
        <w:tc>
          <w:tcPr>
            <w:tcW w:type="dxa" w:w="9792"/>
            <w:shd w:val="clear" w:color="auto" w:fill="F3F5F8"/>
          </w:tcPr>
          <w:p>
            <w:pPr>
              <w:pStyle w:val="PackCell"/>
            </w:pPr>
            <w:r/>
            <w:r>
              <w:t>Have you said how a participant enters the program, and what you do when one drops off?</w:t>
            </w:r>
          </w:p>
        </w:tc>
      </w:tr>
    </w:tbl>
    <w:p>
      <w:pPr>
        <w:pStyle w:val="PackNote"/>
      </w:pPr>
    </w:p>
    <w:p>
      <w:r>
        <w:br w:type="page"/>
      </w:r>
    </w:p>
    <w:p>
      <w:pPr>
        <w:pStyle w:val="Heading1"/>
      </w:pPr>
      <w:r>
        <w:t>5. Organizational Capacity</w:t>
      </w:r>
    </w:p>
    <w:p>
      <w:r>
        <w:t>A capacity section answers one question: will this organization handle the money correctly and report on it? Praise for your team does not answer it. Roles, tenure, audit history, and current grant load do.</w:t>
      </w:r>
    </w:p>
    <w:tbl>
      <w:tblPr>
        <w:tblStyle w:val="TableGrid"/>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67"/>
        <w:gridCol w:w="4867"/>
      </w:tblGrid>
      <w:tr>
        <w:trPr>
          <w:tblHeader w:val="true"/>
        </w:trPr>
        <w:tc>
          <w:tcPr>
            <w:tcW w:type="dxa" w:w="4867"/>
            <w:shd w:val="clear" w:color="auto" w:fill="1B355E"/>
          </w:tcPr>
          <w:p>
            <w:pPr>
              <w:pStyle w:val="PackTableHead"/>
            </w:pPr>
            <w:r/>
            <w:r>
              <w:t>Weak version</w:t>
            </w:r>
          </w:p>
        </w:tc>
        <w:tc>
          <w:tcPr>
            <w:tcW w:type="dxa" w:w="4867"/>
            <w:shd w:val="clear" w:color="auto" w:fill="1B355E"/>
          </w:tcPr>
          <w:p>
            <w:pPr>
              <w:pStyle w:val="PackTableHead"/>
            </w:pPr>
            <w:r/>
            <w:r>
              <w:t>Strong version</w:t>
            </w:r>
          </w:p>
        </w:tc>
      </w:tr>
      <w:tr>
        <w:tc>
          <w:tcPr>
            <w:tcW w:type="dxa" w:w="4867"/>
            <w:shd w:val="clear" w:color="auto" w:fill="FBF1EE"/>
          </w:tcPr>
          <w:p>
            <w:pPr>
              <w:pStyle w:val="PackCell"/>
            </w:pPr>
            <w:r/>
            <w:r>
              <w:t>We have a long track record of success serving this community and a dedicated, experienced team of staff and volunteers.</w:t>
            </w:r>
          </w:p>
          <w:p>
            <w:pPr>
              <w:pStyle w:val="PackCell"/>
            </w:pPr>
            <w:r>
              <w:t>Our staff are deeply passionate about our mission, and our board provides strong governance and oversight of all organizational activities.</w:t>
            </w:r>
          </w:p>
          <w:p>
            <w:pPr>
              <w:pStyle w:val="PackCell"/>
            </w:pPr>
            <w:r>
              <w:t>We have successfully managed grant funding in the past and are confident in our ability to deliver this project on time and within budget.</w:t>
            </w:r>
          </w:p>
        </w:tc>
        <w:tc>
          <w:tcPr>
            <w:tcW w:type="dxa" w:w="4867"/>
            <w:shd w:val="clear" w:color="auto" w:fill="EFF5EF"/>
          </w:tcPr>
          <w:p>
            <w:pPr>
              <w:pStyle w:val="PackCell"/>
            </w:pPr>
            <w:r/>
            <w:r>
              <w:t>Riverbend Reading Partners has run an after-school reading program since 2019. The program director has led it for six years and supervises four part-time staff, including the two site coordinators this request would fund. Our finance manager works 20 hours a week, closes the books monthly, and tracks restricted funds by grant inside the accounting system rather than in a side spreadsheet.</w:t>
            </w:r>
          </w:p>
          <w:p>
            <w:pPr>
              <w:pStyle w:val="PackCell"/>
            </w:pPr>
            <w:r>
              <w:t>We completed an independent financial audit in each of the last three fiscal years, with no findings and no management letter comments in the most recent one. Our board of nine includes a retired elementary principal and a certified public accountant, who chairs the finance committee. The board reviews financial statements six times a year.</w:t>
            </w:r>
          </w:p>
          <w:p>
            <w:pPr>
              <w:pStyle w:val="PackCell"/>
            </w:pPr>
            <w:r>
              <w:t>We currently manage four restricted grants totalling $96,000, the largest of them $40,000, and we have met every reporting deadline attached to them for three years. Reporting on this request would follow the same routine: site coordinators produce the attendance and assessment data, the finance manager reconciles the expense report against the general ledger, and the program director signs both before submission.</w:t>
            </w:r>
          </w:p>
          <w:p>
            <w:pPr>
              <w:pStyle w:val="PackCell"/>
            </w:pPr>
            <w:r>
              <w:t>Two limits, stated plainly because a funder will find them anyway. We do not employ an evaluator, so our assessment rests on the district's instrument rather than on an internal research design. And our reserve covers roughly two months of operating expenses, which is why this request funds direct program delivery rather than expansion.</w:t>
            </w:r>
          </w:p>
        </w:tc>
      </w:tr>
    </w:tbl>
    <w:p>
      <w:pPr>
        <w:pStyle w:val="Heading3"/>
      </w:pPr>
      <w:r>
        <w:t>What changed, and why it scores better</w:t>
      </w:r>
    </w:p>
    <w:p>
      <w:pPr>
        <w:pStyle w:val="ListBullet"/>
      </w:pPr>
      <w:r>
        <w:t>Replaces "experienced team" with roles, tenure, and hours, which are checkable and which a reviewer can compare against the budget.</w:t>
      </w:r>
    </w:p>
    <w:p>
      <w:pPr>
        <w:pStyle w:val="ListBullet"/>
      </w:pPr>
      <w:r>
        <w:t>Gives an audit history with an actual result. "We are audited annually" and "no findings in the most recent audit" are different sentences.</w:t>
      </w:r>
    </w:p>
    <w:p>
      <w:pPr>
        <w:pStyle w:val="ListBullet"/>
      </w:pPr>
      <w:r>
        <w:t>Shows current grant load and reporting record, the evidence that one more award will not overwhelm the back office.</w:t>
      </w:r>
    </w:p>
    <w:p>
      <w:pPr>
        <w:pStyle w:val="ListBullet"/>
      </w:pPr>
      <w:r>
        <w:t>Names two weaknesses. A reviewer who finds a limit you disclosed reads it as candor; a reviewer who finds one you hid reads it as risk, and they find them either way.</w:t>
      </w:r>
    </w:p>
    <w:p>
      <w:pPr>
        <w:pStyle w:val="Heading3"/>
      </w:pPr>
      <w:r>
        <w:t>Check your own draft</w:t>
      </w:r>
    </w:p>
    <w:tbl>
      <w:tblPr>
        <w:tblStyle w:val="TableGrid"/>
        <w:tblW w:type="auto" w:w="0"/>
        <w:tblLayout w:type="fixed"/>
        <w:tblCellMar>
          <w:top w:w="90" w:type="dxa"/>
          <w:left w:w="110" w:type="dxa"/>
          <w:bottom w:w="90" w:type="dxa"/>
          <w:right w:w="110" w:type="dxa"/>
        </w:tblCellMar>
        <w:tblLook w:firstColumn="1" w:firstRow="1" w:lastColumn="0" w:lastRow="0" w:noHBand="0" w:noVBand="1" w:val="04A0"/>
      </w:tblPr>
      <w:tblGrid>
        <w:gridCol w:w="9792"/>
      </w:tblGrid>
      <w:tr>
        <w:tc>
          <w:tcPr>
            <w:tcW w:type="dxa" w:w="9792"/>
            <w:shd w:val="clear" w:color="auto" w:fill="F3F5F8"/>
          </w:tcPr>
          <w:p>
            <w:pPr>
              <w:pStyle w:val="PackCell"/>
            </w:pPr>
            <w:r/>
            <w:r>
              <w:t>Have you named each key person by role, with how long they have done the work?</w:t>
            </w:r>
          </w:p>
        </w:tc>
      </w:tr>
      <w:tr>
        <w:tc>
          <w:tcPr>
            <w:tcW w:type="dxa" w:w="9792"/>
            <w:shd w:val="clear" w:color="auto" w:fill="F3F5F8"/>
          </w:tcPr>
          <w:p>
            <w:pPr>
              <w:pStyle w:val="PackCell"/>
            </w:pPr>
            <w:r/>
            <w:r>
              <w:t>Is your most recent audit or financial review mentioned along with its result?</w:t>
            </w:r>
          </w:p>
        </w:tc>
      </w:tr>
      <w:tr>
        <w:tc>
          <w:tcPr>
            <w:tcW w:type="dxa" w:w="9792"/>
            <w:shd w:val="clear" w:color="auto" w:fill="F3F5F8"/>
          </w:tcPr>
          <w:p>
            <w:pPr>
              <w:pStyle w:val="PackCell"/>
            </w:pPr>
            <w:r/>
            <w:r>
              <w:t>Does the section say who produces the reports the funder will actually receive?</w:t>
            </w:r>
          </w:p>
        </w:tc>
      </w:tr>
    </w:tbl>
    <w:p>
      <w:pPr>
        <w:pStyle w:val="PackNote"/>
      </w:pPr>
    </w:p>
    <w:p>
      <w:r>
        <w:br w:type="page"/>
      </w:r>
    </w:p>
    <w:p>
      <w:pPr>
        <w:pStyle w:val="Heading1"/>
      </w:pPr>
      <w:r>
        <w:t>6. Evaluation Plan</w:t>
      </w:r>
    </w:p>
    <w:p>
      <w:r>
        <w:t>An evaluation plan is a set of commitments about measurement, not a statement of intent to measure. Name the instrument, the window, the person, and the comparison, and the section writes itself.</w:t>
      </w:r>
    </w:p>
    <w:tbl>
      <w:tblPr>
        <w:tblStyle w:val="TableGrid"/>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67"/>
        <w:gridCol w:w="4867"/>
      </w:tblGrid>
      <w:tr>
        <w:trPr>
          <w:tblHeader w:val="true"/>
        </w:trPr>
        <w:tc>
          <w:tcPr>
            <w:tcW w:type="dxa" w:w="4867"/>
            <w:shd w:val="clear" w:color="auto" w:fill="1B355E"/>
          </w:tcPr>
          <w:p>
            <w:pPr>
              <w:pStyle w:val="PackTableHead"/>
            </w:pPr>
            <w:r/>
            <w:r>
              <w:t>Weak version</w:t>
            </w:r>
          </w:p>
        </w:tc>
        <w:tc>
          <w:tcPr>
            <w:tcW w:type="dxa" w:w="4867"/>
            <w:shd w:val="clear" w:color="auto" w:fill="1B355E"/>
          </w:tcPr>
          <w:p>
            <w:pPr>
              <w:pStyle w:val="PackTableHead"/>
            </w:pPr>
            <w:r/>
            <w:r>
              <w:t>Strong version</w:t>
            </w:r>
          </w:p>
        </w:tc>
      </w:tr>
      <w:tr>
        <w:tc>
          <w:tcPr>
            <w:tcW w:type="dxa" w:w="4867"/>
            <w:shd w:val="clear" w:color="auto" w:fill="FBF1EE"/>
          </w:tcPr>
          <w:p>
            <w:pPr>
              <w:pStyle w:val="PackCell"/>
            </w:pPr>
            <w:r/>
            <w:r>
              <w:t>We will evaluate the program on a regular basis to determine its effectiveness and make improvements as needed.</w:t>
            </w:r>
          </w:p>
          <w:p>
            <w:pPr>
              <w:pStyle w:val="PackCell"/>
            </w:pPr>
            <w:r>
              <w:t>Data will be collected throughout the program year and shared with key stakeholders. We use a variety of quantitative and qualitative measures to assess our impact.</w:t>
            </w:r>
          </w:p>
          <w:p>
            <w:pPr>
              <w:pStyle w:val="PackCell"/>
            </w:pPr>
            <w:r>
              <w:t>We are committed to continuous improvement and will use evaluation results to inform future programming decisions.</w:t>
            </w:r>
          </w:p>
        </w:tc>
        <w:tc>
          <w:tcPr>
            <w:tcW w:type="dxa" w:w="4867"/>
            <w:shd w:val="clear" w:color="auto" w:fill="EFF5EF"/>
          </w:tcPr>
          <w:p>
            <w:pPr>
              <w:pStyle w:val="PackCell"/>
            </w:pPr>
            <w:r/>
            <w:r>
              <w:t>We measure reading level with the district assessment, which every student takes in September and again in May as part of the regular school schedule. Each student's September score is their baseline, and the gain we report is the difference between that student's own two scores rather than a comparison against a district average.</w:t>
            </w:r>
          </w:p>
          <w:p>
            <w:pPr>
              <w:pStyle w:val="PackCell"/>
            </w:pPr>
            <w:r>
              <w:t>Site coordinators enter scores within two weeks of each testing window, along with the attendance total each student accumulated over the year. Attendance comes from the daily log, so it is recorded on the day rather than reconstructed in June.</w:t>
            </w:r>
          </w:p>
          <w:p>
            <w:pPr>
              <w:pStyle w:val="PackCell"/>
            </w:pPr>
            <w:r>
              <w:t>The program director reviews results in the last two weeks of June and produces one report with three cuts of the same data: gain by grade level, gain by attendance band, and the count of students who reached grade level. The attendance bands are under 50 percent of scheduled sessions, 50 to 74 percent, and 75 percent or more.</w:t>
            </w:r>
          </w:p>
          <w:p>
            <w:pPr>
              <w:pStyle w:val="PackCell"/>
            </w:pPr>
            <w:r>
              <w:t>The attendance band is the cut that matters most, and it is the one we would most like to be asked about. A program-wide average tells a funder that scores went up. The bands tell them whether our sessions are what moved the scores, because if the students who came more often did not gain more, something other than the tutoring is doing the work and we need to know that before we ask anyone to fund another year.</w:t>
            </w:r>
          </w:p>
          <w:p>
            <w:pPr>
              <w:pStyle w:val="PackCell"/>
            </w:pPr>
            <w:r>
              <w:t>Two smaller measures round it out. Coordinators log a one-line note for every group session, which the director reads monthly to catch a curriculum unit landing badly across both sites. Families receive a mid-year reading report in March, which doubles as our check that contact information is current.</w:t>
            </w:r>
          </w:p>
          <w:p>
            <w:pPr>
              <w:pStyle w:val="PackCell"/>
            </w:pPr>
            <w:r>
              <w:t>We send the June report to both school principals and to the foundation in the same month, and the board reviews it in August before enrollment opens. Where a result disappoints, the report says so and names what we intend to change, because a report that only carries good news stops being useful to the people reading it.</w:t>
            </w:r>
          </w:p>
        </w:tc>
      </w:tr>
    </w:tbl>
    <w:p>
      <w:pPr>
        <w:pStyle w:val="Heading3"/>
      </w:pPr>
      <w:r>
        <w:t>What changed, and why it scores better</w:t>
      </w:r>
    </w:p>
    <w:p>
      <w:pPr>
        <w:pStyle w:val="ListBullet"/>
      </w:pPr>
      <w:r>
        <w:t>Names the instrument, the two testing windows, the person who enters the data, and the deadline for entry.</w:t>
      </w:r>
    </w:p>
    <w:p>
      <w:pPr>
        <w:pStyle w:val="ListBullet"/>
      </w:pPr>
      <w:r>
        <w:t>Uses each student as their own baseline, a comparison a small program can defend without a control group.</w:t>
      </w:r>
    </w:p>
    <w:p>
      <w:pPr>
        <w:pStyle w:val="ListBullet"/>
      </w:pPr>
      <w:r>
        <w:t>Builds in an analysis that could show the program did not work. That is exactly what makes the finding credible when it shows that it did.</w:t>
      </w:r>
    </w:p>
    <w:p>
      <w:pPr>
        <w:pStyle w:val="ListBullet"/>
      </w:pPr>
      <w:r>
        <w:t>Says who receives the report and on what date, so the evaluation ends in a decision rather than in a folder.</w:t>
      </w:r>
    </w:p>
    <w:p>
      <w:pPr>
        <w:pStyle w:val="Heading3"/>
      </w:pPr>
      <w:r>
        <w:t>Check your own draft</w:t>
      </w:r>
    </w:p>
    <w:tbl>
      <w:tblPr>
        <w:tblStyle w:val="TableGrid"/>
        <w:tblW w:type="auto" w:w="0"/>
        <w:tblLayout w:type="fixed"/>
        <w:tblCellMar>
          <w:top w:w="90" w:type="dxa"/>
          <w:left w:w="110" w:type="dxa"/>
          <w:bottom w:w="90" w:type="dxa"/>
          <w:right w:w="110" w:type="dxa"/>
        </w:tblCellMar>
        <w:tblLook w:firstColumn="1" w:firstRow="1" w:lastColumn="0" w:lastRow="0" w:noHBand="0" w:noVBand="1" w:val="04A0"/>
      </w:tblPr>
      <w:tblGrid>
        <w:gridCol w:w="9792"/>
      </w:tblGrid>
      <w:tr>
        <w:tc>
          <w:tcPr>
            <w:tcW w:type="dxa" w:w="9792"/>
            <w:shd w:val="clear" w:color="auto" w:fill="F3F5F8"/>
          </w:tcPr>
          <w:p>
            <w:pPr>
              <w:pStyle w:val="PackCell"/>
            </w:pPr>
            <w:r/>
            <w:r>
              <w:t>Is your instrument named, or does the plan still say "we will assess outcomes"?</w:t>
            </w:r>
          </w:p>
        </w:tc>
      </w:tr>
      <w:tr>
        <w:tc>
          <w:tcPr>
            <w:tcW w:type="dxa" w:w="9792"/>
            <w:shd w:val="clear" w:color="auto" w:fill="F3F5F8"/>
          </w:tcPr>
          <w:p>
            <w:pPr>
              <w:pStyle w:val="PackCell"/>
            </w:pPr>
            <w:r/>
            <w:r>
              <w:t>Is there any cut of your data that could show the program did not work? If not, you are not evaluating, you are reporting.</w:t>
            </w:r>
          </w:p>
        </w:tc>
      </w:tr>
      <w:tr>
        <w:tc>
          <w:tcPr>
            <w:tcW w:type="dxa" w:w="9792"/>
            <w:shd w:val="clear" w:color="auto" w:fill="F3F5F8"/>
          </w:tcPr>
          <w:p>
            <w:pPr>
              <w:pStyle w:val="PackCell"/>
            </w:pPr>
            <w:r/>
            <w:r>
              <w:t>Does a specific person receive the results on a specific date?</w:t>
            </w:r>
          </w:p>
        </w:tc>
      </w:tr>
    </w:tbl>
    <w:p>
      <w:pPr>
        <w:pStyle w:val="PackNote"/>
      </w:pPr>
    </w:p>
    <w:p>
      <w:r>
        <w:br w:type="page"/>
      </w:r>
    </w:p>
    <w:p>
      <w:pPr>
        <w:pStyle w:val="Heading1"/>
      </w:pPr>
      <w:r>
        <w:t>7. Budget Narrative</w:t>
      </w:r>
    </w:p>
    <w:p>
      <w:r>
        <w:t>The budget narrative is the section a reviewer checks rather than reads. Every figure should be reproducible from the sentence that introduces it, and every figure in the narrative should match the budget form to the dollar.</w:t>
      </w:r>
    </w:p>
    <w:tbl>
      <w:tblPr>
        <w:tblStyle w:val="TableGrid"/>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67"/>
        <w:gridCol w:w="4867"/>
      </w:tblGrid>
      <w:tr>
        <w:trPr>
          <w:tblHeader w:val="true"/>
        </w:trPr>
        <w:tc>
          <w:tcPr>
            <w:tcW w:type="dxa" w:w="4867"/>
            <w:shd w:val="clear" w:color="auto" w:fill="1B355E"/>
          </w:tcPr>
          <w:p>
            <w:pPr>
              <w:pStyle w:val="PackTableHead"/>
            </w:pPr>
            <w:r/>
            <w:r>
              <w:t>Weak version</w:t>
            </w:r>
          </w:p>
        </w:tc>
        <w:tc>
          <w:tcPr>
            <w:tcW w:type="dxa" w:w="4867"/>
            <w:shd w:val="clear" w:color="auto" w:fill="1B355E"/>
          </w:tcPr>
          <w:p>
            <w:pPr>
              <w:pStyle w:val="PackTableHead"/>
            </w:pPr>
            <w:r/>
            <w:r>
              <w:t>Strong version</w:t>
            </w:r>
          </w:p>
        </w:tc>
      </w:tr>
      <w:tr>
        <w:tc>
          <w:tcPr>
            <w:tcW w:type="dxa" w:w="4867"/>
            <w:shd w:val="clear" w:color="auto" w:fill="FBF1EE"/>
          </w:tcPr>
          <w:p>
            <w:pPr>
              <w:pStyle w:val="PackCell"/>
            </w:pPr>
            <w:r/>
            <w:r>
              <w:t>Personnel: $18,000</w:t>
            </w:r>
          </w:p>
          <w:p>
            <w:pPr>
              <w:pStyle w:val="PackCell"/>
            </w:pPr>
            <w:r>
              <w:t>Supplies: $4,000</w:t>
            </w:r>
          </w:p>
          <w:p>
            <w:pPr>
              <w:pStyle w:val="PackCell"/>
            </w:pPr>
            <w:r>
              <w:t>Training: $3,000</w:t>
            </w:r>
          </w:p>
          <w:p>
            <w:pPr>
              <w:pStyle w:val="PackCell"/>
            </w:pPr>
            <w:r>
              <w:t>Total request: $25,000</w:t>
            </w:r>
          </w:p>
          <w:p>
            <w:pPr>
              <w:pStyle w:val="PackCell"/>
            </w:pPr>
            <w:r>
              <w:t>Funds will be used to support program operations, staff time, and materials as needed throughout the grant period.</w:t>
            </w:r>
          </w:p>
        </w:tc>
        <w:tc>
          <w:tcPr>
            <w:tcW w:type="dxa" w:w="4867"/>
            <w:shd w:val="clear" w:color="auto" w:fill="EFF5EF"/>
          </w:tcPr>
          <w:p>
            <w:pPr>
              <w:pStyle w:val="PackCell"/>
            </w:pPr>
            <w:r/>
            <w:r>
              <w:t>Personnel, $18,000. Two site coordinators at 0.2 FTE each, against a full-time annual salary of $40,000, is $8,000 per coordinator and $16,000 combined. Benefits are budgeted at 12.5 percent of salary, $2,000. The 0.2 FTE is eight hours a week: six hours of session time across four afternoons, plus two hours for scheduling, family calls, and data entry.</w:t>
            </w:r>
          </w:p>
          <w:p>
            <w:pPr>
              <w:pStyle w:val="PackCell"/>
            </w:pPr>
            <w:r>
              <w:t>Supplies, $4,000. Eighty student workbooks at $22 each is $1,760, one workbook per enrolled student, consumable and not reusable between years. Shared classroom materials are $2,240: leveled reading sets, group timers, printing for the mid-year family reports, and replacement copies. The $22 unit price is the rate under the district's purchasing agreement, which we buy through.</w:t>
            </w:r>
          </w:p>
          <w:p>
            <w:pPr>
              <w:pStyle w:val="PackCell"/>
            </w:pPr>
            <w:r>
              <w:t>Training, $3,000. Six hours of onboarding for 25 volunteers at $120 per volunteer, covering the trainer's time, the background check fee, and the printed curriculum guide each tutor keeps. Twenty-five covers the 20 volunteer slots the weekly schedule needs, plus five for turnover, which matches our attrition last year.</w:t>
            </w:r>
          </w:p>
          <w:p>
            <w:pPr>
              <w:pStyle w:val="PackCell"/>
            </w:pPr>
            <w:r>
              <w:t>The three lines total $25,000, the full amount requested. Costs the grant does not carry: the district provides classroom space, custodial coverage, and the phonics curriculum at no charge, and the program director's time comes out of our general operating budget. Snacks are covered by $1,400 raised separately and are not part of this request.</w:t>
            </w:r>
          </w:p>
        </w:tc>
      </w:tr>
    </w:tbl>
    <w:p>
      <w:pPr>
        <w:pStyle w:val="Heading3"/>
      </w:pPr>
      <w:r>
        <w:t>The same budget as a table</w:t>
      </w:r>
    </w:p>
    <w:p>
      <w:pPr>
        <w:pStyle w:val="PackNote"/>
      </w:pPr>
      <w:r>
        <w:t>Give a reviewer both. The narrative explains each figure, the table lets them add it up in ten seconds, and the two must agree exactly.</w:t>
      </w:r>
    </w:p>
    <w:tbl>
      <w:tblPr>
        <w:tblStyle w:val="TableGrid"/>
        <w:tblW w:type="auto" w:w="0"/>
        <w:jc w:val="center"/>
        <w:tblLayout w:type="fixed"/>
        <w:tblCellMar>
          <w:top w:w="80" w:type="dxa"/>
          <w:left w:w="110" w:type="dxa"/>
          <w:bottom w:w="80" w:type="dxa"/>
          <w:right w:w="110" w:type="dxa"/>
        </w:tblCellMar>
        <w:tblLook w:firstColumn="1" w:firstRow="1" w:lastColumn="0" w:lastRow="0" w:noHBand="0" w:noVBand="1" w:val="04A0"/>
      </w:tblPr>
      <w:tblGrid>
        <w:gridCol w:w="2520"/>
        <w:gridCol w:w="3456"/>
        <w:gridCol w:w="2232"/>
        <w:gridCol w:w="1584"/>
      </w:tblGrid>
      <w:tr>
        <w:trPr>
          <w:tblHeader w:val="true"/>
        </w:trPr>
        <w:tc>
          <w:tcPr>
            <w:tcW w:type="dxa" w:w="2520"/>
            <w:shd w:val="clear" w:color="auto" w:fill="1B355E"/>
          </w:tcPr>
          <w:p>
            <w:pPr>
              <w:pStyle w:val="PackTableHead"/>
            </w:pPr>
            <w:r/>
            <w:r>
              <w:t>Line item</w:t>
            </w:r>
          </w:p>
        </w:tc>
        <w:tc>
          <w:tcPr>
            <w:tcW w:type="dxa" w:w="3456"/>
            <w:shd w:val="clear" w:color="auto" w:fill="1B355E"/>
          </w:tcPr>
          <w:p>
            <w:pPr>
              <w:pStyle w:val="PackTableHead"/>
            </w:pPr>
            <w:r/>
            <w:r>
              <w:t>Basis</w:t>
            </w:r>
          </w:p>
        </w:tc>
        <w:tc>
          <w:tcPr>
            <w:tcW w:type="dxa" w:w="2232"/>
            <w:shd w:val="clear" w:color="auto" w:fill="1B355E"/>
          </w:tcPr>
          <w:p>
            <w:pPr>
              <w:pStyle w:val="PackTableHead"/>
            </w:pPr>
            <w:r/>
            <w:r>
              <w:t>Calculation</w:t>
            </w:r>
          </w:p>
        </w:tc>
        <w:tc>
          <w:tcPr>
            <w:tcW w:type="dxa" w:w="1584"/>
            <w:shd w:val="clear" w:color="auto" w:fill="1B355E"/>
          </w:tcPr>
          <w:p>
            <w:pPr>
              <w:pStyle w:val="PackTableHead"/>
            </w:pPr>
            <w:r/>
            <w:r>
              <w:t>Amount</w:t>
            </w:r>
          </w:p>
        </w:tc>
      </w:tr>
      <w:tr>
        <w:tc>
          <w:tcPr>
            <w:tcW w:type="dxa" w:w="2520"/>
          </w:tcPr>
          <w:p>
            <w:pPr>
              <w:pStyle w:val="PackCell"/>
            </w:pPr>
            <w:r>
              <w:rPr>
                <w:b/>
              </w:rPr>
            </w:r>
            <w:r>
              <w:rPr>
                <w:b/>
              </w:rPr>
              <w:t>Site coordinator salaries</w:t>
            </w:r>
          </w:p>
        </w:tc>
        <w:tc>
          <w:tcPr>
            <w:tcW w:type="dxa" w:w="3456"/>
          </w:tcPr>
          <w:p>
            <w:pPr>
              <w:pStyle w:val="PackCell"/>
            </w:pPr>
            <w:r/>
            <w:r>
              <w:t>2 coordinators at 0.2 FTE of a $40,000 salary</w:t>
            </w:r>
          </w:p>
        </w:tc>
        <w:tc>
          <w:tcPr>
            <w:tcW w:type="dxa" w:w="2232"/>
          </w:tcPr>
          <w:p>
            <w:pPr>
              <w:pStyle w:val="PackCell"/>
            </w:pPr>
            <w:r/>
            <w:r>
              <w:t>2 x $8,000</w:t>
            </w:r>
          </w:p>
        </w:tc>
        <w:tc>
          <w:tcPr>
            <w:tcW w:type="dxa" w:w="1584"/>
          </w:tcPr>
          <w:p>
            <w:pPr>
              <w:pStyle w:val="PackCell"/>
            </w:pPr>
            <w:r/>
            <w:r>
              <w:t>$16,000</w:t>
            </w:r>
          </w:p>
        </w:tc>
      </w:tr>
      <w:tr>
        <w:tc>
          <w:tcPr>
            <w:tcW w:type="dxa" w:w="2520"/>
          </w:tcPr>
          <w:p>
            <w:pPr>
              <w:pStyle w:val="PackCell"/>
            </w:pPr>
            <w:r>
              <w:rPr>
                <w:b/>
              </w:rPr>
            </w:r>
            <w:r>
              <w:rPr>
                <w:b/>
              </w:rPr>
              <w:t>Payroll benefits</w:t>
            </w:r>
          </w:p>
        </w:tc>
        <w:tc>
          <w:tcPr>
            <w:tcW w:type="dxa" w:w="3456"/>
          </w:tcPr>
          <w:p>
            <w:pPr>
              <w:pStyle w:val="PackCell"/>
            </w:pPr>
            <w:r/>
            <w:r>
              <w:t>12.5 percent of coordinator salaries</w:t>
            </w:r>
          </w:p>
        </w:tc>
        <w:tc>
          <w:tcPr>
            <w:tcW w:type="dxa" w:w="2232"/>
          </w:tcPr>
          <w:p>
            <w:pPr>
              <w:pStyle w:val="PackCell"/>
            </w:pPr>
            <w:r/>
            <w:r>
              <w:t>0.125 x $16,000</w:t>
            </w:r>
          </w:p>
        </w:tc>
        <w:tc>
          <w:tcPr>
            <w:tcW w:type="dxa" w:w="1584"/>
          </w:tcPr>
          <w:p>
            <w:pPr>
              <w:pStyle w:val="PackCell"/>
            </w:pPr>
            <w:r/>
            <w:r>
              <w:t>$2,000</w:t>
            </w:r>
          </w:p>
        </w:tc>
      </w:tr>
      <w:tr>
        <w:tc>
          <w:tcPr>
            <w:tcW w:type="dxa" w:w="2520"/>
          </w:tcPr>
          <w:p>
            <w:pPr>
              <w:pStyle w:val="PackCell"/>
            </w:pPr>
            <w:r>
              <w:rPr>
                <w:b/>
              </w:rPr>
            </w:r>
            <w:r>
              <w:rPr>
                <w:b/>
              </w:rPr>
              <w:t>Student workbooks</w:t>
            </w:r>
          </w:p>
        </w:tc>
        <w:tc>
          <w:tcPr>
            <w:tcW w:type="dxa" w:w="3456"/>
          </w:tcPr>
          <w:p>
            <w:pPr>
              <w:pStyle w:val="PackCell"/>
            </w:pPr>
            <w:r/>
            <w:r>
              <w:t>One per enrolled student, district purchasing rate</w:t>
            </w:r>
          </w:p>
        </w:tc>
        <w:tc>
          <w:tcPr>
            <w:tcW w:type="dxa" w:w="2232"/>
          </w:tcPr>
          <w:p>
            <w:pPr>
              <w:pStyle w:val="PackCell"/>
            </w:pPr>
            <w:r/>
            <w:r>
              <w:t>80 x $22</w:t>
            </w:r>
          </w:p>
        </w:tc>
        <w:tc>
          <w:tcPr>
            <w:tcW w:type="dxa" w:w="1584"/>
          </w:tcPr>
          <w:p>
            <w:pPr>
              <w:pStyle w:val="PackCell"/>
            </w:pPr>
            <w:r/>
            <w:r>
              <w:t>$1,760</w:t>
            </w:r>
          </w:p>
        </w:tc>
      </w:tr>
      <w:tr>
        <w:tc>
          <w:tcPr>
            <w:tcW w:type="dxa" w:w="2520"/>
          </w:tcPr>
          <w:p>
            <w:pPr>
              <w:pStyle w:val="PackCell"/>
            </w:pPr>
            <w:r>
              <w:rPr>
                <w:b/>
              </w:rPr>
            </w:r>
            <w:r>
              <w:rPr>
                <w:b/>
              </w:rPr>
              <w:t>Shared classroom materials</w:t>
            </w:r>
          </w:p>
        </w:tc>
        <w:tc>
          <w:tcPr>
            <w:tcW w:type="dxa" w:w="3456"/>
          </w:tcPr>
          <w:p>
            <w:pPr>
              <w:pStyle w:val="PackCell"/>
            </w:pPr>
            <w:r/>
            <w:r>
              <w:t>Leveled sets, timers, printing, replacements</w:t>
            </w:r>
          </w:p>
        </w:tc>
        <w:tc>
          <w:tcPr>
            <w:tcW w:type="dxa" w:w="2232"/>
          </w:tcPr>
          <w:p>
            <w:pPr>
              <w:pStyle w:val="PackCell"/>
            </w:pPr>
            <w:r/>
            <w:r>
              <w:t>Flat</w:t>
            </w:r>
          </w:p>
        </w:tc>
        <w:tc>
          <w:tcPr>
            <w:tcW w:type="dxa" w:w="1584"/>
          </w:tcPr>
          <w:p>
            <w:pPr>
              <w:pStyle w:val="PackCell"/>
            </w:pPr>
            <w:r/>
            <w:r>
              <w:t>$2,240</w:t>
            </w:r>
          </w:p>
        </w:tc>
      </w:tr>
      <w:tr>
        <w:tc>
          <w:tcPr>
            <w:tcW w:type="dxa" w:w="2520"/>
          </w:tcPr>
          <w:p>
            <w:pPr>
              <w:pStyle w:val="PackCell"/>
            </w:pPr>
            <w:r>
              <w:rPr>
                <w:b/>
              </w:rPr>
            </w:r>
            <w:r>
              <w:rPr>
                <w:b/>
              </w:rPr>
              <w:t>Volunteer onboarding</w:t>
            </w:r>
          </w:p>
        </w:tc>
        <w:tc>
          <w:tcPr>
            <w:tcW w:type="dxa" w:w="3456"/>
          </w:tcPr>
          <w:p>
            <w:pPr>
              <w:pStyle w:val="PackCell"/>
            </w:pPr>
            <w:r/>
            <w:r>
              <w:t>Six hours per tutor, trainer time and background checks</w:t>
            </w:r>
          </w:p>
        </w:tc>
        <w:tc>
          <w:tcPr>
            <w:tcW w:type="dxa" w:w="2232"/>
          </w:tcPr>
          <w:p>
            <w:pPr>
              <w:pStyle w:val="PackCell"/>
            </w:pPr>
            <w:r/>
            <w:r>
              <w:t>25 x $120</w:t>
            </w:r>
          </w:p>
        </w:tc>
        <w:tc>
          <w:tcPr>
            <w:tcW w:type="dxa" w:w="1584"/>
          </w:tcPr>
          <w:p>
            <w:pPr>
              <w:pStyle w:val="PackCell"/>
            </w:pPr>
            <w:r/>
            <w:r>
              <w:t>$3,000</w:t>
            </w:r>
          </w:p>
        </w:tc>
      </w:tr>
      <w:tr>
        <w:tc>
          <w:tcPr>
            <w:tcW w:type="dxa" w:w="2520"/>
          </w:tcPr>
          <w:p>
            <w:pPr>
              <w:pStyle w:val="PackCell"/>
            </w:pPr>
            <w:r>
              <w:rPr>
                <w:b/>
              </w:rPr>
            </w:r>
            <w:r>
              <w:rPr>
                <w:b/>
              </w:rPr>
              <w:t>Total request</w:t>
            </w:r>
          </w:p>
        </w:tc>
        <w:tc>
          <w:tcPr>
            <w:tcW w:type="dxa" w:w="3456"/>
          </w:tcPr>
          <w:p>
            <w:pPr>
              <w:pStyle w:val="PackCell"/>
            </w:pPr>
            <w:r/>
            <w:r>
              <w:t>Personnel $18,000, supplies $4,000, training $3,000</w:t>
            </w:r>
          </w:p>
        </w:tc>
        <w:tc>
          <w:tcPr>
            <w:tcW w:type="dxa" w:w="2232"/>
          </w:tcPr>
          <w:p>
            <w:pPr>
              <w:pStyle w:val="PackCell"/>
            </w:pPr>
            <w:r/>
            <w:r>
              <w:t>$18,000 + $4,000 + $3,000</w:t>
            </w:r>
          </w:p>
        </w:tc>
        <w:tc>
          <w:tcPr>
            <w:tcW w:type="dxa" w:w="1584"/>
          </w:tcPr>
          <w:p>
            <w:pPr>
              <w:pStyle w:val="PackCell"/>
            </w:pPr>
            <w:r/>
            <w:r>
              <w:t>$25,000</w:t>
            </w:r>
          </w:p>
        </w:tc>
      </w:tr>
    </w:tbl>
    <w:p>
      <w:pPr>
        <w:pStyle w:val="PackNote"/>
      </w:pPr>
      <w:r>
        <w:t>In-kind and separately funded, shown for context and not requested here: classroom space, custodial coverage, and the phonics curriculum from the district; program director time from general operating funds; $1,400 for snacks raised separately.</w:t>
      </w:r>
    </w:p>
    <w:p>
      <w:pPr>
        <w:pStyle w:val="Heading3"/>
      </w:pPr>
      <w:r>
        <w:t>What changed, and why it scores better</w:t>
      </w:r>
    </w:p>
    <w:p>
      <w:pPr>
        <w:pStyle w:val="ListBullet"/>
      </w:pPr>
      <w:r>
        <w:t>Every line shows its arithmetic, so a reviewer can verify the figure without contacting you. A reviewer who can follow the arithmetic has no reason to go hunting for a problem in it.</w:t>
      </w:r>
    </w:p>
    <w:p>
      <w:pPr>
        <w:pStyle w:val="ListBullet"/>
      </w:pPr>
      <w:r>
        <w:t>Names where a unit price comes from rather than asserting it.</w:t>
      </w:r>
    </w:p>
    <w:p>
      <w:pPr>
        <w:pStyle w:val="ListBullet"/>
      </w:pPr>
      <w:r>
        <w:t>The volunteer count in the training line matches the session schedule in the program description, and the coordinator hours match the 0.2 FTE. Mismatched counts across sections are the single most common reason a budget reads as padded.</w:t>
      </w:r>
    </w:p>
    <w:p>
      <w:pPr>
        <w:pStyle w:val="ListBullet"/>
      </w:pPr>
      <w:r>
        <w:t>Lists what the grant does not pay for, which tells the funder the request is the true cost of delivery rather than an arbitrary slice.</w:t>
      </w:r>
    </w:p>
    <w:p>
      <w:pPr>
        <w:pStyle w:val="Heading3"/>
      </w:pPr>
      <w:r>
        <w:t>Check your own draft</w:t>
      </w:r>
    </w:p>
    <w:tbl>
      <w:tblPr>
        <w:tblStyle w:val="TableGrid"/>
        <w:tblW w:type="auto" w:w="0"/>
        <w:tblLayout w:type="fixed"/>
        <w:tblCellMar>
          <w:top w:w="90" w:type="dxa"/>
          <w:left w:w="110" w:type="dxa"/>
          <w:bottom w:w="90" w:type="dxa"/>
          <w:right w:w="110" w:type="dxa"/>
        </w:tblCellMar>
        <w:tblLook w:firstColumn="1" w:firstRow="1" w:lastColumn="0" w:lastRow="0" w:noHBand="0" w:noVBand="1" w:val="04A0"/>
      </w:tblPr>
      <w:tblGrid>
        <w:gridCol w:w="9792"/>
      </w:tblGrid>
      <w:tr>
        <w:tc>
          <w:tcPr>
            <w:tcW w:type="dxa" w:w="9792"/>
            <w:shd w:val="clear" w:color="auto" w:fill="F3F5F8"/>
          </w:tcPr>
          <w:p>
            <w:pPr>
              <w:pStyle w:val="PackCell"/>
            </w:pPr>
            <w:r/>
            <w:r>
              <w:t>Does every figure in the narrative appear identically on the budget form?</w:t>
            </w:r>
          </w:p>
        </w:tc>
      </w:tr>
      <w:tr>
        <w:tc>
          <w:tcPr>
            <w:tcW w:type="dxa" w:w="9792"/>
            <w:shd w:val="clear" w:color="auto" w:fill="F3F5F8"/>
          </w:tcPr>
          <w:p>
            <w:pPr>
              <w:pStyle w:val="PackCell"/>
            </w:pPr>
            <w:r/>
            <w:r>
              <w:t>Can a reader reproduce each total from the numbers in the sentence itself?</w:t>
            </w:r>
          </w:p>
        </w:tc>
      </w:tr>
      <w:tr>
        <w:tc>
          <w:tcPr>
            <w:tcW w:type="dxa" w:w="9792"/>
            <w:shd w:val="clear" w:color="auto" w:fill="F3F5F8"/>
          </w:tcPr>
          <w:p>
            <w:pPr>
              <w:pStyle w:val="PackCell"/>
            </w:pPr>
            <w:r/>
            <w:r>
              <w:t>Have you named the in-kind and separately funded costs that make the program possible?</w:t>
            </w:r>
          </w:p>
        </w:tc>
      </w:tr>
    </w:tbl>
    <w:p>
      <w:pPr>
        <w:pStyle w:val="PackNote"/>
      </w:pPr>
    </w:p>
    <w:p>
      <w:r>
        <w:br w:type="page"/>
      </w:r>
    </w:p>
    <w:p>
      <w:pPr>
        <w:pStyle w:val="Heading1"/>
      </w:pPr>
      <w:r>
        <w:t>8. Sustainability</w:t>
      </w:r>
    </w:p>
    <w:p>
      <w:r>
        <w:t>Program officers read hundreds of sustainability paragraphs a year and discount almost all of them, because almost all of them promise future effort. The few that land name money already in hand and a date when someone decides.</w:t>
      </w:r>
    </w:p>
    <w:tbl>
      <w:tblPr>
        <w:tblStyle w:val="TableGrid"/>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67"/>
        <w:gridCol w:w="4867"/>
      </w:tblGrid>
      <w:tr>
        <w:trPr>
          <w:tblHeader w:val="true"/>
        </w:trPr>
        <w:tc>
          <w:tcPr>
            <w:tcW w:type="dxa" w:w="4867"/>
            <w:shd w:val="clear" w:color="auto" w:fill="1B355E"/>
          </w:tcPr>
          <w:p>
            <w:pPr>
              <w:pStyle w:val="PackTableHead"/>
            </w:pPr>
            <w:r/>
            <w:r>
              <w:t>Weak version</w:t>
            </w:r>
          </w:p>
        </w:tc>
        <w:tc>
          <w:tcPr>
            <w:tcW w:type="dxa" w:w="4867"/>
            <w:shd w:val="clear" w:color="auto" w:fill="1B355E"/>
          </w:tcPr>
          <w:p>
            <w:pPr>
              <w:pStyle w:val="PackTableHead"/>
            </w:pPr>
            <w:r/>
            <w:r>
              <w:t>Strong version</w:t>
            </w:r>
          </w:p>
        </w:tc>
      </w:tr>
      <w:tr>
        <w:tc>
          <w:tcPr>
            <w:tcW w:type="dxa" w:w="4867"/>
            <w:shd w:val="clear" w:color="auto" w:fill="FBF1EE"/>
          </w:tcPr>
          <w:p>
            <w:pPr>
              <w:pStyle w:val="PackCell"/>
            </w:pPr>
            <w:r/>
            <w:r>
              <w:t>We will seek additional funding from other foundations and continue to grow our individual donor base in order to sustain this program beyond the grant period.</w:t>
            </w:r>
          </w:p>
          <w:p>
            <w:pPr>
              <w:pStyle w:val="PackCell"/>
            </w:pPr>
            <w:r>
              <w:t>We are confident that the success of this project will attract further support from the community and from other funders.</w:t>
            </w:r>
          </w:p>
          <w:p>
            <w:pPr>
              <w:pStyle w:val="PackCell"/>
            </w:pPr>
            <w:r>
              <w:t>Our long-term plan is to diversify our revenue streams and build the capacity needed to make this program self-sustaining.</w:t>
            </w:r>
          </w:p>
        </w:tc>
        <w:tc>
          <w:tcPr>
            <w:tcW w:type="dxa" w:w="4867"/>
            <w:shd w:val="clear" w:color="auto" w:fill="EFF5EF"/>
          </w:tcPr>
          <w:p>
            <w:pPr>
              <w:pStyle w:val="PackCell"/>
            </w:pPr>
            <w:r/>
            <w:r>
              <w:t>Two sources for the 2027-28 program year are already committed. Our county's family services allocation renewed us at $6,000 in July 2026 for the following program year, confirmed in writing. Our spring donor event raised $4,200 restricted to tutoring materials, which covers the next year of workbooks with room for modest enrollment growth.</w:t>
            </w:r>
          </w:p>
          <w:p>
            <w:pPr>
              <w:pStyle w:val="PackCell"/>
            </w:pPr>
            <w:r>
              <w:t>That leaves the coordinator salaries as the piece still to raise. Our board makes the renewal decision each March using the June evaluation report and the committed funds on hand at that point, so the March 2027 meeting is where the 2027-28 decision gets made. If the salary line is not covered by then, the program runs at one site rather than two, and we would rather make that call in March than in September with families already enrolled.</w:t>
            </w:r>
          </w:p>
          <w:p>
            <w:pPr>
              <w:pStyle w:val="PackCell"/>
            </w:pPr>
            <w:r>
              <w:t>Two structural pieces hold down what has to be raised each year. The district's agreement to provide classroom space and the curriculum runs through the 2028 school year, which keeps facilities and curriculum cost at zero. And volunteer tutors carry the instructional hours, so growth costs materials and coordinator time rather than a proportional increase in staff.</w:t>
            </w:r>
          </w:p>
          <w:p>
            <w:pPr>
              <w:pStyle w:val="PackCell"/>
            </w:pPr>
            <w:r>
              <w:t>We are not going to claim the program becomes self-funding. It serves families at no charge and always will, so it depends on grants, the county allocation, and individual gifts. What we can commit to is that the cost stays legible, the renewal decision happens on a fixed date, and the board making it has the evaluation report in front of them.</w:t>
            </w:r>
          </w:p>
        </w:tc>
      </w:tr>
    </w:tbl>
    <w:p>
      <w:pPr>
        <w:pStyle w:val="Heading3"/>
      </w:pPr>
      <w:r>
        <w:t>What changed, and why it scores better</w:t>
      </w:r>
    </w:p>
    <w:p>
      <w:pPr>
        <w:pStyle w:val="ListBullet"/>
      </w:pPr>
      <w:r>
        <w:t>Names amounts already committed, and when each was confirmed, instead of promising to look for more.</w:t>
      </w:r>
    </w:p>
    <w:p>
      <w:pPr>
        <w:pStyle w:val="ListBullet"/>
      </w:pPr>
      <w:r>
        <w:t>Gives the renewal decision a date and a decision maker, which turns sustainability from a hope into a process.</w:t>
      </w:r>
    </w:p>
    <w:p>
      <w:pPr>
        <w:pStyle w:val="ListBullet"/>
      </w:pPr>
      <w:r>
        <w:t>States the fallback openly. Running one site instead of two reads as planning, not as weakness.</w:t>
      </w:r>
    </w:p>
    <w:p>
      <w:pPr>
        <w:pStyle w:val="ListBullet"/>
      </w:pPr>
      <w:r>
        <w:t>Declines the self-sustaining claim. A free program for families is not going to become self-funding, and a program officer knows that before they finish the sentence.</w:t>
      </w:r>
    </w:p>
    <w:p>
      <w:pPr>
        <w:pStyle w:val="Heading3"/>
      </w:pPr>
      <w:r>
        <w:t>Check your own draft</w:t>
      </w:r>
    </w:p>
    <w:tbl>
      <w:tblPr>
        <w:tblStyle w:val="TableGrid"/>
        <w:tblW w:type="auto" w:w="0"/>
        <w:tblLayout w:type="fixed"/>
        <w:tblCellMar>
          <w:top w:w="90" w:type="dxa"/>
          <w:left w:w="110" w:type="dxa"/>
          <w:bottom w:w="90" w:type="dxa"/>
          <w:right w:w="110" w:type="dxa"/>
        </w:tblCellMar>
        <w:tblLook w:firstColumn="1" w:firstRow="1" w:lastColumn="0" w:lastRow="0" w:noHBand="0" w:noVBand="1" w:val="04A0"/>
      </w:tblPr>
      <w:tblGrid>
        <w:gridCol w:w="9792"/>
      </w:tblGrid>
      <w:tr>
        <w:tc>
          <w:tcPr>
            <w:tcW w:type="dxa" w:w="9792"/>
            <w:shd w:val="clear" w:color="auto" w:fill="F3F5F8"/>
          </w:tcPr>
          <w:p>
            <w:pPr>
              <w:pStyle w:val="PackCell"/>
            </w:pPr>
            <w:r/>
            <w:r>
              <w:t>Can you name one dollar figure that is already committed for after this grant period?</w:t>
            </w:r>
          </w:p>
        </w:tc>
      </w:tr>
      <w:tr>
        <w:tc>
          <w:tcPr>
            <w:tcW w:type="dxa" w:w="9792"/>
            <w:shd w:val="clear" w:color="auto" w:fill="F3F5F8"/>
          </w:tcPr>
          <w:p>
            <w:pPr>
              <w:pStyle w:val="PackCell"/>
            </w:pPr>
            <w:r/>
            <w:r>
              <w:t>Is there a date when a named body decides whether the program continues?</w:t>
            </w:r>
          </w:p>
        </w:tc>
      </w:tr>
      <w:tr>
        <w:tc>
          <w:tcPr>
            <w:tcW w:type="dxa" w:w="9792"/>
            <w:shd w:val="clear" w:color="auto" w:fill="F3F5F8"/>
          </w:tcPr>
          <w:p>
            <w:pPr>
              <w:pStyle w:val="PackCell"/>
            </w:pPr>
            <w:r/>
            <w:r>
              <w:t>If your answer is "we will apply for more grants", have you named which ones and when they are due?</w:t>
            </w:r>
          </w:p>
        </w:tc>
      </w:tr>
    </w:tbl>
    <w:p>
      <w:pPr>
        <w:pStyle w:val="PackNote"/>
      </w:pPr>
    </w:p>
    <w:p>
      <w:r>
        <w:br w:type="page"/>
      </w:r>
    </w:p>
    <w:p>
      <w:pPr>
        <w:pStyle w:val="Heading1"/>
      </w:pPr>
      <w:r>
        <w:t>Phrases That Signal a Weak Draft</w:t>
      </w:r>
    </w:p>
    <w:p>
      <w:r>
        <w:t>These expressions show up in weak proposals because they sound like content while committing to nothing. Search your draft for each one before you submit, then replace it with the number, date, or source it was standing in for.</w:t>
      </w:r>
    </w:p>
    <w:tbl>
      <w:tblPr>
        <w:tblStyle w:val="TableGrid"/>
        <w:tblW w:type="auto" w:w="0"/>
        <w:jc w:val="center"/>
        <w:tblLayout w:type="fixed"/>
        <w:tblCellMar>
          <w:top w:w="80" w:type="dxa"/>
          <w:left w:w="110" w:type="dxa"/>
          <w:bottom w:w="80" w:type="dxa"/>
          <w:right w:w="110" w:type="dxa"/>
        </w:tblCellMar>
        <w:tblLook w:firstColumn="1" w:firstRow="1" w:lastColumn="0" w:lastRow="0" w:noHBand="0" w:noVBand="1" w:val="04A0"/>
      </w:tblPr>
      <w:tblGrid>
        <w:gridCol w:w="2520"/>
        <w:gridCol w:w="3456"/>
        <w:gridCol w:w="3816"/>
      </w:tblGrid>
      <w:tr>
        <w:trPr>
          <w:tblHeader w:val="true"/>
        </w:trPr>
        <w:tc>
          <w:tcPr>
            <w:tcW w:type="dxa" w:w="2520"/>
            <w:shd w:val="clear" w:color="auto" w:fill="1B355E"/>
          </w:tcPr>
          <w:p>
            <w:pPr>
              <w:pStyle w:val="PackTableHead"/>
            </w:pPr>
            <w:r/>
            <w:r>
              <w:t>Phrase in your draft</w:t>
            </w:r>
          </w:p>
        </w:tc>
        <w:tc>
          <w:tcPr>
            <w:tcW w:type="dxa" w:w="3456"/>
            <w:shd w:val="clear" w:color="auto" w:fill="1B355E"/>
          </w:tcPr>
          <w:p>
            <w:pPr>
              <w:pStyle w:val="PackTableHead"/>
            </w:pPr>
            <w:r/>
            <w:r>
              <w:t>What the reviewer still cannot tell</w:t>
            </w:r>
          </w:p>
        </w:tc>
        <w:tc>
          <w:tcPr>
            <w:tcW w:type="dxa" w:w="3816"/>
            <w:shd w:val="clear" w:color="auto" w:fill="1B355E"/>
          </w:tcPr>
          <w:p>
            <w:pPr>
              <w:pStyle w:val="PackTableHead"/>
            </w:pPr>
            <w:r/>
            <w:r>
              <w:t>Replace it with</w:t>
            </w:r>
          </w:p>
        </w:tc>
      </w:tr>
      <w:tr>
        <w:tc>
          <w:tcPr>
            <w:tcW w:type="dxa" w:w="2520"/>
          </w:tcPr>
          <w:p>
            <w:pPr>
              <w:pStyle w:val="PackCell"/>
            </w:pPr>
            <w:r>
              <w:rPr>
                <w:b/>
              </w:rPr>
            </w:r>
            <w:r>
              <w:rPr>
                <w:b/>
              </w:rPr>
              <w:t>"significant need"</w:t>
            </w:r>
          </w:p>
        </w:tc>
        <w:tc>
          <w:tcPr>
            <w:tcW w:type="dxa" w:w="3456"/>
          </w:tcPr>
          <w:p>
            <w:pPr>
              <w:pStyle w:val="PackCell"/>
            </w:pPr>
            <w:r/>
            <w:r>
              <w:t>How large the need is</w:t>
            </w:r>
          </w:p>
        </w:tc>
        <w:tc>
          <w:tcPr>
            <w:tcW w:type="dxa" w:w="3816"/>
          </w:tcPr>
          <w:p>
            <w:pPr>
              <w:pStyle w:val="PackCell"/>
            </w:pPr>
            <w:r/>
            <w:r>
              <w:t>The count or the rate, and the year it was measured</w:t>
            </w:r>
          </w:p>
        </w:tc>
      </w:tr>
      <w:tr>
        <w:tc>
          <w:tcPr>
            <w:tcW w:type="dxa" w:w="2520"/>
          </w:tcPr>
          <w:p>
            <w:pPr>
              <w:pStyle w:val="PackCell"/>
            </w:pPr>
            <w:r>
              <w:rPr>
                <w:b/>
              </w:rPr>
            </w:r>
            <w:r>
              <w:rPr>
                <w:b/>
              </w:rPr>
              <w:t>"evidence-based"</w:t>
            </w:r>
          </w:p>
        </w:tc>
        <w:tc>
          <w:tcPr>
            <w:tcW w:type="dxa" w:w="3456"/>
          </w:tcPr>
          <w:p>
            <w:pPr>
              <w:pStyle w:val="PackCell"/>
            </w:pPr>
            <w:r/>
            <w:r>
              <w:t>Which evidence, and whose</w:t>
            </w:r>
          </w:p>
        </w:tc>
        <w:tc>
          <w:tcPr>
            <w:tcW w:type="dxa" w:w="3816"/>
          </w:tcPr>
          <w:p>
            <w:pPr>
              <w:pStyle w:val="PackCell"/>
            </w:pPr>
            <w:r/>
            <w:r>
              <w:t>The name of the curriculum or model, and who publishes it</w:t>
            </w:r>
          </w:p>
        </w:tc>
      </w:tr>
      <w:tr>
        <w:tc>
          <w:tcPr>
            <w:tcW w:type="dxa" w:w="2520"/>
          </w:tcPr>
          <w:p>
            <w:pPr>
              <w:pStyle w:val="PackCell"/>
            </w:pPr>
            <w:r>
              <w:rPr>
                <w:b/>
              </w:rPr>
            </w:r>
            <w:r>
              <w:rPr>
                <w:b/>
              </w:rPr>
              <w:t>"best practices"</w:t>
            </w:r>
          </w:p>
        </w:tc>
        <w:tc>
          <w:tcPr>
            <w:tcW w:type="dxa" w:w="3456"/>
          </w:tcPr>
          <w:p>
            <w:pPr>
              <w:pStyle w:val="PackCell"/>
            </w:pPr>
            <w:r/>
            <w:r>
              <w:t>Which practice, and where it comes from</w:t>
            </w:r>
          </w:p>
        </w:tc>
        <w:tc>
          <w:tcPr>
            <w:tcW w:type="dxa" w:w="3816"/>
          </w:tcPr>
          <w:p>
            <w:pPr>
              <w:pStyle w:val="PackCell"/>
            </w:pPr>
            <w:r/>
            <w:r>
              <w:t>The specific practice you follow and the source you follow it from</w:t>
            </w:r>
          </w:p>
        </w:tc>
      </w:tr>
      <w:tr>
        <w:tc>
          <w:tcPr>
            <w:tcW w:type="dxa" w:w="2520"/>
          </w:tcPr>
          <w:p>
            <w:pPr>
              <w:pStyle w:val="PackCell"/>
            </w:pPr>
            <w:r>
              <w:rPr>
                <w:b/>
              </w:rPr>
            </w:r>
            <w:r>
              <w:rPr>
                <w:b/>
              </w:rPr>
              <w:t>"uniquely positioned"</w:t>
            </w:r>
          </w:p>
        </w:tc>
        <w:tc>
          <w:tcPr>
            <w:tcW w:type="dxa" w:w="3456"/>
          </w:tcPr>
          <w:p>
            <w:pPr>
              <w:pStyle w:val="PackCell"/>
            </w:pPr>
            <w:r/>
            <w:r>
              <w:t>Why you rather than another applicant</w:t>
            </w:r>
          </w:p>
        </w:tc>
        <w:tc>
          <w:tcPr>
            <w:tcW w:type="dxa" w:w="3816"/>
          </w:tcPr>
          <w:p>
            <w:pPr>
              <w:pStyle w:val="PackCell"/>
            </w:pPr>
            <w:r/>
            <w:r>
              <w:t>What you run today that no one else in the service area runs</w:t>
            </w:r>
          </w:p>
        </w:tc>
      </w:tr>
      <w:tr>
        <w:tc>
          <w:tcPr>
            <w:tcW w:type="dxa" w:w="2520"/>
          </w:tcPr>
          <w:p>
            <w:pPr>
              <w:pStyle w:val="PackCell"/>
            </w:pPr>
            <w:r>
              <w:rPr>
                <w:b/>
              </w:rPr>
            </w:r>
            <w:r>
              <w:rPr>
                <w:b/>
              </w:rPr>
              <w:t>"we will evaluate"</w:t>
            </w:r>
          </w:p>
        </w:tc>
        <w:tc>
          <w:tcPr>
            <w:tcW w:type="dxa" w:w="3456"/>
          </w:tcPr>
          <w:p>
            <w:pPr>
              <w:pStyle w:val="PackCell"/>
            </w:pPr>
            <w:r/>
            <w:r>
              <w:t>What gets measured, and when</w:t>
            </w:r>
          </w:p>
        </w:tc>
        <w:tc>
          <w:tcPr>
            <w:tcW w:type="dxa" w:w="3816"/>
          </w:tcPr>
          <w:p>
            <w:pPr>
              <w:pStyle w:val="PackCell"/>
            </w:pPr>
            <w:r/>
            <w:r>
              <w:t>The instrument, the testing window, and who enters the data</w:t>
            </w:r>
          </w:p>
        </w:tc>
      </w:tr>
      <w:tr>
        <w:tc>
          <w:tcPr>
            <w:tcW w:type="dxa" w:w="2520"/>
          </w:tcPr>
          <w:p>
            <w:pPr>
              <w:pStyle w:val="PackCell"/>
            </w:pPr>
            <w:r>
              <w:rPr>
                <w:b/>
              </w:rPr>
            </w:r>
            <w:r>
              <w:rPr>
                <w:b/>
              </w:rPr>
              <w:t>"as needed"</w:t>
            </w:r>
          </w:p>
        </w:tc>
        <w:tc>
          <w:tcPr>
            <w:tcW w:type="dxa" w:w="3456"/>
          </w:tcPr>
          <w:p>
            <w:pPr>
              <w:pStyle w:val="PackCell"/>
            </w:pPr>
            <w:r/>
            <w:r>
              <w:t>Whether it happens at all</w:t>
            </w:r>
          </w:p>
        </w:tc>
        <w:tc>
          <w:tcPr>
            <w:tcW w:type="dxa" w:w="3816"/>
          </w:tcPr>
          <w:p>
            <w:pPr>
              <w:pStyle w:val="PackCell"/>
            </w:pPr>
            <w:r/>
            <w:r>
              <w:t>A frequency and the person responsible for it</w:t>
            </w:r>
          </w:p>
        </w:tc>
      </w:tr>
      <w:tr>
        <w:tc>
          <w:tcPr>
            <w:tcW w:type="dxa" w:w="2520"/>
          </w:tcPr>
          <w:p>
            <w:pPr>
              <w:pStyle w:val="PackCell"/>
            </w:pPr>
            <w:r>
              <w:rPr>
                <w:b/>
              </w:rPr>
            </w:r>
            <w:r>
              <w:rPr>
                <w:b/>
              </w:rPr>
              <w:t>"community partners"</w:t>
            </w:r>
          </w:p>
        </w:tc>
        <w:tc>
          <w:tcPr>
            <w:tcW w:type="dxa" w:w="3456"/>
          </w:tcPr>
          <w:p>
            <w:pPr>
              <w:pStyle w:val="PackCell"/>
            </w:pPr>
            <w:r/>
            <w:r>
              <w:t>Who they are</w:t>
            </w:r>
          </w:p>
        </w:tc>
        <w:tc>
          <w:tcPr>
            <w:tcW w:type="dxa" w:w="3816"/>
          </w:tcPr>
          <w:p>
            <w:pPr>
              <w:pStyle w:val="PackCell"/>
            </w:pPr>
            <w:r/>
            <w:r>
              <w:t>Named organizations and what each one contributes</w:t>
            </w:r>
          </w:p>
        </w:tc>
      </w:tr>
      <w:tr>
        <w:tc>
          <w:tcPr>
            <w:tcW w:type="dxa" w:w="2520"/>
          </w:tcPr>
          <w:p>
            <w:pPr>
              <w:pStyle w:val="PackCell"/>
            </w:pPr>
            <w:r>
              <w:rPr>
                <w:b/>
              </w:rPr>
            </w:r>
            <w:r>
              <w:rPr>
                <w:b/>
              </w:rPr>
              <w:t>"seek additional funding"</w:t>
            </w:r>
          </w:p>
        </w:tc>
        <w:tc>
          <w:tcPr>
            <w:tcW w:type="dxa" w:w="3456"/>
          </w:tcPr>
          <w:p>
            <w:pPr>
              <w:pStyle w:val="PackCell"/>
            </w:pPr>
            <w:r/>
            <w:r>
              <w:t>Whether anything is committed</w:t>
            </w:r>
          </w:p>
        </w:tc>
        <w:tc>
          <w:tcPr>
            <w:tcW w:type="dxa" w:w="3816"/>
          </w:tcPr>
          <w:p>
            <w:pPr>
              <w:pStyle w:val="PackCell"/>
            </w:pPr>
            <w:r/>
            <w:r>
              <w:t>Sources already committed and the date you decide on renewal</w:t>
            </w:r>
          </w:p>
        </w:tc>
      </w:tr>
      <w:tr>
        <w:tc>
          <w:tcPr>
            <w:tcW w:type="dxa" w:w="2520"/>
          </w:tcPr>
          <w:p>
            <w:pPr>
              <w:pStyle w:val="PackCell"/>
            </w:pPr>
            <w:r>
              <w:rPr>
                <w:b/>
              </w:rPr>
            </w:r>
            <w:r>
              <w:rPr>
                <w:b/>
              </w:rPr>
              <w:t>"at-risk youth"</w:t>
            </w:r>
          </w:p>
        </w:tc>
        <w:tc>
          <w:tcPr>
            <w:tcW w:type="dxa" w:w="3456"/>
          </w:tcPr>
          <w:p>
            <w:pPr>
              <w:pStyle w:val="PackCell"/>
            </w:pPr>
            <w:r/>
            <w:r>
              <w:t>Who, and at risk of what</w:t>
            </w:r>
          </w:p>
        </w:tc>
        <w:tc>
          <w:tcPr>
            <w:tcW w:type="dxa" w:w="3816"/>
          </w:tcPr>
          <w:p>
            <w:pPr>
              <w:pStyle w:val="PackCell"/>
            </w:pPr>
            <w:r/>
            <w:r>
              <w:t>The age range, the school or neighborhood, and the condition you mean</w:t>
            </w:r>
          </w:p>
        </w:tc>
      </w:tr>
      <w:tr>
        <w:tc>
          <w:tcPr>
            <w:tcW w:type="dxa" w:w="2520"/>
          </w:tcPr>
          <w:p>
            <w:pPr>
              <w:pStyle w:val="PackCell"/>
            </w:pPr>
            <w:r>
              <w:rPr>
                <w:b/>
              </w:rPr>
            </w:r>
            <w:r>
              <w:rPr>
                <w:b/>
              </w:rPr>
              <w:t>"meaningful impact"</w:t>
            </w:r>
          </w:p>
        </w:tc>
        <w:tc>
          <w:tcPr>
            <w:tcW w:type="dxa" w:w="3456"/>
          </w:tcPr>
          <w:p>
            <w:pPr>
              <w:pStyle w:val="PackCell"/>
            </w:pPr>
            <w:r/>
            <w:r>
              <w:t>What changes, and by how much</w:t>
            </w:r>
          </w:p>
        </w:tc>
        <w:tc>
          <w:tcPr>
            <w:tcW w:type="dxa" w:w="3816"/>
          </w:tcPr>
          <w:p>
            <w:pPr>
              <w:pStyle w:val="PackCell"/>
            </w:pPr>
            <w:r/>
            <w:r>
              <w:t>The measure, the size of the change, and the date you report it</w:t>
            </w:r>
          </w:p>
        </w:tc>
      </w:tr>
      <w:tr>
        <w:tc>
          <w:tcPr>
            <w:tcW w:type="dxa" w:w="2520"/>
          </w:tcPr>
          <w:p>
            <w:pPr>
              <w:pStyle w:val="PackCell"/>
            </w:pPr>
            <w:r>
              <w:rPr>
                <w:b/>
              </w:rPr>
            </w:r>
            <w:r>
              <w:rPr>
                <w:b/>
              </w:rPr>
              <w:t>"leverage"</w:t>
            </w:r>
          </w:p>
        </w:tc>
        <w:tc>
          <w:tcPr>
            <w:tcW w:type="dxa" w:w="3456"/>
          </w:tcPr>
          <w:p>
            <w:pPr>
              <w:pStyle w:val="PackCell"/>
            </w:pPr>
            <w:r/>
            <w:r>
              <w:t>Whether other money is actually committed</w:t>
            </w:r>
          </w:p>
        </w:tc>
        <w:tc>
          <w:tcPr>
            <w:tcW w:type="dxa" w:w="3816"/>
          </w:tcPr>
          <w:p>
            <w:pPr>
              <w:pStyle w:val="PackCell"/>
            </w:pPr>
            <w:r/>
            <w:r>
              <w:t>The other funds, the amount, and the date they were confirmed</w:t>
            </w:r>
          </w:p>
        </w:tc>
      </w:tr>
      <w:tr>
        <w:tc>
          <w:tcPr>
            <w:tcW w:type="dxa" w:w="2520"/>
          </w:tcPr>
          <w:p>
            <w:pPr>
              <w:pStyle w:val="PackCell"/>
            </w:pPr>
            <w:r>
              <w:rPr>
                <w:b/>
              </w:rPr>
            </w:r>
            <w:r>
              <w:rPr>
                <w:b/>
              </w:rPr>
              <w:t>"capacity building"</w:t>
            </w:r>
          </w:p>
        </w:tc>
        <w:tc>
          <w:tcPr>
            <w:tcW w:type="dxa" w:w="3456"/>
          </w:tcPr>
          <w:p>
            <w:pPr>
              <w:pStyle w:val="PackCell"/>
            </w:pPr>
            <w:r/>
            <w:r>
              <w:t>What the money buys</w:t>
            </w:r>
          </w:p>
        </w:tc>
        <w:tc>
          <w:tcPr>
            <w:tcW w:type="dxa" w:w="3816"/>
          </w:tcPr>
          <w:p>
            <w:pPr>
              <w:pStyle w:val="PackCell"/>
            </w:pPr>
            <w:r/>
            <w:r>
              <w:t>The role, the system, or the training being paid for</w:t>
            </w:r>
          </w:p>
        </w:tc>
      </w:tr>
      <w:tr>
        <w:tc>
          <w:tcPr>
            <w:tcW w:type="dxa" w:w="2520"/>
          </w:tcPr>
          <w:p>
            <w:pPr>
              <w:pStyle w:val="PackCell"/>
            </w:pPr>
            <w:r>
              <w:rPr>
                <w:b/>
              </w:rPr>
            </w:r>
            <w:r>
              <w:rPr>
                <w:b/>
              </w:rPr>
              <w:t>"innovative approach"</w:t>
            </w:r>
          </w:p>
        </w:tc>
        <w:tc>
          <w:tcPr>
            <w:tcW w:type="dxa" w:w="3456"/>
          </w:tcPr>
          <w:p>
            <w:pPr>
              <w:pStyle w:val="PackCell"/>
            </w:pPr>
            <w:r/>
            <w:r>
              <w:t>What is different from standard practice</w:t>
            </w:r>
          </w:p>
        </w:tc>
        <w:tc>
          <w:tcPr>
            <w:tcW w:type="dxa" w:w="3816"/>
          </w:tcPr>
          <w:p>
            <w:pPr>
              <w:pStyle w:val="PackCell"/>
            </w:pPr>
            <w:r/>
            <w:r>
              <w:t>The specific thing you do that comparable programs do not</w:t>
            </w:r>
          </w:p>
        </w:tc>
      </w:tr>
    </w:tbl>
    <w:p>
      <w:pPr>
        <w:pStyle w:val="PackNote"/>
      </w:pPr>
      <w:r>
        <w:t>Work this as a comparison exercise rather than a checklist. Put your own sentence beside the question in the middle column. If you cannot answer that question from what you wrote, you have found something to fix before a reviewer finds it.</w:t>
      </w:r>
    </w:p>
    <w:p>
      <w:pPr>
        <w:pStyle w:val="Heading1"/>
      </w:pPr>
      <w:r>
        <w:t>Adapting These Examples by Funder Type</w:t>
      </w:r>
    </w:p>
    <w:p>
      <w:r>
        <w:t>A federal reviewer works from published criteria with point weights. A community foundation program officer often works from a conversation and a two-page form. The same paragraph will not serve both, so the level of detail in these examples has to be tuned before you reuse it.</w:t>
      </w:r>
    </w:p>
    <w:tbl>
      <w:tblPr>
        <w:tblStyle w:val="TableGrid"/>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944"/>
        <w:gridCol w:w="2808"/>
        <w:gridCol w:w="2520"/>
        <w:gridCol w:w="2520"/>
      </w:tblGrid>
      <w:tr>
        <w:trPr>
          <w:tblHeader w:val="true"/>
        </w:trPr>
        <w:tc>
          <w:tcPr>
            <w:tcW w:type="dxa" w:w="1944"/>
            <w:shd w:val="clear" w:color="auto" w:fill="1B355E"/>
          </w:tcPr>
          <w:p>
            <w:pPr>
              <w:pStyle w:val="PackTableHead"/>
            </w:pPr>
            <w:r/>
            <w:r>
              <w:t>Funder type</w:t>
            </w:r>
          </w:p>
        </w:tc>
        <w:tc>
          <w:tcPr>
            <w:tcW w:type="dxa" w:w="2808"/>
            <w:shd w:val="clear" w:color="auto" w:fill="1B355E"/>
          </w:tcPr>
          <w:p>
            <w:pPr>
              <w:pStyle w:val="PackTableHead"/>
            </w:pPr>
            <w:r/>
            <w:r>
              <w:t>What your examples should emphasize</w:t>
            </w:r>
          </w:p>
        </w:tc>
        <w:tc>
          <w:tcPr>
            <w:tcW w:type="dxa" w:w="2520"/>
            <w:shd w:val="clear" w:color="auto" w:fill="1B355E"/>
          </w:tcPr>
          <w:p>
            <w:pPr>
              <w:pStyle w:val="PackTableHead"/>
            </w:pPr>
            <w:r/>
            <w:r>
              <w:t>Typical format</w:t>
            </w:r>
          </w:p>
        </w:tc>
        <w:tc>
          <w:tcPr>
            <w:tcW w:type="dxa" w:w="2520"/>
            <w:shd w:val="clear" w:color="auto" w:fill="1B355E"/>
          </w:tcPr>
          <w:p>
            <w:pPr>
              <w:pStyle w:val="PackTableHead"/>
            </w:pPr>
            <w:r/>
            <w:r>
              <w:t>What to change in these examples</w:t>
            </w:r>
          </w:p>
        </w:tc>
      </w:tr>
      <w:tr>
        <w:tc>
          <w:tcPr>
            <w:tcW w:type="dxa" w:w="1944"/>
          </w:tcPr>
          <w:p>
            <w:pPr>
              <w:pStyle w:val="PackCell"/>
            </w:pPr>
            <w:r>
              <w:rPr>
                <w:b/>
              </w:rPr>
            </w:r>
            <w:r>
              <w:rPr>
                <w:b/>
              </w:rPr>
              <w:t>Federal agency</w:t>
            </w:r>
          </w:p>
        </w:tc>
        <w:tc>
          <w:tcPr>
            <w:tcW w:type="dxa" w:w="2808"/>
          </w:tcPr>
          <w:p>
            <w:pPr>
              <w:pStyle w:val="PackCell"/>
            </w:pPr>
            <w:r/>
            <w:r>
              <w:t>Direct alignment with published review criteria, section by section</w:t>
            </w:r>
          </w:p>
        </w:tc>
        <w:tc>
          <w:tcPr>
            <w:tcW w:type="dxa" w:w="2520"/>
          </w:tcPr>
          <w:p>
            <w:pPr>
              <w:pStyle w:val="PackCell"/>
            </w:pPr>
            <w:r/>
            <w:r>
              <w:t>Long narrative with strict page limits, submitted through a federal portal</w:t>
            </w:r>
          </w:p>
        </w:tc>
        <w:tc>
          <w:tcPr>
            <w:tcW w:type="dxa" w:w="2520"/>
          </w:tcPr>
          <w:p>
            <w:pPr>
              <w:pStyle w:val="PackCell"/>
            </w:pPr>
            <w:r/>
            <w:r>
              <w:t>Add a paragraph aimed at each scored criterion, and mirror the solicitation's headings and order</w:t>
            </w:r>
          </w:p>
        </w:tc>
      </w:tr>
      <w:tr>
        <w:tc>
          <w:tcPr>
            <w:tcW w:type="dxa" w:w="1944"/>
          </w:tcPr>
          <w:p>
            <w:pPr>
              <w:pStyle w:val="PackCell"/>
            </w:pPr>
            <w:r>
              <w:rPr>
                <w:b/>
              </w:rPr>
            </w:r>
            <w:r>
              <w:rPr>
                <w:b/>
              </w:rPr>
              <w:t>State agency</w:t>
            </w:r>
          </w:p>
        </w:tc>
        <w:tc>
          <w:tcPr>
            <w:tcW w:type="dxa" w:w="2808"/>
          </w:tcPr>
          <w:p>
            <w:pPr>
              <w:pStyle w:val="PackCell"/>
            </w:pPr>
            <w:r/>
            <w:r>
              <w:t>Statutory eligibility and geographic priorities</w:t>
            </w:r>
          </w:p>
        </w:tc>
        <w:tc>
          <w:tcPr>
            <w:tcW w:type="dxa" w:w="2520"/>
          </w:tcPr>
          <w:p>
            <w:pPr>
              <w:pStyle w:val="PackCell"/>
            </w:pPr>
            <w:r/>
            <w:r>
              <w:t>Portal-based application, and the portal software differs by state</w:t>
            </w:r>
          </w:p>
        </w:tc>
        <w:tc>
          <w:tcPr>
            <w:tcW w:type="dxa" w:w="2520"/>
          </w:tcPr>
          <w:p>
            <w:pPr>
              <w:pStyle w:val="PackCell"/>
            </w:pPr>
            <w:r/>
            <w:r>
              <w:t>Lead with the eligibility facts the statute names, and keep sections short enough for character-limited portal fields</w:t>
            </w:r>
          </w:p>
        </w:tc>
      </w:tr>
      <w:tr>
        <w:tc>
          <w:tcPr>
            <w:tcW w:type="dxa" w:w="1944"/>
          </w:tcPr>
          <w:p>
            <w:pPr>
              <w:pStyle w:val="PackCell"/>
            </w:pPr>
            <w:r>
              <w:rPr>
                <w:b/>
              </w:rPr>
            </w:r>
            <w:r>
              <w:rPr>
                <w:b/>
              </w:rPr>
              <w:t>Community foundation</w:t>
            </w:r>
          </w:p>
        </w:tc>
        <w:tc>
          <w:tcPr>
            <w:tcW w:type="dxa" w:w="2808"/>
          </w:tcPr>
          <w:p>
            <w:pPr>
              <w:pStyle w:val="PackCell"/>
            </w:pPr>
            <w:r/>
            <w:r>
              <w:t>Local relationships and a plain description of the need</w:t>
            </w:r>
          </w:p>
        </w:tc>
        <w:tc>
          <w:tcPr>
            <w:tcW w:type="dxa" w:w="2520"/>
          </w:tcPr>
          <w:p>
            <w:pPr>
              <w:pStyle w:val="PackCell"/>
            </w:pPr>
            <w:r/>
            <w:r>
              <w:t>Short application, often a letter of inquiry first</w:t>
            </w:r>
          </w:p>
        </w:tc>
        <w:tc>
          <w:tcPr>
            <w:tcW w:type="dxa" w:w="2520"/>
          </w:tcPr>
          <w:p>
            <w:pPr>
              <w:pStyle w:val="PackCell"/>
            </w:pPr>
            <w:r/>
            <w:r>
              <w:t>Compress the need section to its two strongest sourced facts and keep the budget narrative at full detail</w:t>
            </w:r>
          </w:p>
        </w:tc>
      </w:tr>
      <w:tr>
        <w:tc>
          <w:tcPr>
            <w:tcW w:type="dxa" w:w="1944"/>
          </w:tcPr>
          <w:p>
            <w:pPr>
              <w:pStyle w:val="PackCell"/>
            </w:pPr>
            <w:r>
              <w:rPr>
                <w:b/>
              </w:rPr>
            </w:r>
            <w:r>
              <w:rPr>
                <w:b/>
              </w:rPr>
              <w:t>Corporate giving program</w:t>
            </w:r>
          </w:p>
        </w:tc>
        <w:tc>
          <w:tcPr>
            <w:tcW w:type="dxa" w:w="2808"/>
          </w:tcPr>
          <w:p>
            <w:pPr>
              <w:pStyle w:val="PackCell"/>
            </w:pPr>
            <w:r/>
            <w:r>
              <w:t>Visibility and a simple ask</w:t>
            </w:r>
          </w:p>
        </w:tc>
        <w:tc>
          <w:tcPr>
            <w:tcW w:type="dxa" w:w="2520"/>
          </w:tcPr>
          <w:p>
            <w:pPr>
              <w:pStyle w:val="PackCell"/>
            </w:pPr>
            <w:r/>
            <w:r>
              <w:t>Short online form with tight character limits</w:t>
            </w:r>
          </w:p>
        </w:tc>
        <w:tc>
          <w:tcPr>
            <w:tcW w:type="dxa" w:w="2520"/>
          </w:tcPr>
          <w:p>
            <w:pPr>
              <w:pStyle w:val="PackCell"/>
            </w:pPr>
            <w:r/>
            <w:r>
              <w:t>Cut to the executive summary and one objective, and say plainly what the company's name is attached to</w:t>
            </w:r>
          </w:p>
        </w:tc>
      </w:tr>
    </w:tbl>
    <w:p>
      <w:pPr>
        <w:pStyle w:val="PackNote"/>
      </w:pPr>
      <w:r>
        <w:t>Read the actual solicitation before you adapt anything here. The scoring criteria are the outline the funder wants, and no example can substitute for them.</w:t>
      </w:r>
    </w:p>
    <w:p>
      <w:r>
        <w:br w:type="page"/>
      </w:r>
    </w:p>
    <w:p>
      <w:pPr>
        <w:pStyle w:val="Heading1"/>
      </w:pPr>
      <w:r>
        <w:t>A Five-Pass Revision Routine</w:t>
      </w:r>
    </w:p>
    <w:p>
      <w:r>
        <w:t>The fastest way to improve a draft is to run it through a weak-to-strong swap one section at a time. Each pass looks for one thing, which is why it works better than reading the whole document over and over.</w:t>
      </w:r>
    </w:p>
    <w:p>
      <w:pPr>
        <w:pStyle w:val="ListNumber"/>
      </w:pPr>
      <w:r>
        <w:rPr>
          <w:b/>
        </w:rPr>
        <w:t>Pass 1, the highlighter pass.</w:t>
      </w:r>
      <w:r>
        <w:t xml:space="preserve"> Print the draft and highlight every sentence that could appear in another nonprofit's application without changing a word. Those are your weak lines. Most first drafts come back with a third of the page marked.</w:t>
      </w:r>
    </w:p>
    <w:p>
      <w:pPr>
        <w:pStyle w:val="ListNumber"/>
      </w:pPr>
      <w:r>
        <w:rPr>
          <w:b/>
        </w:rPr>
        <w:t>Pass 2, the evidence pass.</w:t>
      </w:r>
      <w:r>
        <w:t xml:space="preserve"> Beside each highlighted sentence, write the number, date, or source that would make it checkable. If you cannot find one, you have found a program design gap rather than a writing problem, and it is far better to find it now.</w:t>
      </w:r>
    </w:p>
    <w:p>
      <w:pPr>
        <w:pStyle w:val="ListNumber"/>
      </w:pPr>
      <w:r>
        <w:rPr>
          <w:b/>
        </w:rPr>
        <w:t>Pass 3, the rewrite pass.</w:t>
      </w:r>
      <w:r>
        <w:t xml:space="preserve"> Rewrite each highlighted sentence with that detail inside it, then delete the adjectives you no longer need. Sections usually get shorter in this pass, not longer.</w:t>
      </w:r>
    </w:p>
    <w:p>
      <w:pPr>
        <w:pStyle w:val="ListNumber"/>
      </w:pPr>
      <w:r>
        <w:rPr>
          <w:b/>
        </w:rPr>
        <w:t>Pass 4, the criteria pass.</w:t>
      </w:r>
      <w:r>
        <w:t xml:space="preserve"> Open the funder's review criteria beside your draft and confirm that each criterion has a paragraph aimed at it. Where a criterion has no paragraph, write one. Where a paragraph answers no criterion, consider cutting it.</w:t>
      </w:r>
    </w:p>
    <w:p>
      <w:pPr>
        <w:pStyle w:val="ListNumber"/>
      </w:pPr>
      <w:r>
        <w:rPr>
          <w:b/>
        </w:rPr>
        <w:t>Pass 5, the outsider pass.</w:t>
      </w:r>
      <w:r>
        <w:t xml:space="preserve"> Give it to someone outside the program and ask them to mark anything they cannot picture. People close to a program forget how much of it lives in their heads rather than on the page.</w:t>
      </w:r>
    </w:p>
    <w:p>
      <w:pPr>
        <w:pStyle w:val="PackNote"/>
      </w:pPr>
      <w:r>
        <w:t>Passes two and five find the most. If you only have time for two, do those.</w:t>
      </w:r>
    </w:p>
    <w:p>
      <w:pPr>
        <w:pStyle w:val="Heading1"/>
      </w:pPr>
      <w:r>
        <w:t>Pre-Submission Checklist</w:t>
      </w:r>
    </w:p>
    <w:p>
      <w:r>
        <w:t>Each row is a question a reviewer will answer from your draft whether or not you helped them. Write the page or section number where the answer sits, so you can find it again during the internal review round.</w:t>
      </w:r>
    </w:p>
    <w:tbl>
      <w:tblPr>
        <w:tblStyle w:val="TableGrid"/>
        <w:tblW w:type="auto" w:w="0"/>
        <w:jc w:val="center"/>
        <w:tblLayout w:type="fixed"/>
        <w:tblCellMar>
          <w:top w:w="80" w:type="dxa"/>
          <w:left w:w="110" w:type="dxa"/>
          <w:bottom w:w="80" w:type="dxa"/>
          <w:right w:w="110" w:type="dxa"/>
        </w:tblCellMar>
        <w:tblLook w:firstColumn="1" w:firstRow="1" w:lastColumn="0" w:lastRow="0" w:noHBand="0" w:noVBand="1" w:val="04A0"/>
      </w:tblPr>
      <w:tblGrid>
        <w:gridCol w:w="864"/>
        <w:gridCol w:w="5832"/>
        <w:gridCol w:w="3096"/>
      </w:tblGrid>
      <w:tr>
        <w:trPr>
          <w:tblHeader w:val="true"/>
        </w:trPr>
        <w:tc>
          <w:tcPr>
            <w:tcW w:type="dxa" w:w="864"/>
            <w:shd w:val="clear" w:color="auto" w:fill="1B355E"/>
          </w:tcPr>
          <w:p>
            <w:pPr>
              <w:pStyle w:val="PackTableHead"/>
            </w:pPr>
            <w:r/>
            <w:r>
              <w:t>Done</w:t>
            </w:r>
          </w:p>
        </w:tc>
        <w:tc>
          <w:tcPr>
            <w:tcW w:type="dxa" w:w="5832"/>
            <w:shd w:val="clear" w:color="auto" w:fill="1B355E"/>
          </w:tcPr>
          <w:p>
            <w:pPr>
              <w:pStyle w:val="PackTableHead"/>
            </w:pPr>
            <w:r/>
            <w:r>
              <w:t>The question a reviewer is answering</w:t>
            </w:r>
          </w:p>
        </w:tc>
        <w:tc>
          <w:tcPr>
            <w:tcW w:type="dxa" w:w="3096"/>
            <w:shd w:val="clear" w:color="auto" w:fill="1B355E"/>
          </w:tcPr>
          <w:p>
            <w:pPr>
              <w:pStyle w:val="PackTableHead"/>
            </w:pPr>
            <w:r/>
            <w:r>
              <w:t>Where your draft answers it</w:t>
            </w:r>
          </w:p>
        </w:tc>
      </w:tr>
      <w:tr>
        <w:tc>
          <w:tcPr>
            <w:tcW w:type="dxa" w:w="864"/>
          </w:tcPr>
          <w:p>
            <w:pPr>
              <w:pStyle w:val="PackCell"/>
            </w:pPr>
            <w:r/>
            <w:r>
              <w:t>☐</w:t>
            </w:r>
          </w:p>
        </w:tc>
        <w:tc>
          <w:tcPr>
            <w:tcW w:type="dxa" w:w="5832"/>
          </w:tcPr>
          <w:p>
            <w:pPr>
              <w:pStyle w:val="PackCell"/>
            </w:pPr>
            <w:r/>
            <w:r>
              <w:t>How large is the need, in this service area, and in what year was it measured?</w:t>
            </w:r>
          </w:p>
        </w:tc>
        <w:tc>
          <w:tcPr>
            <w:tcW w:type="dxa" w:w="3096"/>
          </w:tcPr>
          <w:p>
            <w:pPr>
              <w:pStyle w:val="PackCell"/>
            </w:pPr>
            <w:r/>
            <w:r/>
          </w:p>
        </w:tc>
      </w:tr>
      <w:tr>
        <w:tc>
          <w:tcPr>
            <w:tcW w:type="dxa" w:w="864"/>
          </w:tcPr>
          <w:p>
            <w:pPr>
              <w:pStyle w:val="PackCell"/>
            </w:pPr>
            <w:r/>
            <w:r>
              <w:t>☐</w:t>
            </w:r>
          </w:p>
        </w:tc>
        <w:tc>
          <w:tcPr>
            <w:tcW w:type="dxa" w:w="5832"/>
          </w:tcPr>
          <w:p>
            <w:pPr>
              <w:pStyle w:val="PackCell"/>
            </w:pPr>
            <w:r/>
            <w:r>
              <w:t>Does every claim carry a number, a date, or a named source?</w:t>
            </w:r>
          </w:p>
        </w:tc>
        <w:tc>
          <w:tcPr>
            <w:tcW w:type="dxa" w:w="3096"/>
          </w:tcPr>
          <w:p>
            <w:pPr>
              <w:pStyle w:val="PackCell"/>
            </w:pPr>
            <w:r/>
            <w:r/>
          </w:p>
        </w:tc>
      </w:tr>
      <w:tr>
        <w:tc>
          <w:tcPr>
            <w:tcW w:type="dxa" w:w="864"/>
          </w:tcPr>
          <w:p>
            <w:pPr>
              <w:pStyle w:val="PackCell"/>
            </w:pPr>
            <w:r/>
            <w:r>
              <w:t>☐</w:t>
            </w:r>
          </w:p>
        </w:tc>
        <w:tc>
          <w:tcPr>
            <w:tcW w:type="dxa" w:w="5832"/>
          </w:tcPr>
          <w:p>
            <w:pPr>
              <w:pStyle w:val="PackCell"/>
            </w:pPr>
            <w:r/>
            <w:r>
              <w:t>Can each objective fail? Does each one name an instrument and a baseline?</w:t>
            </w:r>
          </w:p>
        </w:tc>
        <w:tc>
          <w:tcPr>
            <w:tcW w:type="dxa" w:w="3096"/>
          </w:tcPr>
          <w:p>
            <w:pPr>
              <w:pStyle w:val="PackCell"/>
            </w:pPr>
            <w:r/>
            <w:r/>
          </w:p>
        </w:tc>
      </w:tr>
      <w:tr>
        <w:tc>
          <w:tcPr>
            <w:tcW w:type="dxa" w:w="864"/>
          </w:tcPr>
          <w:p>
            <w:pPr>
              <w:pStyle w:val="PackCell"/>
            </w:pPr>
            <w:r/>
            <w:r>
              <w:t>☐</w:t>
            </w:r>
          </w:p>
        </w:tc>
        <w:tc>
          <w:tcPr>
            <w:tcW w:type="dxa" w:w="5832"/>
          </w:tcPr>
          <w:p>
            <w:pPr>
              <w:pStyle w:val="PackCell"/>
            </w:pPr>
            <w:r/>
            <w:r>
              <w:t>Can I picture one session: who is in the room, on what day, for how long?</w:t>
            </w:r>
          </w:p>
        </w:tc>
        <w:tc>
          <w:tcPr>
            <w:tcW w:type="dxa" w:w="3096"/>
          </w:tcPr>
          <w:p>
            <w:pPr>
              <w:pStyle w:val="PackCell"/>
            </w:pPr>
            <w:r/>
            <w:r/>
          </w:p>
        </w:tc>
      </w:tr>
      <w:tr>
        <w:tc>
          <w:tcPr>
            <w:tcW w:type="dxa" w:w="864"/>
          </w:tcPr>
          <w:p>
            <w:pPr>
              <w:pStyle w:val="PackCell"/>
            </w:pPr>
            <w:r/>
            <w:r>
              <w:t>☐</w:t>
            </w:r>
          </w:p>
        </w:tc>
        <w:tc>
          <w:tcPr>
            <w:tcW w:type="dxa" w:w="5832"/>
          </w:tcPr>
          <w:p>
            <w:pPr>
              <w:pStyle w:val="PackCell"/>
            </w:pPr>
            <w:r/>
            <w:r>
              <w:t>Who runs this, for how long have they run it, and how did the last audit go?</w:t>
            </w:r>
          </w:p>
        </w:tc>
        <w:tc>
          <w:tcPr>
            <w:tcW w:type="dxa" w:w="3096"/>
          </w:tcPr>
          <w:p>
            <w:pPr>
              <w:pStyle w:val="PackCell"/>
            </w:pPr>
            <w:r/>
            <w:r/>
          </w:p>
        </w:tc>
      </w:tr>
      <w:tr>
        <w:tc>
          <w:tcPr>
            <w:tcW w:type="dxa" w:w="864"/>
          </w:tcPr>
          <w:p>
            <w:pPr>
              <w:pStyle w:val="PackCell"/>
            </w:pPr>
            <w:r/>
            <w:r>
              <w:t>☐</w:t>
            </w:r>
          </w:p>
        </w:tc>
        <w:tc>
          <w:tcPr>
            <w:tcW w:type="dxa" w:w="5832"/>
          </w:tcPr>
          <w:p>
            <w:pPr>
              <w:pStyle w:val="PackCell"/>
            </w:pPr>
            <w:r/>
            <w:r>
              <w:t>What instrument measures the outcome, in what window, entered by whom?</w:t>
            </w:r>
          </w:p>
        </w:tc>
        <w:tc>
          <w:tcPr>
            <w:tcW w:type="dxa" w:w="3096"/>
          </w:tcPr>
          <w:p>
            <w:pPr>
              <w:pStyle w:val="PackCell"/>
            </w:pPr>
            <w:r/>
            <w:r/>
          </w:p>
        </w:tc>
      </w:tr>
      <w:tr>
        <w:tc>
          <w:tcPr>
            <w:tcW w:type="dxa" w:w="864"/>
          </w:tcPr>
          <w:p>
            <w:pPr>
              <w:pStyle w:val="PackCell"/>
            </w:pPr>
            <w:r/>
            <w:r>
              <w:t>☐</w:t>
            </w:r>
          </w:p>
        </w:tc>
        <w:tc>
          <w:tcPr>
            <w:tcW w:type="dxa" w:w="5832"/>
          </w:tcPr>
          <w:p>
            <w:pPr>
              <w:pStyle w:val="PackCell"/>
            </w:pPr>
            <w:r/>
            <w:r>
              <w:t>Is there an analysis here that could show the program did not work?</w:t>
            </w:r>
          </w:p>
        </w:tc>
        <w:tc>
          <w:tcPr>
            <w:tcW w:type="dxa" w:w="3096"/>
          </w:tcPr>
          <w:p>
            <w:pPr>
              <w:pStyle w:val="PackCell"/>
            </w:pPr>
            <w:r/>
            <w:r/>
          </w:p>
        </w:tc>
      </w:tr>
      <w:tr>
        <w:tc>
          <w:tcPr>
            <w:tcW w:type="dxa" w:w="864"/>
          </w:tcPr>
          <w:p>
            <w:pPr>
              <w:pStyle w:val="PackCell"/>
            </w:pPr>
            <w:r/>
            <w:r>
              <w:t>☐</w:t>
            </w:r>
          </w:p>
        </w:tc>
        <w:tc>
          <w:tcPr>
            <w:tcW w:type="dxa" w:w="5832"/>
          </w:tcPr>
          <w:p>
            <w:pPr>
              <w:pStyle w:val="PackCell"/>
            </w:pPr>
            <w:r/>
            <w:r>
              <w:t>Does every budget figure reconcile with the narrative and the program description?</w:t>
            </w:r>
          </w:p>
        </w:tc>
        <w:tc>
          <w:tcPr>
            <w:tcW w:type="dxa" w:w="3096"/>
          </w:tcPr>
          <w:p>
            <w:pPr>
              <w:pStyle w:val="PackCell"/>
            </w:pPr>
            <w:r/>
            <w:r/>
          </w:p>
        </w:tc>
      </w:tr>
      <w:tr>
        <w:tc>
          <w:tcPr>
            <w:tcW w:type="dxa" w:w="864"/>
          </w:tcPr>
          <w:p>
            <w:pPr>
              <w:pStyle w:val="PackCell"/>
            </w:pPr>
            <w:r/>
            <w:r>
              <w:t>☐</w:t>
            </w:r>
          </w:p>
        </w:tc>
        <w:tc>
          <w:tcPr>
            <w:tcW w:type="dxa" w:w="5832"/>
          </w:tcPr>
          <w:p>
            <w:pPr>
              <w:pStyle w:val="PackCell"/>
            </w:pPr>
            <w:r/>
            <w:r>
              <w:t>What does the grant not pay for, and who covers that?</w:t>
            </w:r>
          </w:p>
        </w:tc>
        <w:tc>
          <w:tcPr>
            <w:tcW w:type="dxa" w:w="3096"/>
          </w:tcPr>
          <w:p>
            <w:pPr>
              <w:pStyle w:val="PackCell"/>
            </w:pPr>
            <w:r/>
            <w:r/>
          </w:p>
        </w:tc>
      </w:tr>
      <w:tr>
        <w:tc>
          <w:tcPr>
            <w:tcW w:type="dxa" w:w="864"/>
          </w:tcPr>
          <w:p>
            <w:pPr>
              <w:pStyle w:val="PackCell"/>
            </w:pPr>
            <w:r/>
            <w:r>
              <w:t>☐</w:t>
            </w:r>
          </w:p>
        </w:tc>
        <w:tc>
          <w:tcPr>
            <w:tcW w:type="dxa" w:w="5832"/>
          </w:tcPr>
          <w:p>
            <w:pPr>
              <w:pStyle w:val="PackCell"/>
            </w:pPr>
            <w:r/>
            <w:r>
              <w:t>What money is already committed for after this grant, and who decides on renewal?</w:t>
            </w:r>
          </w:p>
        </w:tc>
        <w:tc>
          <w:tcPr>
            <w:tcW w:type="dxa" w:w="3096"/>
          </w:tcPr>
          <w:p>
            <w:pPr>
              <w:pStyle w:val="PackCell"/>
            </w:pPr>
            <w:r/>
            <w:r/>
          </w:p>
        </w:tc>
      </w:tr>
      <w:tr>
        <w:tc>
          <w:tcPr>
            <w:tcW w:type="dxa" w:w="864"/>
          </w:tcPr>
          <w:p>
            <w:pPr>
              <w:pStyle w:val="PackCell"/>
            </w:pPr>
            <w:r/>
            <w:r>
              <w:t>☐</w:t>
            </w:r>
          </w:p>
        </w:tc>
        <w:tc>
          <w:tcPr>
            <w:tcW w:type="dxa" w:w="5832"/>
          </w:tcPr>
          <w:p>
            <w:pPr>
              <w:pStyle w:val="PackCell"/>
            </w:pPr>
            <w:r/>
            <w:r>
              <w:t>Does each of the funder's scoring criteria have a paragraph aimed at it?</w:t>
            </w:r>
          </w:p>
        </w:tc>
        <w:tc>
          <w:tcPr>
            <w:tcW w:type="dxa" w:w="3096"/>
          </w:tcPr>
          <w:p>
            <w:pPr>
              <w:pStyle w:val="PackCell"/>
            </w:pPr>
            <w:r/>
            <w:r/>
          </w:p>
        </w:tc>
      </w:tr>
      <w:tr>
        <w:tc>
          <w:tcPr>
            <w:tcW w:type="dxa" w:w="864"/>
          </w:tcPr>
          <w:p>
            <w:pPr>
              <w:pStyle w:val="PackCell"/>
            </w:pPr>
            <w:r/>
            <w:r>
              <w:t>☐</w:t>
            </w:r>
          </w:p>
        </w:tc>
        <w:tc>
          <w:tcPr>
            <w:tcW w:type="dxa" w:w="5832"/>
          </w:tcPr>
          <w:p>
            <w:pPr>
              <w:pStyle w:val="PackCell"/>
            </w:pPr>
            <w:r/>
            <w:r>
              <w:t>Has someone outside the program read it and marked what they could not picture?</w:t>
            </w:r>
          </w:p>
        </w:tc>
        <w:tc>
          <w:tcPr>
            <w:tcW w:type="dxa" w:w="3096"/>
          </w:tcPr>
          <w:p>
            <w:pPr>
              <w:pStyle w:val="PackCell"/>
            </w:pPr>
            <w:r/>
            <w:r/>
          </w:p>
        </w:tc>
      </w:tr>
    </w:tbl>
    <w:p>
      <w:pPr>
        <w:pStyle w:val="Heading1"/>
      </w:pPr>
      <w:r>
        <w:t>Where to Go Next</w:t>
      </w:r>
    </w:p>
    <w:p>
      <w:r>
        <w:t>Pick one section of a draft you already have and rewrite it against the pair for that section. One section is enough to tell you whether the swap changes anything for you.</w:t>
      </w:r>
    </w:p>
    <w:p>
      <w:r>
        <w:t>After that, work the pack in order against a full draft, keep the phrase list beside you while you write, and track deadlines for every funder you are writing to so the submission date never squeezes your revision time. The revision round is where proposals get funded, and it is the first thing a late start takes away.</w:t>
      </w:r>
    </w:p>
    <w:p>
      <w:r>
        <w:t>The full article this pack accompanies, with the section-by-section commentary, is at grantcue.com/blog/grant-writing-examples-for-nonprofits.</w:t>
      </w:r>
    </w:p>
    <w:p>
      <w:pPr>
        <w:spacing w:before="320"/>
        <w:jc w:val="center"/>
      </w:pPr>
      <w:r>
        <w:rPr>
          <w:b/>
          <w:color w:val="1B355E"/>
          <w:sz w:val="20"/>
        </w:rPr>
        <w:t>GrantCue - grantcue.com/blog/grant-writing-examples-for-nonprofits</w:t>
      </w:r>
    </w:p>
    <w:p>
      <w:pPr>
        <w:pStyle w:val="PackNote"/>
        <w:jc w:val="center"/>
      </w:pPr>
      <w:r>
        <w:t>Riverbend Reading Partners, its schools, district, dates, and figures are a composite invented for illustration. No real organization, funder, or person is described. Reuse and adapt this pack freely.</w:t>
      </w:r>
    </w:p>
    <w:sectPr w:rsidR="00FC693F" w:rsidRPr="0006063C" w:rsidSect="00034616">
      <w:footerReference w:type="default" r:id="rId9"/>
      <w:pgSz w:w="12240" w:h="15840"/>
      <w:pgMar w:top="1152"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B7480"/>
        <w:sz w:val="17"/>
      </w:rPr>
      <w:t xml:space="preserve">GrantCue - grantcue.com/blog/grant-writing-examples-for-nonprofits    |    page </w:t>
    </w:r>
    <w:r>
      <w:rPr>
        <w:color w:val="6B7480"/>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4" w:lineRule="auto"/>
    </w:pPr>
    <w:rPr>
      <w:rFonts w:ascii="Calibri" w:hAnsi="Calibri"/>
      <w:color w:val="1F242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20"/>
      <w:outlineLvl w:val="0"/>
    </w:pPr>
    <w:rPr>
      <w:rFonts w:asciiTheme="majorHAnsi" w:eastAsiaTheme="majorEastAsia" w:hAnsiTheme="majorHAnsi" w:cstheme="majorBidi" w:ascii="Calibri" w:hAnsi="Calibri"/>
      <w:b/>
      <w:bCs/>
      <w:color w:val="1B355E"/>
      <w:sz w:val="34"/>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Calibri" w:hAnsi="Calibri"/>
      <w:b/>
      <w:bCs/>
      <w:color w:val="2A4C7E"/>
      <w:sz w:val="26"/>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Theme="majorHAnsi" w:eastAsiaTheme="majorEastAsia" w:hAnsiTheme="majorHAnsi" w:cstheme="majorBidi" w:ascii="Calibri" w:hAnsi="Calibri"/>
      <w:b/>
      <w:bCs/>
      <w:color w:val="3F4A5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contextualSpacing/>
    </w:pPr>
    <w:rPr>
      <w:rFonts w:asciiTheme="majorHAnsi" w:eastAsiaTheme="majorEastAsia" w:hAnsiTheme="majorHAnsi" w:cstheme="majorBidi" w:ascii="Calibri" w:hAnsi="Calibri"/>
      <w:b/>
      <w:color w:val="1B355E"/>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80"/>
    </w:pPr>
    <w:rPr>
      <w:rFonts w:asciiTheme="majorHAnsi" w:eastAsiaTheme="majorEastAsia" w:hAnsiTheme="majorHAnsi" w:cstheme="majorBidi" w:ascii="Calibri" w:hAnsi="Calibri"/>
      <w:i w:val="0"/>
      <w:iCs/>
      <w:color w:val="3F4A5A"/>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rPr>
      <w:rFonts w:ascii="Calibri" w:hAnsi="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contextualSpacing/>
    </w:pPr>
    <w:rPr>
      <w:rFonts w:ascii="Calibri" w:hAnsi="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ckCell">
    <w:name w:val="Pack Cell"/>
    <w:basedOn w:val="Normal"/>
    <w:pPr>
      <w:spacing w:after="120" w:line="264" w:lineRule="auto"/>
    </w:pPr>
    <w:rPr>
      <w:sz w:val="19"/>
    </w:rPr>
  </w:style>
  <w:style w:type="paragraph" w:customStyle="1" w:styleId="PackTableHead">
    <w:name w:val="Pack Table Head"/>
    <w:basedOn w:val="Normal"/>
    <w:pPr>
      <w:spacing w:after="0" w:before="20"/>
    </w:pPr>
    <w:rPr>
      <w:b/>
      <w:color w:val="FFFFFF"/>
      <w:sz w:val="19"/>
    </w:rPr>
  </w:style>
  <w:style w:type="paragraph" w:customStyle="1" w:styleId="PackNote">
    <w:name w:val="Pack Note"/>
    <w:basedOn w:val="Normal"/>
    <w:pPr>
      <w:spacing w:before="40" w:after="200"/>
    </w:pPr>
    <w:rPr>
      <w:i/>
      <w:color w:val="6B7480"/>
      <w:sz w:val="19"/>
    </w:rPr>
  </w:style>
  <w:style w:type="paragraph" w:customStyle="1" w:styleId="PackLead">
    <w:name w:val="Pack Lead"/>
    <w:basedOn w:val="Normal"/>
    <w:pPr>
      <w:spacing w:after="200"/>
    </w:pPr>
    <w:rPr>
      <w:color w:val="3F4A5A"/>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