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Readiness Checklist</w:t>
      </w:r>
    </w:p>
    <w:p>
      <w:pPr>
        <w:pStyle w:val="GCSubtitle"/>
      </w:pPr>
      <w:r>
        <w:t>Every document, policy and program fact a funder asks for, and what each one proves</w:t>
      </w:r>
    </w:p>
    <w:p>
      <w:pPr>
        <w:pStyle w:val="GCMeta"/>
      </w:pPr>
      <w:r>
        <w:t>Version 1.0  |  October 2026  |  Published by GrantCue  |  Free to copy, edit and share</w:t>
      </w:r>
    </w:p>
    <w:p>
      <w:r>
        <w:t>This is a working checklist, not a description of one. Six sections cover the papers and facts funders request during review: legal status and registrations, governance, finance, program and outcomes, documents and public record, and funder relationships. Every row carries a box to check, the one thing that row proves to a funder, a status you fill in, and an owner with the date it was last verified.</w:t>
      </w:r>
    </w:p>
    <w:p>
      <w:r>
        <w:t>Work through it once, in full, before the next deadline lands. What comes out the other side is a set of yes or no answers in place of a vague worry about being ready, and a short list of gaps with names and dates against them.</w:t>
      </w:r>
    </w:p>
    <w:p>
      <w:r>
        <w:t>Candid frames the readiness test around three questions: are you a 501(c)(3) organization as defined by the IRS, do you have a track record, and do you have capable leadership and an effective board (Candid, 2024-03-25). Those three questions are why this file is shaped the way it is. Tax status proves you can receive the money. Track record proves the program works. Leadership and board prove someone will manage the award with care. Finance records tie the three together.</w:t>
      </w:r>
    </w:p>
    <w:p>
      <w:pPr>
        <w:pStyle w:val="Heading1"/>
      </w:pPr>
      <w:r>
        <w:t>How to use this checklist</w:t>
      </w:r>
    </w:p>
    <w:p>
      <w:r>
        <w:t>Fill the cover block below first, because half of it is what a funder asks for in the first five minutes of any conversation.</w:t>
      </w:r>
    </w:p>
    <w:p>
      <w:r>
        <w:t>Then work section by section rather than cherry-picking. The sections are ordered the way a reviewer reads: identity, then oversight, then money, then the program, then the public record, then the relationship. A gap in an early section makes the later ones unreadable.</w:t>
      </w:r>
    </w:p>
    <w:p>
      <w:r>
        <w:t>Use the status column with four values and nothing else, so the file can be scanned rather than read: Have, Needs update, Missing, or Not applicable. Anything other than Have is a gap, and every gap needs an owner and a date on the gap plan near the end of this file.</w:t>
      </w:r>
    </w:p>
    <w:p>
      <w:r>
        <w:t>Put the date the item was last verified in the owner column, not the date it was created. A board list created in 2024 and confirmed accurate last month is current. A conflict of interest policy adopted last month and never circulated is not.</w:t>
      </w:r>
    </w:p>
    <w:p>
      <w:r>
        <w:t>Run the whole file once a quarter. Board lists go stale when members rotate, policies go stale when the board amends bylaws but not the attachments, and filings go stale every year by definition.</w:t>
      </w:r>
    </w:p>
    <w:p>
      <w:r>
        <w:t>Where an item does not apply, mark it Not applicable and write why in the owner column. A blank row and a deliberately empty row look the same in six months.</w:t>
      </w:r>
    </w:p>
    <w:p>
      <w:pPr>
        <w:pStyle w:val="Heading1"/>
      </w:pPr>
      <w:r>
        <w:t>Organization cover block</w:t>
      </w:r>
    </w:p>
    <w:p>
      <w:pPr>
        <w:pStyle w:val="GCFill"/>
      </w:pPr>
      <w:r>
        <w:t>Fill this in once and keep it current. Every application asks for some part of it.</w:t>
      </w:r>
    </w:p>
    <w:tbl>
      <w:tblPr>
        <w:tblStyle w:val="TableGrid"/>
        <w:tblW w:type="dxa" w:w="10080"/>
        <w:tblLayout w:type="fixed"/>
        <w:tblLook w:firstColumn="1" w:firstRow="1" w:lastColumn="0" w:lastRow="0" w:noHBand="0" w:noVBand="1" w:val="04A0"/>
      </w:tblPr>
      <w:tblGrid>
        <w:gridCol w:w="2450"/>
        <w:gridCol w:w="2590"/>
        <w:gridCol w:w="2450"/>
        <w:gridCol w:w="2590"/>
      </w:tblGrid>
      <w:tr>
        <w:trPr>
          <w:tblHeader w:val="true"/>
        </w:trPr>
        <w:tc>
          <w:tcPr>
            <w:tcW w:type="dxa" w:w="2450"/>
            <w:shd w:val="clear" w:color="auto" w:fill="1F3556"/>
          </w:tcPr>
          <w:p>
            <w:pPr>
              <w:spacing w:after="40" w:before="40"/>
            </w:pPr>
            <w:r>
              <w:rPr>
                <w:b/>
                <w:color w:val="FFFFFF"/>
                <w:sz w:val="18"/>
              </w:rPr>
              <w:t>Field</w:t>
            </w:r>
          </w:p>
        </w:tc>
        <w:tc>
          <w:tcPr>
            <w:tcW w:type="dxa" w:w="2590"/>
            <w:shd w:val="clear" w:color="auto" w:fill="1F3556"/>
          </w:tcPr>
          <w:p>
            <w:pPr>
              <w:spacing w:after="40" w:before="40"/>
            </w:pPr>
            <w:r>
              <w:rPr>
                <w:b/>
                <w:color w:val="FFFFFF"/>
                <w:sz w:val="18"/>
              </w:rPr>
              <w:t>Entry</w:t>
            </w:r>
          </w:p>
        </w:tc>
        <w:tc>
          <w:tcPr>
            <w:tcW w:type="dxa" w:w="2450"/>
            <w:shd w:val="clear" w:color="auto" w:fill="1F3556"/>
          </w:tcPr>
          <w:p>
            <w:pPr>
              <w:spacing w:after="40" w:before="40"/>
            </w:pPr>
            <w:r>
              <w:rPr>
                <w:b/>
                <w:color w:val="FFFFFF"/>
                <w:sz w:val="18"/>
              </w:rPr>
              <w:t>Field</w:t>
            </w:r>
          </w:p>
        </w:tc>
        <w:tc>
          <w:tcPr>
            <w:tcW w:type="dxa" w:w="2590"/>
            <w:shd w:val="clear" w:color="auto" w:fill="1F3556"/>
          </w:tcPr>
          <w:p>
            <w:pPr>
              <w:spacing w:after="40" w:before="40"/>
            </w:pPr>
            <w:r>
              <w:rPr>
                <w:b/>
                <w:color w:val="FFFFFF"/>
                <w:sz w:val="18"/>
              </w:rPr>
              <w:t>Entry</w:t>
            </w:r>
          </w:p>
        </w:tc>
      </w:tr>
      <w:tr>
        <w:tc>
          <w:tcPr>
            <w:tcW w:type="dxa" w:w="2450"/>
          </w:tcPr>
          <w:p>
            <w:pPr>
              <w:spacing w:after="40" w:before="40"/>
            </w:pPr>
            <w:r>
              <w:rPr>
                <w:b w:val="0"/>
                <w:sz w:val="19"/>
              </w:rPr>
              <w:t>Organization legal name</w:t>
            </w:r>
          </w:p>
        </w:tc>
        <w:tc>
          <w:tcPr>
            <w:tcW w:type="dxa" w:w="2590"/>
            <w:shd w:val="clear" w:color="auto" w:fill="FFF6E0"/>
          </w:tcPr>
          <w:p>
            <w:pPr>
              <w:spacing w:after="40" w:before="40"/>
            </w:pPr>
            <w:r>
              <w:rPr>
                <w:b w:val="0"/>
                <w:sz w:val="19"/>
              </w:rPr>
              <w:t>__________________________________</w:t>
            </w:r>
          </w:p>
        </w:tc>
        <w:tc>
          <w:tcPr>
            <w:tcW w:type="dxa" w:w="2450"/>
          </w:tcPr>
          <w:p>
            <w:pPr>
              <w:spacing w:after="40" w:before="40"/>
            </w:pPr>
            <w:r>
              <w:rPr>
                <w:b w:val="0"/>
                <w:sz w:val="19"/>
              </w:rPr>
              <w:t>Doing business as</w:t>
            </w:r>
          </w:p>
        </w:tc>
        <w:tc>
          <w:tcPr>
            <w:tcW w:type="dxa" w:w="2590"/>
            <w:shd w:val="clear" w:color="auto" w:fill="FFF6E0"/>
          </w:tcPr>
          <w:p>
            <w:pPr>
              <w:spacing w:after="40" w:before="40"/>
            </w:pPr>
            <w:r>
              <w:rPr>
                <w:b w:val="0"/>
                <w:sz w:val="19"/>
              </w:rPr>
              <w:t>__________________________________</w:t>
            </w:r>
          </w:p>
        </w:tc>
      </w:tr>
      <w:tr>
        <w:tc>
          <w:tcPr>
            <w:tcW w:type="dxa" w:w="2450"/>
          </w:tcPr>
          <w:p>
            <w:pPr>
              <w:spacing w:after="40" w:before="40"/>
            </w:pPr>
            <w:r>
              <w:rPr>
                <w:b w:val="0"/>
                <w:sz w:val="19"/>
              </w:rPr>
              <w:t>EIN</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Unique Entity ID (SAM.gov)</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State of incorporation</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Date incorporated</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Tax status</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Determination letter date</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Fiscal year end</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Most recent Form 990 year</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Total annual budget</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Federal funds expended last year</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SAM.gov registration expires</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Charitable solicitation renewals due</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Owner of this file (role)</w:t>
            </w:r>
          </w:p>
        </w:tc>
        <w:tc>
          <w:tcPr>
            <w:tcW w:type="dxa" w:w="2590"/>
            <w:shd w:val="clear" w:color="auto" w:fill="FFF6E0"/>
          </w:tcPr>
          <w:p>
            <w:pPr>
              <w:spacing w:after="40" w:before="40"/>
            </w:pPr>
            <w:r>
              <w:rPr>
                <w:b w:val="0"/>
                <w:sz w:val="19"/>
              </w:rPr>
              <w:t>__________________________________</w:t>
            </w:r>
          </w:p>
        </w:tc>
        <w:tc>
          <w:tcPr>
            <w:tcW w:type="dxa" w:w="2450"/>
          </w:tcPr>
          <w:p>
            <w:pPr>
              <w:spacing w:after="40" w:before="40"/>
            </w:pPr>
            <w:r>
              <w:rPr>
                <w:b w:val="0"/>
                <w:sz w:val="19"/>
              </w:rPr>
              <w:t>Date of this review</w:t>
            </w:r>
          </w:p>
        </w:tc>
        <w:tc>
          <w:tcPr>
            <w:tcW w:type="dxa" w:w="2590"/>
            <w:shd w:val="clear" w:color="auto" w:fill="FFF6E0"/>
          </w:tcPr>
          <w:p>
            <w:pPr>
              <w:spacing w:after="40" w:before="40"/>
            </w:pPr>
            <w:r>
              <w:rPr>
                <w:b w:val="0"/>
                <w:sz w:val="19"/>
              </w:rPr>
              <w:t>__________________</w:t>
            </w:r>
          </w:p>
        </w:tc>
      </w:tr>
      <w:tr>
        <w:tc>
          <w:tcPr>
            <w:tcW w:type="dxa" w:w="2450"/>
          </w:tcPr>
          <w:p>
            <w:pPr>
              <w:spacing w:after="40" w:before="40"/>
            </w:pPr>
            <w:r>
              <w:rPr>
                <w:b w:val="0"/>
                <w:sz w:val="19"/>
              </w:rPr>
              <w:t>Date of next review</w:t>
            </w:r>
          </w:p>
        </w:tc>
        <w:tc>
          <w:tcPr>
            <w:tcW w:type="dxa" w:w="2590"/>
            <w:shd w:val="clear" w:color="auto" w:fill="FFF6E0"/>
          </w:tcPr>
          <w:p>
            <w:pPr>
              <w:spacing w:after="40" w:before="40"/>
            </w:pPr>
            <w:r>
              <w:rPr>
                <w:b w:val="0"/>
                <w:sz w:val="19"/>
              </w:rPr>
              <w:t>__________________</w:t>
            </w:r>
          </w:p>
        </w:tc>
        <w:tc>
          <w:tcPr>
            <w:tcW w:type="dxa" w:w="2450"/>
          </w:tcPr>
          <w:p>
            <w:pPr>
              <w:spacing w:after="40" w:before="40"/>
            </w:pPr>
            <w:r>
              <w:rPr>
                <w:b w:val="0"/>
                <w:sz w:val="19"/>
              </w:rPr>
              <w:t>Where the file lives</w:t>
            </w:r>
          </w:p>
        </w:tc>
        <w:tc>
          <w:tcPr>
            <w:tcW w:type="dxa" w:w="2590"/>
            <w:shd w:val="clear" w:color="auto" w:fill="FFF6E0"/>
          </w:tcPr>
          <w:p>
            <w:pPr>
              <w:spacing w:after="40" w:before="40"/>
            </w:pPr>
            <w:r>
              <w:rPr>
                <w:b w:val="0"/>
                <w:sz w:val="19"/>
              </w:rPr>
              <w:t>__________________________________</w:t>
            </w:r>
          </w:p>
        </w:tc>
      </w:tr>
    </w:tbl>
    <w:p>
      <w:pPr>
        <w:pStyle w:val="GCCaption"/>
      </w:pPr>
    </w:p>
    <w:p>
      <w:pPr>
        <w:pStyle w:val="Heading1"/>
      </w:pPr>
      <w:r>
        <w:t>Section 1. Legal status and registrations</w:t>
      </w:r>
    </w:p>
    <w:p>
      <w:r>
        <w:t>These are the papers that prove the organization exists, is allowed to receive charitable funds, and can be paid. They are the items every funder asks for first, and the ones that stall an application when they are out of date.</w:t>
      </w:r>
    </w:p>
    <w:p>
      <w:pPr>
        <w:pStyle w:val="Heading2"/>
      </w:pPr>
      <w:r>
        <w:t>1.1 Formation and tax status</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Articles of incorporation, as filed and as amended</w:t>
            </w:r>
          </w:p>
        </w:tc>
        <w:tc>
          <w:tcPr>
            <w:tcW w:type="dxa" w:w="3650"/>
          </w:tcPr>
          <w:p>
            <w:pPr>
              <w:spacing w:after="40" w:before="40"/>
            </w:pPr>
            <w:r>
              <w:rPr>
                <w:b w:val="0"/>
                <w:sz w:val="19"/>
              </w:rPr>
              <w:t>The organization was formed as a legal entity in its state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Certificate of good standing from the state</w:t>
            </w:r>
          </w:p>
        </w:tc>
        <w:tc>
          <w:tcPr>
            <w:tcW w:type="dxa" w:w="3650"/>
          </w:tcPr>
          <w:p>
            <w:pPr>
              <w:spacing w:after="40" w:before="40"/>
            </w:pPr>
            <w:r>
              <w:rPr>
                <w:b w:val="0"/>
                <w:sz w:val="19"/>
              </w:rPr>
              <w:t>The entity is current on its state filings and can legally contract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EIN confirmation notice</w:t>
            </w:r>
          </w:p>
        </w:tc>
        <w:tc>
          <w:tcPr>
            <w:tcW w:type="dxa" w:w="3650"/>
          </w:tcPr>
          <w:p>
            <w:pPr>
              <w:spacing w:after="40" w:before="40"/>
            </w:pPr>
            <w:r>
              <w:rPr>
                <w:b w:val="0"/>
                <w:sz w:val="19"/>
              </w:rPr>
              <w:t>The tax identity on the application matches IRS records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IRS determination letter, clean scan</w:t>
            </w:r>
          </w:p>
        </w:tc>
        <w:tc>
          <w:tcPr>
            <w:tcW w:type="dxa" w:w="3650"/>
          </w:tcPr>
          <w:p>
            <w:pPr>
              <w:spacing w:after="40" w:before="40"/>
            </w:pPr>
            <w:r>
              <w:rPr>
                <w:b w:val="0"/>
                <w:sz w:val="19"/>
              </w:rPr>
              <w:t>The IRS recognizes the tax-exempt status the proposal claims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Copy of the filed Form 1023 or Form 1023-EZ</w:t>
            </w:r>
          </w:p>
        </w:tc>
        <w:tc>
          <w:tcPr>
            <w:tcW w:type="dxa" w:w="3650"/>
          </w:tcPr>
          <w:p>
            <w:pPr>
              <w:spacing w:after="40" w:before="40"/>
            </w:pPr>
            <w:r>
              <w:rPr>
                <w:b w:val="0"/>
                <w:sz w:val="19"/>
              </w:rPr>
              <w:t>The activities you described to the IRS match the ones you describe to funders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Public charity or private foundation classification on the letter</w:t>
            </w:r>
          </w:p>
        </w:tc>
        <w:tc>
          <w:tcPr>
            <w:tcW w:type="dxa" w:w="3650"/>
          </w:tcPr>
          <w:p>
            <w:pPr>
              <w:spacing w:after="40" w:before="40"/>
            </w:pPr>
            <w:r>
              <w:rPr>
                <w:b w:val="0"/>
                <w:sz w:val="19"/>
              </w:rPr>
              <w:t>Decides whether a private foundation can fund you without extra compliance steps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Record of any name change filed with the IRS and the state</w:t>
            </w:r>
          </w:p>
        </w:tc>
        <w:tc>
          <w:tcPr>
            <w:tcW w:type="dxa" w:w="3650"/>
          </w:tcPr>
          <w:p>
            <w:pPr>
              <w:spacing w:after="40" w:before="40"/>
            </w:pPr>
            <w:r>
              <w:rPr>
                <w:b w:val="0"/>
                <w:sz w:val="19"/>
              </w:rPr>
              <w:t>The name on the bank account, the letter and the application are the same name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Fiscal sponsorship agreement, signed, if you have no exempt status yet</w:t>
            </w:r>
          </w:p>
        </w:tc>
        <w:tc>
          <w:tcPr>
            <w:tcW w:type="dxa" w:w="3650"/>
          </w:tcPr>
          <w:p>
            <w:pPr>
              <w:spacing w:after="40" w:before="40"/>
            </w:pPr>
            <w:r>
              <w:rPr>
                <w:b w:val="0"/>
                <w:sz w:val="19"/>
              </w:rPr>
              <w:t>Names who holds legal and fiduciary responsibility for the funds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pPr>
        <w:pStyle w:val="Heading2"/>
      </w:pPr>
      <w:r>
        <w:t>1.2 Federal registrations</w:t>
      </w:r>
    </w:p>
    <w:p>
      <w:r>
        <w:t>Federal readiness is a separate track from foundation readiness, because federal systems check registrations by machine before any person reads the proposal. Start these weeks before the first deadline.</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SAM.gov entity registration, active</w:t>
            </w:r>
          </w:p>
        </w:tc>
        <w:tc>
          <w:tcPr>
            <w:tcW w:type="dxa" w:w="3650"/>
          </w:tcPr>
          <w:p>
            <w:pPr>
              <w:spacing w:after="40" w:before="40"/>
            </w:pPr>
            <w:r>
              <w:rPr>
                <w:b w:val="0"/>
                <w:sz w:val="19"/>
              </w:rPr>
              <w:t>The federal award systems can identify and pay the organization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Unique Entity ID recorded and matched to the legal name</w:t>
            </w:r>
          </w:p>
        </w:tc>
        <w:tc>
          <w:tcPr>
            <w:tcW w:type="dxa" w:w="3650"/>
          </w:tcPr>
          <w:p>
            <w:pPr>
              <w:spacing w:after="40" w:before="40"/>
            </w:pPr>
            <w:r>
              <w:rPr>
                <w:b w:val="0"/>
                <w:sz w:val="19"/>
              </w:rPr>
              <w:t>The identifier on the application resolves to this entity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SAM.gov renewal date on the calendar</w:t>
            </w:r>
          </w:p>
        </w:tc>
        <w:tc>
          <w:tcPr>
            <w:tcW w:type="dxa" w:w="3650"/>
          </w:tcPr>
          <w:p>
            <w:pPr>
              <w:spacing w:after="40" w:before="40"/>
            </w:pPr>
            <w:r>
              <w:rPr>
                <w:b w:val="0"/>
                <w:sz w:val="19"/>
              </w:rPr>
              <w:t>Registration must be renewed every 365 days to stay active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Grants.gov organization account created</w:t>
            </w:r>
          </w:p>
        </w:tc>
        <w:tc>
          <w:tcPr>
            <w:tcW w:type="dxa" w:w="3650"/>
          </w:tcPr>
          <w:p>
            <w:pPr>
              <w:spacing w:after="40" w:before="40"/>
            </w:pPr>
            <w:r>
              <w:rPr>
                <w:b w:val="0"/>
                <w:sz w:val="19"/>
              </w:rPr>
              <w:t>Someone can actually submit before the clock runs out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E-Business Point of Contact named, with a backup</w:t>
            </w:r>
          </w:p>
        </w:tc>
        <w:tc>
          <w:tcPr>
            <w:tcW w:type="dxa" w:w="3650"/>
          </w:tcPr>
          <w:p>
            <w:pPr>
              <w:spacing w:after="40" w:before="40"/>
            </w:pPr>
            <w:r>
              <w:rPr>
                <w:b w:val="0"/>
                <w:sz w:val="19"/>
              </w:rPr>
              <w:t>Grants.gov requires the role, and a single point of failure is a missed deadline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Authorized Organization Representative roles assigned in Grants.gov</w:t>
            </w:r>
          </w:p>
        </w:tc>
        <w:tc>
          <w:tcPr>
            <w:tcW w:type="dxa" w:w="3650"/>
          </w:tcPr>
          <w:p>
            <w:pPr>
              <w:spacing w:after="40" w:before="40"/>
            </w:pPr>
            <w:r>
              <w:rPr>
                <w:b w:val="0"/>
                <w:sz w:val="19"/>
              </w:rPr>
              <w:t>The right person can press submit without a last-minute approval chain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Login.gov accounts set up for the people who need them</w:t>
            </w:r>
          </w:p>
        </w:tc>
        <w:tc>
          <w:tcPr>
            <w:tcW w:type="dxa" w:w="3650"/>
          </w:tcPr>
          <w:p>
            <w:pPr>
              <w:spacing w:after="40" w:before="40"/>
            </w:pPr>
            <w:r>
              <w:rPr>
                <w:b w:val="0"/>
                <w:sz w:val="19"/>
              </w:rPr>
              <w:t>Nobody is locked out of the portal on deadline day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SAM.gov states that submitting a registration and getting a Unique Entity ID are both free, that registration can take up to 10 business days to become active, and that it must be renewed every 365 days to stay active (SAM.gov, Entity Registration, Accessed 2026-09-22). Grants.gov states that an organization must register as an entity with SAM.gov before anyone can start applying in Grants.gov, and must name an E-Business Point of Contact (Grants.gov, Applicant Registration, Accessed 2026-09-22).</w:t>
      </w:r>
    </w:p>
    <w:p>
      <w:r>
        <w:t>Two limits catch first-time applicants. A Unique Entity ID alone, without a completed registration, does not allow an organization to apply directly for federal awards (SAM.gov, Entity Registration, Accessed 2026-09-22). Grants.gov also advises applicants to allow up to 10 business days for SAM registration to become active even when the organization already has a federal tax ID, and warns that unverified information could take weeks or months to clear (Grants.gov, Applicant Registration, Accessed 2026-09-22).</w:t>
      </w:r>
    </w:p>
    <w:p>
      <w:pPr>
        <w:pStyle w:val="Heading2"/>
      </w:pPr>
      <w:r>
        <w:t>1.3 State and local registrations</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Charitable solicitation registration in your home state</w:t>
            </w:r>
          </w:p>
        </w:tc>
        <w:tc>
          <w:tcPr>
            <w:tcW w:type="dxa" w:w="3650"/>
          </w:tcPr>
          <w:p>
            <w:pPr>
              <w:spacing w:after="40" w:before="40"/>
            </w:pPr>
            <w:r>
              <w:rPr>
                <w:b w:val="0"/>
                <w:sz w:val="19"/>
              </w:rPr>
              <w:t>You may lawfully ask residents of that state for money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Charitable solicitation registration in every other state you solicit in</w:t>
            </w:r>
          </w:p>
        </w:tc>
        <w:tc>
          <w:tcPr>
            <w:tcW w:type="dxa" w:w="3650"/>
          </w:tcPr>
          <w:p>
            <w:pPr>
              <w:spacing w:after="40" w:before="40"/>
            </w:pPr>
            <w:r>
              <w:rPr>
                <w:b w:val="0"/>
                <w:sz w:val="19"/>
              </w:rPr>
              <w:t>The National Council of Nonprofits states that 40 states require registration before soliciting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Registration of any paid fundraising counsel</w:t>
            </w:r>
          </w:p>
        </w:tc>
        <w:tc>
          <w:tcPr>
            <w:tcW w:type="dxa" w:w="3650"/>
          </w:tcPr>
          <w:p>
            <w:pPr>
              <w:spacing w:after="40" w:before="40"/>
            </w:pPr>
            <w:r>
              <w:rPr>
                <w:b w:val="0"/>
                <w:sz w:val="19"/>
              </w:rPr>
              <w:t>The same 40-state rule covers paid counsel as well as the nonprofit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State corporate annual report filed</w:t>
            </w:r>
          </w:p>
        </w:tc>
        <w:tc>
          <w:tcPr>
            <w:tcW w:type="dxa" w:w="3650"/>
          </w:tcPr>
          <w:p>
            <w:pPr>
              <w:spacing w:after="40" w:before="40"/>
            </w:pPr>
            <w:r>
              <w:rPr>
                <w:b w:val="0"/>
                <w:sz w:val="19"/>
              </w:rPr>
              <w:t>The entity stays in good standing and does not lapse mid-award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State tax exemption, sales and use where available</w:t>
            </w:r>
          </w:p>
        </w:tc>
        <w:tc>
          <w:tcPr>
            <w:tcW w:type="dxa" w:w="3650"/>
          </w:tcPr>
          <w:p>
            <w:pPr>
              <w:spacing w:after="40" w:before="40"/>
            </w:pPr>
            <w:r>
              <w:rPr>
                <w:b w:val="0"/>
                <w:sz w:val="19"/>
              </w:rPr>
              <w:t>Budgets are priced on what you actually pay, not on list price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Local business or operating licenses for each site</w:t>
            </w:r>
          </w:p>
        </w:tc>
        <w:tc>
          <w:tcPr>
            <w:tcW w:type="dxa" w:w="3650"/>
          </w:tcPr>
          <w:p>
            <w:pPr>
              <w:spacing w:after="40" w:before="40"/>
            </w:pPr>
            <w:r>
              <w:rPr>
                <w:b w:val="0"/>
                <w:sz w:val="19"/>
              </w:rPr>
              <w:t>The program can legally run where the proposal says it will run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Insurance certificates, general liability and any required professional coverage</w:t>
            </w:r>
          </w:p>
        </w:tc>
        <w:tc>
          <w:tcPr>
            <w:tcW w:type="dxa" w:w="3650"/>
          </w:tcPr>
          <w:p>
            <w:pPr>
              <w:spacing w:after="40" w:before="40"/>
            </w:pPr>
            <w:r>
              <w:rPr>
                <w:b w:val="0"/>
                <w:sz w:val="19"/>
              </w:rPr>
              <w:t>The funder's risk review finds coverage in place rather than a promise to buy it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The National Council of Nonprofits states that 40 states require charitable nonprofits, as well as any paid fundraising counsel, to register with the state before the nonprofit solicits any donations from residents of that state (National Council of Nonprofits, Charitable Solicitation Registration, Accessed 2026-09-22).</w:t>
      </w:r>
    </w:p>
    <w:p>
      <w:pPr>
        <w:pStyle w:val="Heading2"/>
      </w:pPr>
      <w:r>
        <w:t>1.4 If you do not have 501(c)(3) status yet</w:t>
      </w:r>
    </w:p>
    <w:p>
      <w:r>
        <w:t>You are not out of the running, but the path is different and the costs are real. Work this block before you spend a week on a narrative.</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Decision recorded: apply for exemption, or use a fiscal sponsor</w:t>
            </w:r>
          </w:p>
        </w:tc>
        <w:tc>
          <w:tcPr>
            <w:tcW w:type="dxa" w:w="3650"/>
          </w:tcPr>
          <w:p>
            <w:pPr>
              <w:spacing w:after="40" w:before="40"/>
            </w:pPr>
            <w:r>
              <w:rPr>
                <w:b w:val="0"/>
                <w:sz w:val="19"/>
              </w:rPr>
              <w:t>The route is chosen deliberately rather than discovered at the deadline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Form 1023-EZ eligibility worksheet completed and filed with the record</w:t>
            </w:r>
          </w:p>
        </w:tc>
        <w:tc>
          <w:tcPr>
            <w:tcW w:type="dxa" w:w="3650"/>
          </w:tcPr>
          <w:p>
            <w:pPr>
              <w:spacing w:after="40" w:before="40"/>
            </w:pPr>
            <w:r>
              <w:rPr>
                <w:b w:val="0"/>
                <w:sz w:val="19"/>
              </w:rPr>
              <w:t>Only organizations that answer No to every question may use the short form</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User fee budgeted and the Pay.gov payment method ready</w:t>
            </w:r>
          </w:p>
        </w:tc>
        <w:tc>
          <w:tcPr>
            <w:tcW w:type="dxa" w:w="3650"/>
          </w:tcPr>
          <w:p>
            <w:pPr>
              <w:spacing w:after="40" w:before="40"/>
            </w:pPr>
            <w:r>
              <w:rPr>
                <w:b w:val="0"/>
                <w:sz w:val="19"/>
              </w:rPr>
              <w:t>The application is not held up by an unbudgeted fee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Formation date checked against the 27-month rule</w:t>
            </w:r>
          </w:p>
        </w:tc>
        <w:tc>
          <w:tcPr>
            <w:tcW w:type="dxa" w:w="3650"/>
          </w:tcPr>
          <w:p>
            <w:pPr>
              <w:spacing w:after="40" w:before="40"/>
            </w:pPr>
            <w:r>
              <w:rPr>
                <w:b w:val="0"/>
                <w:sz w:val="19"/>
              </w:rPr>
              <w:t>Decides whether exempt status can be backdated to the date of formation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Fiscal sponsor model agreed and written down</w:t>
            </w:r>
          </w:p>
        </w:tc>
        <w:tc>
          <w:tcPr>
            <w:tcW w:type="dxa" w:w="3650"/>
          </w:tcPr>
          <w:p>
            <w:pPr>
              <w:spacing w:after="40" w:before="40"/>
            </w:pPr>
            <w:r>
              <w:rPr>
                <w:b w:val="0"/>
                <w:sz w:val="19"/>
              </w:rPr>
              <w:t>Comprehensive and pre-approved grant relationships carry different liability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Fiscal sponsor fee agreed in writing and built into the budget</w:t>
            </w:r>
          </w:p>
        </w:tc>
        <w:tc>
          <w:tcPr>
            <w:tcW w:type="dxa" w:w="3650"/>
          </w:tcPr>
          <w:p>
            <w:pPr>
              <w:spacing w:after="40" w:before="40"/>
            </w:pPr>
            <w:r>
              <w:rPr>
                <w:b w:val="0"/>
                <w:sz w:val="19"/>
              </w:rPr>
              <w:t>Sponsor fees are generally between 5 percent and 10 percent of funds held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Variance power or discretion and control language present in the agreement</w:t>
            </w:r>
          </w:p>
        </w:tc>
        <w:tc>
          <w:tcPr>
            <w:tcW w:type="dxa" w:w="3650"/>
          </w:tcPr>
          <w:p>
            <w:pPr>
              <w:spacing w:after="40" w:before="40"/>
            </w:pPr>
            <w:r>
              <w:rPr>
                <w:b w:val="0"/>
                <w:sz w:val="19"/>
              </w:rPr>
              <w:t>Keeps the arrangement from reading as a pass-through, which does not pass IRS muster</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The user fee for Form 1023 is $600 and the user fee for Form 1023-EZ is $275, both paid through Pay.gov when the application is filed (IRS, Page dated 2026-06-28). Form 1023-EZ asks applicants to stop and not file when total assets exceed $250,000 in fair market value, or when annual gross receipts exceeded $50,000 in any of the past 3 years or are projected to exceed $50,000 in any of the next 3 years (IRS Form 1023-EZ eligibility worksheet, Accessed 2026-09-22). If you answer Yes to any question on the eligibility worksheet you are not eligible and must apply on Form 1023 (IRS, Instructions for Form 1023-EZ, Rev. January 2025).</w:t>
      </w:r>
    </w:p>
    <w:p>
      <w:r>
        <w:t>Plan the wait. The IRS states it issues 80 percent of Form 1023-EZ application determinations within 22 days and 80 percent of Form 1023 application determinations within 191 days (IRS, Page dated 2026-01-26). Generally, if you file Form 1023 within 27 months after the end of the month in which you were legally formed and the IRS approves it, the effective date of exempt status is your legal date of formation (IRS, Instructions for Form 1023, Rev. December 2024).</w:t>
      </w:r>
    </w:p>
    <w:p>
      <w:r>
        <w:t>Fiscal sponsorship is the practical alternative. Propel Nonprofits states that fiscal sponsor fees are generally somewhere between 5 percent and 10 percent of all funds held on behalf of the sponsored group (Propel Nonprofits, Accessed 2026-09-22). The National Network of Fiscal Sponsors warns that the key element to avoid is a pass-through or conduit arrangement, and that the fiscal sponsor must exercise variance power or independent discretion and control for the relationship to pass IRS muster (National Network of Fiscal Sponsors, Accessed 2026-09-22).</w:t>
      </w:r>
    </w:p>
    <w:p>
      <w:r>
        <w:t>Know why funders care. A private foundation's grants to organizations are taxable expenditures unless the recipients are public charities or the foundation exercises expenditure responsibility with respect to the grant (IRS, Grants to organizations, Page last reviewed 2026-06-28). That is a defined compliance burden the foundation takes on for you.</w:t>
      </w:r>
    </w:p>
    <w:p>
      <w:pPr>
        <w:pStyle w:val="Heading1"/>
      </w:pPr>
      <w:r>
        <w:t>Section 2. Governance</w:t>
      </w:r>
    </w:p>
    <w:p>
      <w:r>
        <w:t>Governance records answer the question a funder asks once identity is settled: who controls the money, and how would anyone know if something went wrong. Gaps here are also among the quickest to close, because most of this section is a board agenda item rather than a purchase.</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Bylaws, current and signed, with every amendment attached</w:t>
            </w:r>
          </w:p>
        </w:tc>
        <w:tc>
          <w:tcPr>
            <w:tcW w:type="dxa" w:w="3650"/>
          </w:tcPr>
          <w:p>
            <w:pPr>
              <w:spacing w:after="40" w:before="40"/>
            </w:pPr>
            <w:r>
              <w:rPr>
                <w:b w:val="0"/>
                <w:sz w:val="19"/>
              </w:rPr>
              <w:t>Decision rules exist for board votes and officer roles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 of directors list with affiliations and terms</w:t>
            </w:r>
          </w:p>
        </w:tc>
        <w:tc>
          <w:tcPr>
            <w:tcW w:type="dxa" w:w="3650"/>
          </w:tcPr>
          <w:p>
            <w:pPr>
              <w:spacing w:after="40" w:before="40"/>
            </w:pPr>
            <w:r>
              <w:rPr>
                <w:b w:val="0"/>
                <w:sz w:val="19"/>
              </w:rPr>
              <w:t>Named people accept oversight of money and mission, and are not one household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Officer roster with contact details</w:t>
            </w:r>
          </w:p>
        </w:tc>
        <w:tc>
          <w:tcPr>
            <w:tcW w:type="dxa" w:w="3650"/>
          </w:tcPr>
          <w:p>
            <w:pPr>
              <w:spacing w:after="40" w:before="40"/>
            </w:pPr>
            <w:r>
              <w:rPr>
                <w:b w:val="0"/>
                <w:sz w:val="19"/>
              </w:rPr>
              <w:t>There is someone with authority to sign an award document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 meeting minutes for the last four meetings</w:t>
            </w:r>
          </w:p>
        </w:tc>
        <w:tc>
          <w:tcPr>
            <w:tcW w:type="dxa" w:w="3650"/>
          </w:tcPr>
          <w:p>
            <w:pPr>
              <w:spacing w:after="40" w:before="40"/>
            </w:pPr>
            <w:r>
              <w:rPr>
                <w:b w:val="0"/>
                <w:sz w:val="19"/>
              </w:rPr>
              <w:t>Decisions are recorded, and the board meets often enough to make them</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 approval of this grant request, minuted</w:t>
            </w:r>
          </w:p>
        </w:tc>
        <w:tc>
          <w:tcPr>
            <w:tcW w:type="dxa" w:w="3650"/>
          </w:tcPr>
          <w:p>
            <w:pPr>
              <w:spacing w:after="40" w:before="40"/>
            </w:pPr>
            <w:r>
              <w:rPr>
                <w:b w:val="0"/>
                <w:sz w:val="19"/>
              </w:rPr>
              <w:t>Some funders require a board chair letter confirming approval at a called meeting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Conflict of interest policy, adopted and signed annually</w:t>
            </w:r>
          </w:p>
        </w:tc>
        <w:tc>
          <w:tcPr>
            <w:tcW w:type="dxa" w:w="3650"/>
          </w:tcPr>
          <w:p>
            <w:pPr>
              <w:spacing w:after="40" w:before="40"/>
            </w:pPr>
            <w:r>
              <w:rPr>
                <w:b w:val="0"/>
                <w:sz w:val="19"/>
              </w:rPr>
              <w:t>The board planned for self-dealing before it happened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Non-discrimination policy</w:t>
            </w:r>
          </w:p>
        </w:tc>
        <w:tc>
          <w:tcPr>
            <w:tcW w:type="dxa" w:w="3650"/>
          </w:tcPr>
          <w:p>
            <w:pPr>
              <w:spacing w:after="40" w:before="40"/>
            </w:pPr>
            <w:r>
              <w:rPr>
                <w:b w:val="0"/>
                <w:sz w:val="19"/>
              </w:rPr>
              <w:t>Service and hiring decisions have a written standard behind them</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Whistleblower and document retention policies</w:t>
            </w:r>
          </w:p>
        </w:tc>
        <w:tc>
          <w:tcPr>
            <w:tcW w:type="dxa" w:w="3650"/>
          </w:tcPr>
          <w:p>
            <w:pPr>
              <w:spacing w:after="40" w:before="40"/>
            </w:pPr>
            <w:r>
              <w:rPr>
                <w:b w:val="0"/>
                <w:sz w:val="19"/>
              </w:rPr>
              <w:t>Staff can raise concerns safely, and records are kept and destroyed on a written schedule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Current strategic plan, board approved</w:t>
            </w:r>
          </w:p>
        </w:tc>
        <w:tc>
          <w:tcPr>
            <w:tcW w:type="dxa" w:w="3650"/>
          </w:tcPr>
          <w:p>
            <w:pPr>
              <w:spacing w:after="40" w:before="40"/>
            </w:pPr>
            <w:r>
              <w:rPr>
                <w:b w:val="0"/>
                <w:sz w:val="19"/>
              </w:rPr>
              <w:t>The grant fits a direction the board already chose, not an opportunity chased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Organizational chart with reporting lines</w:t>
            </w:r>
          </w:p>
        </w:tc>
        <w:tc>
          <w:tcPr>
            <w:tcW w:type="dxa" w:w="3650"/>
          </w:tcPr>
          <w:p>
            <w:pPr>
              <w:spacing w:after="40" w:before="40"/>
            </w:pPr>
            <w:r>
              <w:rPr>
                <w:b w:val="0"/>
                <w:sz w:val="19"/>
              </w:rPr>
              <w:t>Reporting lines are clear enough to manage an award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 member agreement or role description</w:t>
            </w:r>
          </w:p>
        </w:tc>
        <w:tc>
          <w:tcPr>
            <w:tcW w:type="dxa" w:w="3650"/>
          </w:tcPr>
          <w:p>
            <w:pPr>
              <w:spacing w:after="40" w:before="40"/>
            </w:pPr>
            <w:r>
              <w:rPr>
                <w:b w:val="0"/>
                <w:sz w:val="19"/>
              </w:rPr>
              <w:t>Board members know what oversight they signed up for</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Succession or contingency plan for the chief executive</w:t>
            </w:r>
          </w:p>
        </w:tc>
        <w:tc>
          <w:tcPr>
            <w:tcW w:type="dxa" w:w="3650"/>
          </w:tcPr>
          <w:p>
            <w:pPr>
              <w:spacing w:after="40" w:before="40"/>
            </w:pPr>
            <w:r>
              <w:rPr>
                <w:b w:val="0"/>
                <w:sz w:val="19"/>
              </w:rPr>
              <w:t>The award survives a leadership change during the grant period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Funding For Good organizes readiness material into six groups: organizational background, tax documents, financial information, governance, program and project information, and other, and its governance group names the board list with affiliations, the organizational chart, bylaws, a conflict of interest policy, a non-discrimination policy, and a current strategic plan (Funding For Good, 2025-06-06). Each of those has a job. Affiliations show the board is not one household. The chart shows who reports to whom. The two policies show the board planned for bias and self-dealing. The strategic plan shows the grant fits a direction the board already approved.</w:t>
      </w:r>
    </w:p>
    <w:p>
      <w:r>
        <w:t>One program shows how concrete this can get. The Community Foundation (Harrisonburg/Rockingham) requires, for its capacity-building grants, a board chair letter confirming the project was approved at an officially called board meeting, alongside a requirement that the applicant have at least three years as an established functioning entity (The Community Foundation, page dated 2026-05-12). That is one funder's rule rather than an industry rule, but the letter needs a called board meeting behind it, so plan it well before the deadline.</w:t>
      </w:r>
    </w:p>
    <w:p>
      <w:pPr>
        <w:pStyle w:val="Heading1"/>
      </w:pPr>
      <w:r>
        <w:t>Section 3. Finance</w:t>
      </w:r>
    </w:p>
    <w:p>
      <w:r>
        <w:t>Financial readiness has two layers. The first is the current picture: an operating budget for the year, a project budget for the request, and ledgers the treasurer can explain out loud. The second is outside review, which is the layer that tells a funder someone other than you has looked at the books.</w:t>
      </w:r>
    </w:p>
    <w:p>
      <w:pPr>
        <w:pStyle w:val="Heading2"/>
      </w:pPr>
      <w:r>
        <w:t>3.1 Statements and filings</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Most recent IRS Form 990, 990-EZ or 990-N as filed</w:t>
            </w:r>
          </w:p>
        </w:tc>
        <w:tc>
          <w:tcPr>
            <w:tcW w:type="dxa" w:w="3650"/>
          </w:tcPr>
          <w:p>
            <w:pPr>
              <w:spacing w:after="40" w:before="40"/>
            </w:pPr>
            <w:r>
              <w:rPr>
                <w:b w:val="0"/>
                <w:sz w:val="19"/>
              </w:rPr>
              <w:t>Yearly revenue, spending and governance are publicly reported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Two prior years of Form 990</w:t>
            </w:r>
          </w:p>
        </w:tc>
        <w:tc>
          <w:tcPr>
            <w:tcW w:type="dxa" w:w="3650"/>
          </w:tcPr>
          <w:p>
            <w:pPr>
              <w:spacing w:after="40" w:before="40"/>
            </w:pPr>
            <w:r>
              <w:rPr>
                <w:b w:val="0"/>
                <w:sz w:val="19"/>
              </w:rPr>
              <w:t>A trend is visible rather than a single snapshot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Audit or financial review, most recent</w:t>
            </w:r>
          </w:p>
        </w:tc>
        <w:tc>
          <w:tcPr>
            <w:tcW w:type="dxa" w:w="3650"/>
          </w:tcPr>
          <w:p>
            <w:pPr>
              <w:spacing w:after="40" w:before="40"/>
            </w:pPr>
            <w:r>
              <w:rPr>
                <w:b w:val="0"/>
                <w:sz w:val="19"/>
              </w:rPr>
              <w:t>An outside accountant has examined the books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Management letter from the auditor, with responses</w:t>
            </w:r>
          </w:p>
        </w:tc>
        <w:tc>
          <w:tcPr>
            <w:tcW w:type="dxa" w:w="3650"/>
          </w:tcPr>
          <w:p>
            <w:pPr>
              <w:spacing w:after="40" w:before="40"/>
            </w:pPr>
            <w:r>
              <w:rPr>
                <w:b w:val="0"/>
                <w:sz w:val="19"/>
              </w:rPr>
              <w:t>Weaknesses were named and somebody answered them</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Single audit status confirmed for the year</w:t>
            </w:r>
          </w:p>
        </w:tc>
        <w:tc>
          <w:tcPr>
            <w:tcW w:type="dxa" w:w="3650"/>
          </w:tcPr>
          <w:p>
            <w:pPr>
              <w:spacing w:after="40" w:before="40"/>
            </w:pPr>
            <w:r>
              <w:rPr>
                <w:b w:val="0"/>
                <w:sz w:val="19"/>
              </w:rPr>
              <w:t>Entities expending $1,000,000 or more in federal awards must have one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Year-to-date statement of activities and statement of financial position</w:t>
            </w:r>
          </w:p>
        </w:tc>
        <w:tc>
          <w:tcPr>
            <w:tcW w:type="dxa" w:w="3650"/>
          </w:tcPr>
          <w:p>
            <w:pPr>
              <w:spacing w:after="40" w:before="40"/>
            </w:pPr>
            <w:r>
              <w:rPr>
                <w:b w:val="0"/>
                <w:sz w:val="19"/>
              </w:rPr>
              <w:t>The current year is under control, not only the closed one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Cash flow projection for the coming twelve months</w:t>
            </w:r>
          </w:p>
        </w:tc>
        <w:tc>
          <w:tcPr>
            <w:tcW w:type="dxa" w:w="3650"/>
          </w:tcPr>
          <w:p>
            <w:pPr>
              <w:spacing w:after="40" w:before="40"/>
            </w:pPr>
            <w:r>
              <w:rPr>
                <w:b w:val="0"/>
                <w:sz w:val="19"/>
              </w:rPr>
              <w:t>The organization can carry costs if the award reimburses in arrears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Confirmation that Form 990 has been filed each of the last three years</w:t>
            </w:r>
          </w:p>
        </w:tc>
        <w:tc>
          <w:tcPr>
            <w:tcW w:type="dxa" w:w="3650"/>
          </w:tcPr>
          <w:p>
            <w:pPr>
              <w:spacing w:after="40" w:before="40"/>
            </w:pPr>
            <w:r>
              <w:rPr>
                <w:b w:val="0"/>
                <w:sz w:val="19"/>
              </w:rPr>
              <w:t>Failure to file for 3 consecutive years revokes exempt status automatically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Organizations that spend $1,000,000 or more in federal awards during a single fiscal year must undergo a Single Audit under 2 CFR 200.501 (LegalClarity, citing 2 CFR 200.501, 2026-06-18). Failure to file a required return or notice for 3 consecutive years results in automatic revocation of tax-exempt status (IRS, Instructions for Form 1023-EZ, Rev. January 2025), which is the single cheapest catastrophe on this page to avoid.</w:t>
      </w:r>
    </w:p>
    <w:p>
      <w:pPr>
        <w:pStyle w:val="Heading2"/>
      </w:pPr>
      <w:r>
        <w:t>3.2 Budgets and controls</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Board-approved organizational operating budget for the current year</w:t>
            </w:r>
          </w:p>
        </w:tc>
        <w:tc>
          <w:tcPr>
            <w:tcW w:type="dxa" w:w="3650"/>
          </w:tcPr>
          <w:p>
            <w:pPr>
              <w:spacing w:after="40" w:before="40"/>
            </w:pPr>
            <w:r>
              <w:rPr>
                <w:b w:val="0"/>
                <w:sz w:val="19"/>
              </w:rPr>
              <w:t>The request can be read against the size of the organization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Project budget for this request, tied line by line to activities</w:t>
            </w:r>
          </w:p>
        </w:tc>
        <w:tc>
          <w:tcPr>
            <w:tcW w:type="dxa" w:w="3650"/>
          </w:tcPr>
          <w:p>
            <w:pPr>
              <w:spacing w:after="40" w:before="40"/>
            </w:pPr>
            <w:r>
              <w:rPr>
                <w:b w:val="0"/>
                <w:sz w:val="19"/>
              </w:rPr>
              <w:t>Each figure traces to something in the narrative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Chart of accounts that can separate one award from another</w:t>
            </w:r>
          </w:p>
        </w:tc>
        <w:tc>
          <w:tcPr>
            <w:tcW w:type="dxa" w:w="3650"/>
          </w:tcPr>
          <w:p>
            <w:pPr>
              <w:spacing w:after="40" w:before="40"/>
            </w:pPr>
            <w:r>
              <w:rPr>
                <w:b w:val="0"/>
                <w:sz w:val="19"/>
              </w:rPr>
              <w:t>Award funds can be tracked and reported separately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Written cost allocation method for shared costs</w:t>
            </w:r>
          </w:p>
        </w:tc>
        <w:tc>
          <w:tcPr>
            <w:tcW w:type="dxa" w:w="3650"/>
          </w:tcPr>
          <w:p>
            <w:pPr>
              <w:spacing w:after="40" w:before="40"/>
            </w:pPr>
            <w:r>
              <w:rPr>
                <w:b w:val="0"/>
                <w:sz w:val="19"/>
              </w:rPr>
              <w:t>Shared salaries and rent are split on a basis you can defend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Indirect cost rate agreement, or the rate you elect, documented</w:t>
            </w:r>
          </w:p>
        </w:tc>
        <w:tc>
          <w:tcPr>
            <w:tcW w:type="dxa" w:w="3650"/>
          </w:tcPr>
          <w:p>
            <w:pPr>
              <w:spacing w:after="40" w:before="40"/>
            </w:pPr>
            <w:r>
              <w:rPr>
                <w:b w:val="0"/>
                <w:sz w:val="19"/>
              </w:rPr>
              <w:t>The overhead line in the budget has a stated basis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Written financial policies and procedures</w:t>
            </w:r>
          </w:p>
        </w:tc>
        <w:tc>
          <w:tcPr>
            <w:tcW w:type="dxa" w:w="3650"/>
          </w:tcPr>
          <w:p>
            <w:pPr>
              <w:spacing w:after="40" w:before="40"/>
            </w:pPr>
            <w:r>
              <w:rPr>
                <w:b w:val="0"/>
                <w:sz w:val="19"/>
              </w:rPr>
              <w:t>Daily money handling follows stated steps rather than habit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Segregation of duties documented for receipts and payments</w:t>
            </w:r>
          </w:p>
        </w:tc>
        <w:tc>
          <w:tcPr>
            <w:tcW w:type="dxa" w:w="3650"/>
          </w:tcPr>
          <w:p>
            <w:pPr>
              <w:spacing w:after="40" w:before="40"/>
            </w:pPr>
            <w:r>
              <w:rPr>
                <w:b w:val="0"/>
                <w:sz w:val="19"/>
              </w:rPr>
              <w:t>No one person can both spend and record the spending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Payroll allocation records showing time split across funding sources</w:t>
            </w:r>
          </w:p>
        </w:tc>
        <w:tc>
          <w:tcPr>
            <w:tcW w:type="dxa" w:w="3650"/>
          </w:tcPr>
          <w:p>
            <w:pPr>
              <w:spacing w:after="40" w:before="40"/>
            </w:pPr>
            <w:r>
              <w:rPr>
                <w:b w:val="0"/>
                <w:sz w:val="19"/>
              </w:rPr>
              <w:t>Salary charges rest on records that reflect the work performed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Banking details, ACH or EFT, ready for the award payment setup</w:t>
            </w:r>
          </w:p>
        </w:tc>
        <w:tc>
          <w:tcPr>
            <w:tcW w:type="dxa" w:w="3650"/>
          </w:tcPr>
          <w:p>
            <w:pPr>
              <w:spacing w:after="40" w:before="40"/>
            </w:pPr>
            <w:r>
              <w:rPr>
                <w:b w:val="0"/>
                <w:sz w:val="19"/>
              </w:rPr>
              <w:t>Payment setup does not delay the first drawdown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Reserve or working capital position stated</w:t>
            </w:r>
          </w:p>
        </w:tc>
        <w:tc>
          <w:tcPr>
            <w:tcW w:type="dxa" w:w="3650"/>
          </w:tcPr>
          <w:p>
            <w:pPr>
              <w:spacing w:after="40" w:before="40"/>
            </w:pPr>
            <w:r>
              <w:rPr>
                <w:b w:val="0"/>
                <w:sz w:val="19"/>
              </w:rPr>
              <w:t>The organization can absorb a late reimbursement without stopping the work</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Two things in this block change how a whole proposal is read. Candid states that most grants, especially first-time grants, are restricted to program expenses, and that general operating or unrestricted grants are largely the exception instead of the rule (Candid, 2024-03-25). A budget that only balances as unrestricted funding is a budget that usually does not balance. And the project budget in this section is the project budget, not the organizational budget: tie each line to an activity in the approach and keep the categories stable across drafts so the narrative and the figures match.</w:t>
      </w:r>
    </w:p>
    <w:p>
      <w:pPr>
        <w:pStyle w:val="Heading1"/>
      </w:pPr>
      <w:r>
        <w:t>Section 4. Program and outcomes</w:t>
      </w:r>
    </w:p>
    <w:p>
      <w:r>
        <w:t>Program material proves the project is planned, staffed, measured and likely to continue after the grant ends. Funders read this section to decide whether the work described in the narrative could actually happen, and each item maps to a question reviewers score.</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Need data by geographic area</w:t>
            </w:r>
          </w:p>
        </w:tc>
        <w:tc>
          <w:tcPr>
            <w:tcW w:type="dxa" w:w="3650"/>
          </w:tcPr>
          <w:p>
            <w:pPr>
              <w:spacing w:after="40" w:before="40"/>
            </w:pPr>
            <w:r>
              <w:rPr>
                <w:b w:val="0"/>
                <w:sz w:val="19"/>
              </w:rPr>
              <w:t>The problem is documented where the work will occur</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Need data by target population</w:t>
            </w:r>
          </w:p>
        </w:tc>
        <w:tc>
          <w:tcPr>
            <w:tcW w:type="dxa" w:w="3650"/>
          </w:tcPr>
          <w:p>
            <w:pPr>
              <w:spacing w:after="40" w:before="40"/>
            </w:pPr>
            <w:r>
              <w:rPr>
                <w:b w:val="0"/>
                <w:sz w:val="19"/>
              </w:rPr>
              <w:t>The people named in the proposal are the people the data describes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Project outcomes with target changes stated</w:t>
            </w:r>
          </w:p>
        </w:tc>
        <w:tc>
          <w:tcPr>
            <w:tcW w:type="dxa" w:w="3650"/>
          </w:tcPr>
          <w:p>
            <w:pPr>
              <w:spacing w:after="40" w:before="40"/>
            </w:pPr>
            <w:r>
              <w:rPr>
                <w:b w:val="0"/>
                <w:sz w:val="19"/>
              </w:rPr>
              <w:t>What will be different is written down before the money is spent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Indicators with a measure and a data source for each outcome</w:t>
            </w:r>
          </w:p>
        </w:tc>
        <w:tc>
          <w:tcPr>
            <w:tcW w:type="dxa" w:w="3650"/>
          </w:tcPr>
          <w:p>
            <w:pPr>
              <w:spacing w:after="40" w:before="40"/>
            </w:pPr>
            <w:r>
              <w:rPr>
                <w:b w:val="0"/>
                <w:sz w:val="19"/>
              </w:rPr>
              <w:t>Each outcome can be counted rather than asserted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Approach: activities in order, with owners</w:t>
            </w:r>
          </w:p>
        </w:tc>
        <w:tc>
          <w:tcPr>
            <w:tcW w:type="dxa" w:w="3650"/>
          </w:tcPr>
          <w:p>
            <w:pPr>
              <w:spacing w:after="40" w:before="40"/>
            </w:pPr>
            <w:r>
              <w:rPr>
                <w:b w:val="0"/>
                <w:sz w:val="19"/>
              </w:rPr>
              <w:t>How the work runs week to week</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Partners named, with roles and signed letters or MOUs</w:t>
            </w:r>
          </w:p>
        </w:tc>
        <w:tc>
          <w:tcPr>
            <w:tcW w:type="dxa" w:w="3650"/>
          </w:tcPr>
          <w:p>
            <w:pPr>
              <w:spacing w:after="40" w:before="40"/>
            </w:pPr>
            <w:r>
              <w:rPr>
                <w:b w:val="0"/>
                <w:sz w:val="19"/>
              </w:rPr>
              <w:t>Somebody else is committed, in writing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Timeline with milestones by month or quarter</w:t>
            </w:r>
          </w:p>
        </w:tc>
        <w:tc>
          <w:tcPr>
            <w:tcW w:type="dxa" w:w="3650"/>
          </w:tcPr>
          <w:p>
            <w:pPr>
              <w:spacing w:after="40" w:before="40"/>
            </w:pPr>
            <w:r>
              <w:rPr>
                <w:b w:val="0"/>
                <w:sz w:val="19"/>
              </w:rPr>
              <w:t>The plan fits inside the award period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Organizational background and capacity statement</w:t>
            </w:r>
          </w:p>
        </w:tc>
        <w:tc>
          <w:tcPr>
            <w:tcW w:type="dxa" w:w="3650"/>
          </w:tcPr>
          <w:p>
            <w:pPr>
              <w:spacing w:after="40" w:before="40"/>
            </w:pPr>
            <w:r>
              <w:rPr>
                <w:b w:val="0"/>
                <w:sz w:val="19"/>
              </w:rPr>
              <w:t>This team has done similar work before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Resumes of key staff, current</w:t>
            </w:r>
          </w:p>
        </w:tc>
        <w:tc>
          <w:tcPr>
            <w:tcW w:type="dxa" w:w="3650"/>
          </w:tcPr>
          <w:p>
            <w:pPr>
              <w:spacing w:after="40" w:before="40"/>
            </w:pPr>
            <w:r>
              <w:rPr>
                <w:b w:val="0"/>
                <w:sz w:val="19"/>
              </w:rPr>
              <w:t>Named people with relevant experience will do the work</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Job descriptions for roles still to be hired</w:t>
            </w:r>
          </w:p>
        </w:tc>
        <w:tc>
          <w:tcPr>
            <w:tcW w:type="dxa" w:w="3650"/>
          </w:tcPr>
          <w:p>
            <w:pPr>
              <w:spacing w:after="40" w:before="40"/>
            </w:pPr>
            <w:r>
              <w:rPr>
                <w:b w:val="0"/>
                <w:sz w:val="19"/>
              </w:rPr>
              <w:t>Open roles are defined, not vague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Evaluation plan with measures, sources and a schedule</w:t>
            </w:r>
          </w:p>
        </w:tc>
        <w:tc>
          <w:tcPr>
            <w:tcW w:type="dxa" w:w="3650"/>
          </w:tcPr>
          <w:p>
            <w:pPr>
              <w:spacing w:after="40" w:before="40"/>
            </w:pPr>
            <w:r>
              <w:rPr>
                <w:b w:val="0"/>
                <w:sz w:val="19"/>
              </w:rPr>
              <w:t>Learning is captured during the project, not reconstructed after it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Project budget matching the activities list</w:t>
            </w:r>
          </w:p>
        </w:tc>
        <w:tc>
          <w:tcPr>
            <w:tcW w:type="dxa" w:w="3650"/>
          </w:tcPr>
          <w:p>
            <w:pPr>
              <w:spacing w:after="40" w:before="40"/>
            </w:pPr>
            <w:r>
              <w:rPr>
                <w:b w:val="0"/>
                <w:sz w:val="19"/>
              </w:rPr>
              <w:t>What each part costs, traceable to the approach</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Sustainability plan for after the award</w:t>
            </w:r>
          </w:p>
        </w:tc>
        <w:tc>
          <w:tcPr>
            <w:tcW w:type="dxa" w:w="3650"/>
          </w:tcPr>
          <w:p>
            <w:pPr>
              <w:spacing w:after="40" w:before="40"/>
            </w:pPr>
            <w:r>
              <w:rPr>
                <w:b w:val="0"/>
                <w:sz w:val="19"/>
              </w:rPr>
              <w:t>Something continues when the grant closes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Recent organizational needs assessment</w:t>
            </w:r>
          </w:p>
        </w:tc>
        <w:tc>
          <w:tcPr>
            <w:tcW w:type="dxa" w:w="3650"/>
          </w:tcPr>
          <w:p>
            <w:pPr>
              <w:spacing w:after="40" w:before="40"/>
            </w:pPr>
            <w:r>
              <w:rPr>
                <w:b w:val="0"/>
                <w:sz w:val="19"/>
              </w:rPr>
              <w:t>Some funders state that requests without one are unlikely to be competitive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Prior results: what the last similar project actually delivered</w:t>
            </w:r>
          </w:p>
        </w:tc>
        <w:tc>
          <w:tcPr>
            <w:tcW w:type="dxa" w:w="3650"/>
          </w:tcPr>
          <w:p>
            <w:pPr>
              <w:spacing w:after="40" w:before="40"/>
            </w:pPr>
            <w:r>
              <w:rPr>
                <w:b w:val="0"/>
                <w:sz w:val="19"/>
              </w:rPr>
              <w:t>A track record of effective programs, which is what foundations look for</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Data collection consent and privacy practice for participants</w:t>
            </w:r>
          </w:p>
        </w:tc>
        <w:tc>
          <w:tcPr>
            <w:tcW w:type="dxa" w:w="3650"/>
          </w:tcPr>
          <w:p>
            <w:pPr>
              <w:spacing w:after="40" w:before="40"/>
            </w:pPr>
            <w:r>
              <w:rPr>
                <w:b w:val="0"/>
                <w:sz w:val="19"/>
              </w:rPr>
              <w:t>Outcome data can be collected lawfully and reported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GrantStation lists the proposal development papers as need data by geographic area and by target population, project outcomes and indicators, approach, partners, timeline, organizational background and capacity, resumes of key staff, job descriptions, evaluation plan, project budget, and sustainability plan (GrantStation, Posted 2023-12). That list is longer than most teams expect, which is the point of writing it out.</w:t>
      </w:r>
    </w:p>
    <w:p>
      <w:r>
        <w:t>Need data deserves care. Counts for a county do not prove need in one neighborhood, and national rates do not prove need in a school. Keep data cut to the service area and the population named in the proposal, with the year of each source written on the page.</w:t>
      </w:r>
    </w:p>
    <w:p>
      <w:r>
        <w:t>The needs assessment row is not filler. The Michigan Health Endowment Fund publishes a five-question screen that asks whether the organization is ready to act now and whether it completed a recent organizational needs assessment, and states that requests from groups without an assessment are unlikely to be competitive (Michigan Health Endowment Fund, 2026 RFP, Cycle 2). The same fund tells applicants that a No to any of the five screening questions may mean the moment is wrong for seeking funds (Michigan Health Endowment Fund, 2026 RFP, Cycle 2).</w:t>
      </w:r>
    </w:p>
    <w:p>
      <w:r>
        <w:t>Candid adds the background against which all of this is read: foundations want to see that an applicant has been operating for a while with an established track record of effective programs, and it is difficult though not impossible for a brand-new organization to get a grant (Candid, 2024-03-25).</w:t>
      </w:r>
    </w:p>
    <w:p>
      <w:pPr>
        <w:pStyle w:val="Heading1"/>
      </w:pPr>
      <w:r>
        <w:t>Section 5. Documents and public record</w:t>
      </w:r>
    </w:p>
    <w:p>
      <w:r>
        <w:t>This section is the standing file: the papers a funder either asks for by name or looks up without asking. Treat the public record with the same care as the private file, because reviewers check both.</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Mission statement, board approved and used consistently</w:t>
            </w:r>
          </w:p>
        </w:tc>
        <w:tc>
          <w:tcPr>
            <w:tcW w:type="dxa" w:w="3650"/>
          </w:tcPr>
          <w:p>
            <w:pPr>
              <w:spacing w:after="40" w:before="40"/>
            </w:pPr>
            <w:r>
              <w:rPr>
                <w:b w:val="0"/>
                <w:sz w:val="19"/>
              </w:rPr>
              <w:t>The project fits the organization that asks for it</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Annual report, most recent</w:t>
            </w:r>
          </w:p>
        </w:tc>
        <w:tc>
          <w:tcPr>
            <w:tcW w:type="dxa" w:w="3650"/>
          </w:tcPr>
          <w:p>
            <w:pPr>
              <w:spacing w:after="40" w:before="40"/>
            </w:pPr>
            <w:r>
              <w:rPr>
                <w:b w:val="0"/>
                <w:sz w:val="19"/>
              </w:rPr>
              <w:t>Programs and results are reported to the public</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Governance policies and procedures, collected in one place</w:t>
            </w:r>
          </w:p>
        </w:tc>
        <w:tc>
          <w:tcPr>
            <w:tcW w:type="dxa" w:w="3650"/>
          </w:tcPr>
          <w:p>
            <w:pPr>
              <w:spacing w:after="40" w:before="40"/>
            </w:pPr>
            <w:r>
              <w:rPr>
                <w:b w:val="0"/>
                <w:sz w:val="19"/>
              </w:rPr>
              <w:t>Conflicts and oversight have written rules a reviewer can read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Operational policies and procedures</w:t>
            </w:r>
          </w:p>
        </w:tc>
        <w:tc>
          <w:tcPr>
            <w:tcW w:type="dxa" w:w="3650"/>
          </w:tcPr>
          <w:p>
            <w:pPr>
              <w:spacing w:after="40" w:before="40"/>
            </w:pPr>
            <w:r>
              <w:rPr>
                <w:b w:val="0"/>
                <w:sz w:val="19"/>
              </w:rPr>
              <w:t>Daily work follows stated steps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Personnel handbook and hiring practice</w:t>
            </w:r>
          </w:p>
        </w:tc>
        <w:tc>
          <w:tcPr>
            <w:tcW w:type="dxa" w:w="3650"/>
          </w:tcPr>
          <w:p>
            <w:pPr>
              <w:spacing w:after="40" w:before="40"/>
            </w:pPr>
            <w:r>
              <w:rPr>
                <w:b w:val="0"/>
                <w:sz w:val="19"/>
              </w:rPr>
              <w:t>Staff are managed under a written standard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Candid profile, current</w:t>
            </w:r>
          </w:p>
        </w:tc>
        <w:tc>
          <w:tcPr>
            <w:tcW w:type="dxa" w:w="3650"/>
          </w:tcPr>
          <w:p>
            <w:pPr>
              <w:spacing w:after="40" w:before="40"/>
            </w:pPr>
            <w:r>
              <w:rPr>
                <w:b w:val="0"/>
                <w:sz w:val="19"/>
              </w:rPr>
              <w:t>Many potential funders consult it during due diligence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Website: programs, leadership and financials pages current</w:t>
            </w:r>
          </w:p>
        </w:tc>
        <w:tc>
          <w:tcPr>
            <w:tcW w:type="dxa" w:w="3650"/>
          </w:tcPr>
          <w:p>
            <w:pPr>
              <w:spacing w:after="40" w:before="40"/>
            </w:pPr>
            <w:r>
              <w:rPr>
                <w:b w:val="0"/>
                <w:sz w:val="19"/>
              </w:rPr>
              <w:t>The public story matches the one in the application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Letters of support, dated within the last twelve months</w:t>
            </w:r>
          </w:p>
        </w:tc>
        <w:tc>
          <w:tcPr>
            <w:tcW w:type="dxa" w:w="3650"/>
          </w:tcPr>
          <w:p>
            <w:pPr>
              <w:spacing w:after="40" w:before="40"/>
            </w:pPr>
            <w:r>
              <w:rPr>
                <w:b w:val="0"/>
                <w:sz w:val="19"/>
              </w:rPr>
              <w:t>Partners and community backing are current, not archived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Photographs and stories with signed releases</w:t>
            </w:r>
          </w:p>
        </w:tc>
        <w:tc>
          <w:tcPr>
            <w:tcW w:type="dxa" w:w="3650"/>
          </w:tcPr>
          <w:p>
            <w:pPr>
              <w:spacing w:after="40" w:before="40"/>
            </w:pPr>
            <w:r>
              <w:rPr>
                <w:b w:val="0"/>
                <w:sz w:val="19"/>
              </w:rPr>
              <w:t>Reports and funder communications can use them lawfully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Logo files and brand basics ready to send</w:t>
            </w:r>
          </w:p>
        </w:tc>
        <w:tc>
          <w:tcPr>
            <w:tcW w:type="dxa" w:w="3650"/>
          </w:tcPr>
          <w:p>
            <w:pPr>
              <w:spacing w:after="40" w:before="40"/>
            </w:pPr>
            <w:r>
              <w:rPr>
                <w:b w:val="0"/>
                <w:sz w:val="19"/>
              </w:rPr>
              <w:t>Grant announcements do not stall on a missing file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Document naming convention and one storage location</w:t>
            </w:r>
          </w:p>
        </w:tc>
        <w:tc>
          <w:tcPr>
            <w:tcW w:type="dxa" w:w="3650"/>
          </w:tcPr>
          <w:p>
            <w:pPr>
              <w:spacing w:after="40" w:before="40"/>
            </w:pPr>
            <w:r>
              <w:rPr>
                <w:b w:val="0"/>
                <w:sz w:val="19"/>
              </w:rPr>
              <w:t>The next application starts with assembly instead of archaeology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Access list: who can reach the file and who keeps it current</w:t>
            </w:r>
          </w:p>
        </w:tc>
        <w:tc>
          <w:tcPr>
            <w:tcW w:type="dxa" w:w="3650"/>
          </w:tcPr>
          <w:p>
            <w:pPr>
              <w:spacing w:after="40" w:before="40"/>
            </w:pPr>
            <w:r>
              <w:rPr>
                <w:b w:val="0"/>
                <w:sz w:val="19"/>
              </w:rPr>
              <w:t>The file survives a staff departure</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GrantStation publishes an organizational documents list that covers the IRS nonprofit designation letter, EIN, IRS Form 990, audit or financial review, bylaws, mission statement, board of directors list, articles of incorporation, organizational chart, governance policies and procedures, operational policies and procedures, and annual report (GrantStation, Posted 2023-12). Treat that list as the core file. If one item is missing, ask the funder before you submit whether the application can go ahead without it, as the section "When an item is missing at a deadline" explains.</w:t>
      </w:r>
    </w:p>
    <w:p>
      <w:r>
        <w:t>Candid notes that applicants will need to show potential funders the IRS letter of determination, and that many potential funders will consult the applicant's Candid profile during due diligence (Candid, 2024-03-25). Keep the letter as a clean scan and the public profile current, because reviewers check both without asking.</w:t>
      </w:r>
    </w:p>
    <w:p>
      <w:pPr>
        <w:pStyle w:val="Heading1"/>
      </w:pPr>
      <w:r>
        <w:t>Section 6. Funder relationships</w:t>
      </w:r>
    </w:p>
    <w:p>
      <w:r>
        <w:t>The last section is the one most checklists leave out. A complete file gets you considered. A relationship gets you read. These rows are about whether there is a door, whether anyone has walked through it, and whether you can hold a conversation when a funder wants one.</w:t>
      </w:r>
    </w:p>
    <w:tbl>
      <w:tblPr>
        <w:tblStyle w:val="TableGrid"/>
        <w:tblW w:type="dxa" w:w="10080"/>
        <w:jc w:val="center"/>
        <w:tblLayout w:type="fixed"/>
        <w:tblLook w:firstColumn="1" w:firstRow="1" w:lastColumn="0" w:lastRow="0" w:noHBand="0" w:noVBand="1" w:val="04A0"/>
      </w:tblPr>
      <w:tblGrid>
        <w:gridCol w:w="487"/>
        <w:gridCol w:w="3221"/>
        <w:gridCol w:w="3650"/>
        <w:gridCol w:w="1216"/>
        <w:gridCol w:w="1506"/>
      </w:tblGrid>
      <w:tr>
        <w:trPr>
          <w:tblHeader w:val="true"/>
        </w:trPr>
        <w:tc>
          <w:tcPr>
            <w:tcW w:type="dxa" w:w="487"/>
            <w:shd w:val="clear" w:color="auto" w:fill="1F3556"/>
          </w:tcPr>
          <w:p>
            <w:pPr>
              <w:spacing w:after="40" w:before="40"/>
            </w:pPr>
            <w:r>
              <w:rPr>
                <w:b/>
                <w:color w:val="FFFFFF"/>
                <w:sz w:val="18"/>
              </w:rPr>
            </w:r>
          </w:p>
        </w:tc>
        <w:tc>
          <w:tcPr>
            <w:tcW w:type="dxa" w:w="3221"/>
            <w:shd w:val="clear" w:color="auto" w:fill="1F3556"/>
          </w:tcPr>
          <w:p>
            <w:pPr>
              <w:spacing w:after="40" w:before="40"/>
            </w:pPr>
            <w:r>
              <w:rPr>
                <w:b/>
                <w:color w:val="FFFFFF"/>
                <w:sz w:val="18"/>
              </w:rPr>
              <w:t>Item</w:t>
            </w:r>
          </w:p>
        </w:tc>
        <w:tc>
          <w:tcPr>
            <w:tcW w:type="dxa" w:w="3650"/>
            <w:shd w:val="clear" w:color="auto" w:fill="1F3556"/>
          </w:tcPr>
          <w:p>
            <w:pPr>
              <w:spacing w:after="40" w:before="40"/>
            </w:pPr>
            <w:r>
              <w:rPr>
                <w:b/>
                <w:color w:val="FFFFFF"/>
                <w:sz w:val="18"/>
              </w:rPr>
              <w:t>What it proves to a funder</w:t>
            </w:r>
          </w:p>
        </w:tc>
        <w:tc>
          <w:tcPr>
            <w:tcW w:type="dxa" w:w="1216"/>
            <w:shd w:val="clear" w:color="auto" w:fill="1F3556"/>
          </w:tcPr>
          <w:p>
            <w:pPr>
              <w:spacing w:after="40" w:before="40"/>
            </w:pPr>
            <w:r>
              <w:rPr>
                <w:b/>
                <w:color w:val="FFFFFF"/>
                <w:sz w:val="18"/>
              </w:rPr>
              <w:t>Status</w:t>
            </w:r>
          </w:p>
        </w:tc>
        <w:tc>
          <w:tcPr>
            <w:tcW w:type="dxa" w:w="1506"/>
            <w:shd w:val="clear" w:color="auto" w:fill="1F3556"/>
          </w:tcPr>
          <w:p>
            <w:pPr>
              <w:spacing w:after="40" w:before="40"/>
            </w:pPr>
            <w:r>
              <w:rPr>
                <w:b/>
                <w:color w:val="FFFFFF"/>
                <w:sz w:val="18"/>
              </w:rPr>
              <w:t>Owner and date verified</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Prospect list with each funder's stated acceptance policy recorded</w:t>
            </w:r>
          </w:p>
        </w:tc>
        <w:tc>
          <w:tcPr>
            <w:tcW w:type="dxa" w:w="3650"/>
          </w:tcPr>
          <w:p>
            <w:pPr>
              <w:spacing w:after="40" w:before="40"/>
            </w:pPr>
            <w:r>
              <w:rPr>
                <w:b w:val="0"/>
                <w:sz w:val="19"/>
              </w:rPr>
              <w:t>You know which doors are open before you tailor anything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Evidence saved for each acceptance check, with the date checked</w:t>
            </w:r>
          </w:p>
        </w:tc>
        <w:tc>
          <w:tcPr>
            <w:tcW w:type="dxa" w:w="3650"/>
          </w:tcPr>
          <w:p>
            <w:pPr>
              <w:spacing w:after="40" w:before="40"/>
            </w:pPr>
            <w:r>
              <w:rPr>
                <w:b w:val="0"/>
                <w:sz w:val="19"/>
              </w:rPr>
              <w:t>A policy read last year is not a policy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Route in identified for closed funders: introduction form, LOI, or open period</w:t>
            </w:r>
          </w:p>
        </w:tc>
        <w:tc>
          <w:tcPr>
            <w:tcW w:type="dxa" w:w="3650"/>
          </w:tcPr>
          <w:p>
            <w:pPr>
              <w:spacing w:after="40" w:before="40"/>
            </w:pPr>
            <w:r>
              <w:rPr>
                <w:b w:val="0"/>
                <w:sz w:val="19"/>
              </w:rPr>
              <w:t>Closed funders often leave a route open even when the box is checked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Contact log: who spoke to which funder, when, and about what</w:t>
            </w:r>
          </w:p>
        </w:tc>
        <w:tc>
          <w:tcPr>
            <w:tcW w:type="dxa" w:w="3650"/>
          </w:tcPr>
          <w:p>
            <w:pPr>
              <w:spacing w:after="40" w:before="40"/>
            </w:pPr>
            <w:r>
              <w:rPr>
                <w:b w:val="0"/>
                <w:sz w:val="19"/>
              </w:rPr>
              <w:t>The next conversation starts where the last one ended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Letter of inquiry ready, one to three pages</w:t>
            </w:r>
          </w:p>
        </w:tc>
        <w:tc>
          <w:tcPr>
            <w:tcW w:type="dxa" w:w="3650"/>
          </w:tcPr>
          <w:p>
            <w:pPr>
              <w:spacing w:after="40" w:before="40"/>
            </w:pPr>
            <w:r>
              <w:rPr>
                <w:b w:val="0"/>
                <w:sz w:val="19"/>
              </w:rPr>
              <w:t>The first contact is often a brief letter, accepted on a rolling basis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Board and staff introductions mapped to prospects</w:t>
            </w:r>
          </w:p>
        </w:tc>
        <w:tc>
          <w:tcPr>
            <w:tcW w:type="dxa" w:w="3650"/>
          </w:tcPr>
          <w:p>
            <w:pPr>
              <w:spacing w:after="40" w:before="40"/>
            </w:pPr>
            <w:r>
              <w:rPr>
                <w:b w:val="0"/>
                <w:sz w:val="19"/>
              </w:rPr>
              <w:t>A proposal is not the first time the funder hears of you</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Site visit pack: Form 990s, annual report, audited financials, current website</w:t>
            </w:r>
          </w:p>
        </w:tc>
        <w:tc>
          <w:tcPr>
            <w:tcW w:type="dxa" w:w="3650"/>
          </w:tcPr>
          <w:p>
            <w:pPr>
              <w:spacing w:after="40" w:before="40"/>
            </w:pPr>
            <w:r>
              <w:rPr>
                <w:b w:val="0"/>
                <w:sz w:val="19"/>
              </w:rPr>
              <w:t>Some funders review these before visiting</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Site visit rehearsed with more than one speaker prepared</w:t>
            </w:r>
          </w:p>
        </w:tc>
        <w:tc>
          <w:tcPr>
            <w:tcW w:type="dxa" w:w="3650"/>
          </w:tcPr>
          <w:p>
            <w:pPr>
              <w:spacing w:after="40" w:before="40"/>
            </w:pPr>
            <w:r>
              <w:rPr>
                <w:b w:val="0"/>
                <w:sz w:val="19"/>
              </w:rPr>
              <w:t>The chief executive is not the only voice in the room</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Reporting history for current and past funders, on time and complete</w:t>
            </w:r>
          </w:p>
        </w:tc>
        <w:tc>
          <w:tcPr>
            <w:tcW w:type="dxa" w:w="3650"/>
          </w:tcPr>
          <w:p>
            <w:pPr>
              <w:spacing w:after="40" w:before="40"/>
            </w:pPr>
            <w:r>
              <w:rPr>
                <w:b w:val="0"/>
                <w:sz w:val="19"/>
              </w:rPr>
              <w:t>Past funders would say yes again</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Decline feedback log, with what each funder said</w:t>
            </w:r>
          </w:p>
        </w:tc>
        <w:tc>
          <w:tcPr>
            <w:tcW w:type="dxa" w:w="3650"/>
          </w:tcPr>
          <w:p>
            <w:pPr>
              <w:spacing w:after="40" w:before="40"/>
            </w:pPr>
            <w:r>
              <w:rPr>
                <w:b w:val="0"/>
                <w:sz w:val="19"/>
              </w:rPr>
              <w:t>Each no changes the next application instead of being repeated</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Renewal and reporting calendar for live awards</w:t>
            </w:r>
          </w:p>
        </w:tc>
        <w:tc>
          <w:tcPr>
            <w:tcW w:type="dxa" w:w="3650"/>
          </w:tcPr>
          <w:p>
            <w:pPr>
              <w:spacing w:after="40" w:before="40"/>
            </w:pPr>
            <w:r>
              <w:rPr>
                <w:b w:val="0"/>
                <w:sz w:val="19"/>
              </w:rPr>
              <w:t>Nothing is missed while the team chases the next opportunity</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r>
        <w:tc>
          <w:tcPr>
            <w:tcW w:type="dxa" w:w="487"/>
          </w:tcPr>
          <w:p>
            <w:pPr>
              <w:spacing w:after="40" w:before="40"/>
              <w:jc w:val="center"/>
            </w:pPr>
            <w:r>
              <w:rPr>
                <w:rFonts w:ascii="Segoe UI Symbol" w:hAnsi="Segoe UI Symbol" w:cs="Segoe UI Symbol" w:eastAsia="Segoe UI Symbol"/>
                <w:b w:val="0"/>
                <w:sz w:val="24"/>
              </w:rPr>
              <w:t>☐</w:t>
            </w:r>
          </w:p>
        </w:tc>
        <w:tc>
          <w:tcPr>
            <w:tcW w:type="dxa" w:w="3221"/>
          </w:tcPr>
          <w:p>
            <w:pPr>
              <w:spacing w:after="40" w:before="40"/>
            </w:pPr>
            <w:r>
              <w:rPr>
                <w:b w:val="0"/>
                <w:sz w:val="19"/>
              </w:rPr>
              <w:t>Named owner for funder communication</w:t>
            </w:r>
          </w:p>
        </w:tc>
        <w:tc>
          <w:tcPr>
            <w:tcW w:type="dxa" w:w="3650"/>
          </w:tcPr>
          <w:p>
            <w:pPr>
              <w:spacing w:after="40" w:before="40"/>
            </w:pPr>
            <w:r>
              <w:rPr>
                <w:b w:val="0"/>
                <w:sz w:val="19"/>
              </w:rPr>
              <w:t>Someone is accountable for the relationship between deadlines</w:t>
            </w:r>
          </w:p>
        </w:tc>
        <w:tc>
          <w:tcPr>
            <w:tcW w:type="dxa" w:w="1216"/>
            <w:shd w:val="clear" w:color="auto" w:fill="FFF6E0"/>
          </w:tcPr>
          <w:p>
            <w:pPr>
              <w:spacing w:after="40" w:before="40"/>
            </w:pPr>
            <w:r>
              <w:rPr>
                <w:b w:val="0"/>
                <w:color w:val="808080"/>
                <w:sz w:val="19"/>
              </w:rPr>
              <w:t>__________</w:t>
            </w:r>
          </w:p>
        </w:tc>
        <w:tc>
          <w:tcPr>
            <w:tcW w:type="dxa" w:w="1506"/>
            <w:shd w:val="clear" w:color="auto" w:fill="FFF6E0"/>
          </w:tcPr>
          <w:p>
            <w:pPr>
              <w:spacing w:after="40" w:before="40"/>
            </w:pPr>
            <w:r>
              <w:rPr>
                <w:b w:val="0"/>
                <w:color w:val="808080"/>
                <w:sz w:val="19"/>
              </w:rPr>
              <w:t>__________</w:t>
            </w:r>
          </w:p>
        </w:tc>
      </w:tr>
    </w:tbl>
    <w:p>
      <w:pPr>
        <w:pStyle w:val="GCCaption"/>
      </w:pPr>
    </w:p>
    <w:p>
      <w:r>
        <w:t>Site visit practice shows how closely funders test this. The Napa Valley Community Foundation tells nonprofits that visits typically last between 60 and 90 minutes, usually with the Executive Director, and that reviewers study IRS Form 990s, annual reports or audited financials and website material before visiting (Napa Valley Community Foundation, Accessed 2026-09-22). The same guidance tells nonprofits to expect detailed questions about operating budget, program budgets, sources of funding and pending grant applications, and states plainly: "We won't make any promises about funding" (Napa Valley Community Foundation, Accessed 2026-09-22). A team whose file matches its public record walks into that meeting with an advantage.</w:t>
      </w:r>
    </w:p>
    <w:p>
      <w:r>
        <w:t>Check the door before you tailor the package. Candid found that of the 112,733 private foundations that filed for fiscal year end 2023, 71 percent checked the preselected-only box, which leaves 29 percent, or fewer than 33,000 foundations, open to new grantees on a narrow reading (Candid, 2025-10-01). Candid also notes that checking the box doesn't necessarily reflect a firmly fixed policy, as foundation staff may still consider unsolicited requests, and lists the routes those foundations still leave open: an introduction form on the website, letters of inquiry from which they invite full applications, specific program areas or limited periods when they open, a preliminary conversation, and, at community foundations, passing a request to a donor-advised fund donor (Candid, 2025-10-01). Candid's 2025 Foundation Giving Forecast Survey asked 522 private and community foundations whether they accepted unsolicited proposals, and 55 percent said they were willing to do so (Candid, 2025-10-01).</w:t>
      </w:r>
    </w:p>
    <w:p>
      <w:r>
        <w:t>Keep the length of the first contact honest. Northwestern University's foundation relations office states that the first contact with a foundation is often a brief one- to three-page letter of inquiry, which many foundations accept on a rolling basis (Northwestern University Foundation Relations, Accessed 2026-09-22). The Institute for Advanced Study describes a letter of inquiry as a condensed version of a full proposal, usually two to three pages and sometimes as little as one page, and instructs writers never to exceed a funder-specified page limit (Institute for Advanced Study, Accessed 2026-09-22).</w:t>
      </w:r>
    </w:p>
    <w:p>
      <w:r>
        <w:t>Ask for feedback, but do not build the plan around getting it. The Center for Effective Philanthropy reported that across the funders that surveyed their declined applicants, only about 50 percent of those declined applicants receive any sort of feedback from the foundation (Center for Effective Philanthropy, 2016-09-06), and gave the two reasons funders most frequently cite: many applications are far outside mission even when guidelines are clear on the web, and there is not enough staff time (Center for Effective Philanthropy, 2016-09-06).</w:t>
      </w:r>
    </w:p>
    <w:p>
      <w:pPr>
        <w:pStyle w:val="Heading1"/>
      </w:pPr>
      <w:r>
        <w:t>Scoring your readiness</w:t>
      </w:r>
    </w:p>
    <w:p>
      <w:r>
        <w:t>Count the rows in each section, count the ones marked Have, and write both numbers down. The point is not the percentage. It is that the sections score differently, and the low one tells you where the next month goes.</w:t>
      </w:r>
    </w:p>
    <w:tbl>
      <w:tblPr>
        <w:tblStyle w:val="TableGrid"/>
        <w:tblW w:type="dxa" w:w="10080"/>
        <w:tblLayout w:type="fixed"/>
        <w:tblLook w:firstColumn="1" w:firstRow="1" w:lastColumn="0" w:lastRow="0" w:noHBand="0" w:noVBand="1" w:val="04A0"/>
      </w:tblPr>
      <w:tblGrid>
        <w:gridCol w:w="2736"/>
        <w:gridCol w:w="1512"/>
        <w:gridCol w:w="1440"/>
        <w:gridCol w:w="1368"/>
        <w:gridCol w:w="3024"/>
      </w:tblGrid>
      <w:tr>
        <w:trPr>
          <w:tblHeader w:val="true"/>
        </w:trPr>
        <w:tc>
          <w:tcPr>
            <w:tcW w:type="dxa" w:w="2736"/>
            <w:shd w:val="clear" w:color="auto" w:fill="1F3556"/>
          </w:tcPr>
          <w:p>
            <w:pPr>
              <w:spacing w:after="40" w:before="40"/>
            </w:pPr>
            <w:r>
              <w:rPr>
                <w:b/>
                <w:color w:val="FFFFFF"/>
                <w:sz w:val="18"/>
              </w:rPr>
              <w:t>Section</w:t>
            </w:r>
          </w:p>
        </w:tc>
        <w:tc>
          <w:tcPr>
            <w:tcW w:type="dxa" w:w="1512"/>
            <w:shd w:val="clear" w:color="auto" w:fill="1F3556"/>
          </w:tcPr>
          <w:p>
            <w:pPr>
              <w:spacing w:after="40" w:before="40"/>
            </w:pPr>
            <w:r>
              <w:rPr>
                <w:b/>
                <w:color w:val="FFFFFF"/>
                <w:sz w:val="18"/>
              </w:rPr>
              <w:t>Rows marked Have</w:t>
            </w:r>
          </w:p>
        </w:tc>
        <w:tc>
          <w:tcPr>
            <w:tcW w:type="dxa" w:w="1440"/>
            <w:shd w:val="clear" w:color="auto" w:fill="1F3556"/>
          </w:tcPr>
          <w:p>
            <w:pPr>
              <w:spacing w:after="40" w:before="40"/>
            </w:pPr>
            <w:r>
              <w:rPr>
                <w:b/>
                <w:color w:val="FFFFFF"/>
                <w:sz w:val="18"/>
              </w:rPr>
              <w:t>Rows in section</w:t>
            </w:r>
          </w:p>
        </w:tc>
        <w:tc>
          <w:tcPr>
            <w:tcW w:type="dxa" w:w="1368"/>
            <w:shd w:val="clear" w:color="auto" w:fill="1F3556"/>
          </w:tcPr>
          <w:p>
            <w:pPr>
              <w:spacing w:after="40" w:before="40"/>
            </w:pPr>
            <w:r>
              <w:rPr>
                <w:b/>
                <w:color w:val="FFFFFF"/>
                <w:sz w:val="18"/>
              </w:rPr>
              <w:t>Share complete</w:t>
            </w:r>
          </w:p>
        </w:tc>
        <w:tc>
          <w:tcPr>
            <w:tcW w:type="dxa" w:w="3024"/>
            <w:shd w:val="clear" w:color="auto" w:fill="1F3556"/>
          </w:tcPr>
          <w:p>
            <w:pPr>
              <w:spacing w:after="40" w:before="40"/>
            </w:pPr>
            <w:r>
              <w:rPr>
                <w:b/>
                <w:color w:val="FFFFFF"/>
                <w:sz w:val="18"/>
              </w:rPr>
              <w:t>Top priority gap in this section</w:t>
            </w:r>
          </w:p>
        </w:tc>
      </w:tr>
      <w:tr>
        <w:tc>
          <w:tcPr>
            <w:tcW w:type="dxa" w:w="2736"/>
          </w:tcPr>
          <w:p>
            <w:pPr>
              <w:spacing w:after="40" w:before="40"/>
            </w:pPr>
            <w:r>
              <w:rPr>
                <w:b w:val="0"/>
                <w:sz w:val="19"/>
              </w:rPr>
              <w:t>1. Legal status and registrations</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2. Governance</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3. Finance</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4. Program and outcomes</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5. Documents and public record</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6. Funder relationships</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r>
        <w:tc>
          <w:tcPr>
            <w:tcW w:type="dxa" w:w="2736"/>
          </w:tcPr>
          <w:p>
            <w:pPr>
              <w:spacing w:after="40" w:before="40"/>
            </w:pPr>
            <w:r>
              <w:rPr>
                <w:b w:val="0"/>
                <w:sz w:val="19"/>
              </w:rPr>
              <w:t>Whole file</w:t>
            </w:r>
          </w:p>
        </w:tc>
        <w:tc>
          <w:tcPr>
            <w:tcW w:type="dxa" w:w="1512"/>
            <w:shd w:val="clear" w:color="auto" w:fill="FFF6E0"/>
          </w:tcPr>
          <w:p>
            <w:pPr>
              <w:spacing w:after="40" w:before="40"/>
            </w:pPr>
            <w:r>
              <w:rPr>
                <w:b w:val="0"/>
                <w:sz w:val="19"/>
              </w:rPr>
              <w:t>__________________</w:t>
            </w:r>
          </w:p>
        </w:tc>
        <w:tc>
          <w:tcPr>
            <w:tcW w:type="dxa" w:w="1440"/>
            <w:shd w:val="clear" w:color="auto" w:fill="FFF6E0"/>
          </w:tcPr>
          <w:p>
            <w:pPr>
              <w:spacing w:after="40" w:before="40"/>
            </w:pPr>
            <w:r>
              <w:rPr>
                <w:b w:val="0"/>
                <w:sz w:val="19"/>
              </w:rPr>
              <w:t>__________________</w:t>
            </w:r>
          </w:p>
        </w:tc>
        <w:tc>
          <w:tcPr>
            <w:tcW w:type="dxa" w:w="1368"/>
            <w:shd w:val="clear" w:color="auto" w:fill="FFF6E0"/>
          </w:tcPr>
          <w:p>
            <w:pPr>
              <w:spacing w:after="40" w:before="40"/>
            </w:pPr>
            <w:r>
              <w:rPr>
                <w:b w:val="0"/>
                <w:sz w:val="19"/>
              </w:rPr>
              <w:t>__________________</w:t>
            </w:r>
          </w:p>
        </w:tc>
        <w:tc>
          <w:tcPr>
            <w:tcW w:type="dxa" w:w="3024"/>
            <w:shd w:val="clear" w:color="auto" w:fill="FFF6E0"/>
          </w:tcPr>
          <w:p>
            <w:pPr>
              <w:spacing w:after="40" w:before="40"/>
            </w:pPr>
            <w:r>
              <w:rPr>
                <w:b w:val="0"/>
                <w:sz w:val="19"/>
              </w:rPr>
              <w:t>__________________________________</w:t>
            </w:r>
          </w:p>
        </w:tc>
      </w:tr>
    </w:tbl>
    <w:p>
      <w:pPr>
        <w:pStyle w:val="GCCaption"/>
      </w:pPr>
    </w:p>
    <w:p>
      <w:r>
        <w:t>Read the result this way. A low score in section 1 or 3 is a blocker: no amount of narrative fixes a lapsed registration or a missing audit. A low score in section 2 is usually a single board meeting away from fixed. A low score in section 4 means the project is not designed yet, whatever the deadline says. A low score in section 6 explains why strong applications keep losing.</w:t>
      </w:r>
    </w:p>
    <w:p>
      <w:pPr>
        <w:pStyle w:val="Heading1"/>
      </w:pPr>
      <w:r>
        <w:t>Gap plan</w:t>
      </w:r>
    </w:p>
    <w:p>
      <w:r>
        <w:t>Every row not marked Have goes here, with a name and a date. A gap with no owner is a gap you will find again next quarter in the same state.</w:t>
      </w:r>
    </w:p>
    <w:tbl>
      <w:tblPr>
        <w:tblStyle w:val="TableGrid"/>
        <w:tblW w:type="dxa" w:w="9648"/>
        <w:tblLayout w:type="fixed"/>
        <w:tblLook w:firstColumn="1" w:firstRow="1" w:lastColumn="0" w:lastRow="0" w:noHBand="0" w:noVBand="1" w:val="04A0"/>
      </w:tblPr>
      <w:tblGrid>
        <w:gridCol w:w="648"/>
        <w:gridCol w:w="2736"/>
        <w:gridCol w:w="3312"/>
        <w:gridCol w:w="1656"/>
        <w:gridCol w:w="1296"/>
      </w:tblGrid>
      <w:tr>
        <w:trPr>
          <w:tblHeader w:val="true"/>
        </w:trPr>
        <w:tc>
          <w:tcPr>
            <w:tcW w:type="dxa" w:w="648"/>
            <w:shd w:val="clear" w:color="auto" w:fill="1F3556"/>
          </w:tcPr>
          <w:p>
            <w:pPr>
              <w:spacing w:after="40" w:before="40"/>
            </w:pPr>
            <w:r>
              <w:rPr>
                <w:b/>
                <w:color w:val="FFFFFF"/>
                <w:sz w:val="18"/>
              </w:rPr>
              <w:t>Done</w:t>
            </w:r>
          </w:p>
        </w:tc>
        <w:tc>
          <w:tcPr>
            <w:tcW w:type="dxa" w:w="2736"/>
            <w:shd w:val="clear" w:color="auto" w:fill="1F3556"/>
          </w:tcPr>
          <w:p>
            <w:pPr>
              <w:spacing w:after="40" w:before="40"/>
            </w:pPr>
            <w:r>
              <w:rPr>
                <w:b/>
                <w:color w:val="FFFFFF"/>
                <w:sz w:val="18"/>
              </w:rPr>
              <w:t>Gap</w:t>
            </w:r>
          </w:p>
        </w:tc>
        <w:tc>
          <w:tcPr>
            <w:tcW w:type="dxa" w:w="3312"/>
            <w:shd w:val="clear" w:color="auto" w:fill="1F3556"/>
          </w:tcPr>
          <w:p>
            <w:pPr>
              <w:spacing w:after="40" w:before="40"/>
            </w:pPr>
            <w:r>
              <w:rPr>
                <w:b/>
                <w:color w:val="FFFFFF"/>
                <w:sz w:val="18"/>
              </w:rPr>
              <w:t>Why it matters to a funder</w:t>
            </w:r>
          </w:p>
        </w:tc>
        <w:tc>
          <w:tcPr>
            <w:tcW w:type="dxa" w:w="1656"/>
            <w:shd w:val="clear" w:color="auto" w:fill="1F3556"/>
          </w:tcPr>
          <w:p>
            <w:pPr>
              <w:spacing w:after="40" w:before="40"/>
            </w:pPr>
            <w:r>
              <w:rPr>
                <w:b/>
                <w:color w:val="FFFFFF"/>
                <w:sz w:val="18"/>
              </w:rPr>
              <w:t>Owner (role)</w:t>
            </w:r>
          </w:p>
        </w:tc>
        <w:tc>
          <w:tcPr>
            <w:tcW w:type="dxa" w:w="1296"/>
            <w:shd w:val="clear" w:color="auto" w:fill="1F3556"/>
          </w:tcPr>
          <w:p>
            <w:pPr>
              <w:spacing w:after="40" w:before="40"/>
            </w:pPr>
            <w:r>
              <w:rPr>
                <w:b/>
                <w:color w:val="FFFFFF"/>
                <w:sz w:val="18"/>
              </w:rPr>
              <w:t>Target date</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r>
        <w:tc>
          <w:tcPr>
            <w:tcW w:type="dxa" w:w="648"/>
          </w:tcPr>
          <w:p>
            <w:pPr>
              <w:spacing w:after="40" w:before="40"/>
            </w:pPr>
            <w:r>
              <w:rPr>
                <w:b w:val="0"/>
                <w:sz w:val="19"/>
              </w:rPr>
              <w:t>☐</w:t>
            </w:r>
          </w:p>
        </w:tc>
        <w:tc>
          <w:tcPr>
            <w:tcW w:type="dxa" w:w="2736"/>
            <w:shd w:val="clear" w:color="auto" w:fill="FFF6E0"/>
          </w:tcPr>
          <w:p>
            <w:pPr>
              <w:spacing w:after="40" w:before="40"/>
            </w:pPr>
            <w:r>
              <w:rPr>
                <w:b w:val="0"/>
                <w:sz w:val="19"/>
              </w:rPr>
              <w:t>__________________________________</w:t>
            </w:r>
          </w:p>
        </w:tc>
        <w:tc>
          <w:tcPr>
            <w:tcW w:type="dxa" w:w="3312"/>
            <w:shd w:val="clear" w:color="auto" w:fill="FFF6E0"/>
          </w:tcPr>
          <w:p>
            <w:pPr>
              <w:spacing w:after="40" w:before="40"/>
            </w:pPr>
            <w:r>
              <w:rPr>
                <w:b w:val="0"/>
                <w:sz w:val="19"/>
              </w:rPr>
              <w:t>__________________________________</w:t>
            </w:r>
          </w:p>
        </w:tc>
        <w:tc>
          <w:tcPr>
            <w:tcW w:type="dxa" w:w="1656"/>
            <w:shd w:val="clear" w:color="auto" w:fill="FFF6E0"/>
          </w:tcPr>
          <w:p>
            <w:pPr>
              <w:spacing w:after="40" w:before="40"/>
            </w:pPr>
            <w:r>
              <w:rPr>
                <w:b w:val="0"/>
                <w:sz w:val="19"/>
              </w:rPr>
              <w:t>__________________</w:t>
            </w:r>
          </w:p>
        </w:tc>
        <w:tc>
          <w:tcPr>
            <w:tcW w:type="dxa" w:w="1296"/>
            <w:shd w:val="clear" w:color="auto" w:fill="FFF6E0"/>
          </w:tcPr>
          <w:p>
            <w:pPr>
              <w:spacing w:after="40" w:before="40"/>
            </w:pPr>
            <w:r>
              <w:rPr>
                <w:b w:val="0"/>
                <w:sz w:val="19"/>
              </w:rPr>
              <w:t>__________________</w:t>
            </w:r>
          </w:p>
        </w:tc>
      </w:tr>
    </w:tbl>
    <w:p>
      <w:pPr>
        <w:pStyle w:val="GCCaption"/>
      </w:pPr>
    </w:p>
    <w:p>
      <w:r>
        <w:t>Treat the target dates as seriously as a funder deadline. Order a missing policy vote at the next board meeting. Request the determination letter scan from the files. Reconcile the project budget to the activities list. Confirm each prospect accepts new requests.</w:t>
      </w:r>
    </w:p>
    <w:p>
      <w:pPr>
        <w:pStyle w:val="Heading1"/>
      </w:pPr>
      <w:r>
        <w:t>When an item is missing at a deadline</w:t>
      </w:r>
    </w:p>
    <w:p>
      <w:r>
        <w:t>A gap is not automatically a stop. GrantStation advises that when an applicant lacks an item a funder requests, the applicant should contact the funder before submitting to confirm whether the application still meets requirements (GrantStation, Posted 2023-12). That advice matters most for new groups. A missing audit, for example, does not always end the conversation, but silence about it does.</w:t>
      </w:r>
    </w:p>
    <w:p>
      <w:r>
        <w:t>Three questions decide whether to ask or to wait. Is the missing item one the funder names in its own requirements, or one you added yourself. Can it be produced before the deadline without cutting the narrative in half. And would submitting without it spend a first impression you would rather keep. If the answer to the last question is yes, the better move is usually to write to the funder, ask the question, and aim at the next cycle with the file intact.</w:t>
      </w:r>
    </w:p>
    <w:p>
      <w:pPr>
        <w:pStyle w:val="Heading1"/>
      </w:pPr>
      <w:r>
        <w:t>Review rhythm</w:t>
      </w:r>
    </w:p>
    <w:tbl>
      <w:tblPr>
        <w:tblStyle w:val="TableGrid"/>
        <w:tblW w:type="dxa" w:w="10080"/>
        <w:tblLayout w:type="fixed"/>
        <w:tblLook w:firstColumn="1" w:firstRow="1" w:lastColumn="0" w:lastRow="0" w:noHBand="0" w:noVBand="1" w:val="04A0"/>
      </w:tblPr>
      <w:tblGrid>
        <w:gridCol w:w="2160"/>
        <w:gridCol w:w="5832"/>
        <w:gridCol w:w="2088"/>
      </w:tblGrid>
      <w:tr>
        <w:trPr>
          <w:tblHeader w:val="true"/>
        </w:trPr>
        <w:tc>
          <w:tcPr>
            <w:tcW w:type="dxa" w:w="2160"/>
            <w:shd w:val="clear" w:color="auto" w:fill="1F3556"/>
          </w:tcPr>
          <w:p>
            <w:pPr>
              <w:spacing w:after="40" w:before="40"/>
            </w:pPr>
            <w:r>
              <w:rPr>
                <w:b/>
                <w:color w:val="FFFFFF"/>
                <w:sz w:val="18"/>
              </w:rPr>
              <w:t>When</w:t>
            </w:r>
          </w:p>
        </w:tc>
        <w:tc>
          <w:tcPr>
            <w:tcW w:type="dxa" w:w="5832"/>
            <w:shd w:val="clear" w:color="auto" w:fill="1F3556"/>
          </w:tcPr>
          <w:p>
            <w:pPr>
              <w:spacing w:after="40" w:before="40"/>
            </w:pPr>
            <w:r>
              <w:rPr>
                <w:b/>
                <w:color w:val="FFFFFF"/>
                <w:sz w:val="18"/>
              </w:rPr>
              <w:t>What to check</w:t>
            </w:r>
          </w:p>
        </w:tc>
        <w:tc>
          <w:tcPr>
            <w:tcW w:type="dxa" w:w="2088"/>
            <w:shd w:val="clear" w:color="auto" w:fill="1F3556"/>
          </w:tcPr>
          <w:p>
            <w:pPr>
              <w:spacing w:after="40" w:before="40"/>
            </w:pPr>
            <w:r>
              <w:rPr>
                <w:b/>
                <w:color w:val="FFFFFF"/>
                <w:sz w:val="18"/>
              </w:rPr>
              <w:t>Who owns it (role)</w:t>
            </w:r>
          </w:p>
        </w:tc>
      </w:tr>
      <w:tr>
        <w:tc>
          <w:tcPr>
            <w:tcW w:type="dxa" w:w="2160"/>
          </w:tcPr>
          <w:p>
            <w:pPr>
              <w:spacing w:after="40" w:before="40"/>
            </w:pPr>
            <w:r>
              <w:rPr>
                <w:b w:val="0"/>
                <w:sz w:val="19"/>
              </w:rPr>
              <w:t>Every quarter</w:t>
            </w:r>
          </w:p>
        </w:tc>
        <w:tc>
          <w:tcPr>
            <w:tcW w:type="dxa" w:w="5832"/>
          </w:tcPr>
          <w:p>
            <w:pPr>
              <w:spacing w:after="40" w:before="40"/>
            </w:pPr>
            <w:r>
              <w:rPr>
                <w:b w:val="0"/>
                <w:sz w:val="19"/>
              </w:rPr>
              <w:t>Board list, officer roster, policies, prospect acceptance policies, contact log</w:t>
            </w:r>
          </w:p>
        </w:tc>
        <w:tc>
          <w:tcPr>
            <w:tcW w:type="dxa" w:w="2088"/>
            <w:shd w:val="clear" w:color="auto" w:fill="FFF6E0"/>
          </w:tcPr>
          <w:p>
            <w:pPr>
              <w:spacing w:after="40" w:before="40"/>
            </w:pPr>
            <w:r>
              <w:rPr>
                <w:b w:val="0"/>
                <w:sz w:val="19"/>
              </w:rPr>
              <w:t>__________________</w:t>
            </w:r>
          </w:p>
        </w:tc>
      </w:tr>
      <w:tr>
        <w:tc>
          <w:tcPr>
            <w:tcW w:type="dxa" w:w="2160"/>
          </w:tcPr>
          <w:p>
            <w:pPr>
              <w:spacing w:after="40" w:before="40"/>
            </w:pPr>
            <w:r>
              <w:rPr>
                <w:b w:val="0"/>
                <w:sz w:val="19"/>
              </w:rPr>
              <w:t>Every year, after the audit</w:t>
            </w:r>
          </w:p>
        </w:tc>
        <w:tc>
          <w:tcPr>
            <w:tcW w:type="dxa" w:w="5832"/>
          </w:tcPr>
          <w:p>
            <w:pPr>
              <w:spacing w:after="40" w:before="40"/>
            </w:pPr>
            <w:r>
              <w:rPr>
                <w:b w:val="0"/>
                <w:sz w:val="19"/>
              </w:rPr>
              <w:t>Audit or review, Form 990, operating budget, reserve position, single audit status</w:t>
            </w:r>
          </w:p>
        </w:tc>
        <w:tc>
          <w:tcPr>
            <w:tcW w:type="dxa" w:w="2088"/>
            <w:shd w:val="clear" w:color="auto" w:fill="FFF6E0"/>
          </w:tcPr>
          <w:p>
            <w:pPr>
              <w:spacing w:after="40" w:before="40"/>
            </w:pPr>
            <w:r>
              <w:rPr>
                <w:b w:val="0"/>
                <w:sz w:val="19"/>
              </w:rPr>
              <w:t>__________________</w:t>
            </w:r>
          </w:p>
        </w:tc>
      </w:tr>
      <w:tr>
        <w:tc>
          <w:tcPr>
            <w:tcW w:type="dxa" w:w="2160"/>
          </w:tcPr>
          <w:p>
            <w:pPr>
              <w:spacing w:after="40" w:before="40"/>
            </w:pPr>
            <w:r>
              <w:rPr>
                <w:b w:val="0"/>
                <w:sz w:val="19"/>
              </w:rPr>
              <w:t>Every year, on the registration date</w:t>
            </w:r>
          </w:p>
        </w:tc>
        <w:tc>
          <w:tcPr>
            <w:tcW w:type="dxa" w:w="5832"/>
          </w:tcPr>
          <w:p>
            <w:pPr>
              <w:spacing w:after="40" w:before="40"/>
            </w:pPr>
            <w:r>
              <w:rPr>
                <w:b w:val="0"/>
                <w:sz w:val="19"/>
              </w:rPr>
              <w:t>SAM.gov renewal, state charitable solicitation renewals, state annual report, insurance</w:t>
            </w:r>
          </w:p>
        </w:tc>
        <w:tc>
          <w:tcPr>
            <w:tcW w:type="dxa" w:w="2088"/>
            <w:shd w:val="clear" w:color="auto" w:fill="FFF6E0"/>
          </w:tcPr>
          <w:p>
            <w:pPr>
              <w:spacing w:after="40" w:before="40"/>
            </w:pPr>
            <w:r>
              <w:rPr>
                <w:b w:val="0"/>
                <w:sz w:val="19"/>
              </w:rPr>
              <w:t>__________________</w:t>
            </w:r>
          </w:p>
        </w:tc>
      </w:tr>
      <w:tr>
        <w:tc>
          <w:tcPr>
            <w:tcW w:type="dxa" w:w="2160"/>
          </w:tcPr>
          <w:p>
            <w:pPr>
              <w:spacing w:after="40" w:before="40"/>
            </w:pPr>
            <w:r>
              <w:rPr>
                <w:b w:val="0"/>
                <w:sz w:val="19"/>
              </w:rPr>
              <w:t>Before every application</w:t>
            </w:r>
          </w:p>
        </w:tc>
        <w:tc>
          <w:tcPr>
            <w:tcW w:type="dxa" w:w="5832"/>
          </w:tcPr>
          <w:p>
            <w:pPr>
              <w:spacing w:after="40" w:before="40"/>
            </w:pPr>
            <w:r>
              <w:rPr>
                <w:b w:val="0"/>
                <w:sz w:val="19"/>
              </w:rPr>
              <w:t>Determination letter scan, current budgets, need data year, staff resumes, letters of support</w:t>
            </w:r>
          </w:p>
        </w:tc>
        <w:tc>
          <w:tcPr>
            <w:tcW w:type="dxa" w:w="2088"/>
            <w:shd w:val="clear" w:color="auto" w:fill="FFF6E0"/>
          </w:tcPr>
          <w:p>
            <w:pPr>
              <w:spacing w:after="40" w:before="40"/>
            </w:pPr>
            <w:r>
              <w:rPr>
                <w:b w:val="0"/>
                <w:sz w:val="19"/>
              </w:rPr>
              <w:t>__________________</w:t>
            </w:r>
          </w:p>
        </w:tc>
      </w:tr>
      <w:tr>
        <w:tc>
          <w:tcPr>
            <w:tcW w:type="dxa" w:w="2160"/>
          </w:tcPr>
          <w:p>
            <w:pPr>
              <w:spacing w:after="40" w:before="40"/>
            </w:pPr>
            <w:r>
              <w:rPr>
                <w:b w:val="0"/>
                <w:sz w:val="19"/>
              </w:rPr>
              <w:t>After every decision</w:t>
            </w:r>
          </w:p>
        </w:tc>
        <w:tc>
          <w:tcPr>
            <w:tcW w:type="dxa" w:w="5832"/>
          </w:tcPr>
          <w:p>
            <w:pPr>
              <w:spacing w:after="40" w:before="40"/>
            </w:pPr>
            <w:r>
              <w:rPr>
                <w:b w:val="0"/>
                <w:sz w:val="19"/>
              </w:rPr>
              <w:t>Decline feedback log, contact log, what the funder said and what changes next time</w:t>
            </w:r>
          </w:p>
        </w:tc>
        <w:tc>
          <w:tcPr>
            <w:tcW w:type="dxa" w:w="2088"/>
            <w:shd w:val="clear" w:color="auto" w:fill="FFF6E0"/>
          </w:tcPr>
          <w:p>
            <w:pPr>
              <w:spacing w:after="40" w:before="40"/>
            </w:pPr>
            <w:r>
              <w:rPr>
                <w:b w:val="0"/>
                <w:sz w:val="19"/>
              </w:rPr>
              <w:t>__________________</w:t>
            </w:r>
          </w:p>
        </w:tc>
      </w:tr>
    </w:tbl>
    <w:p>
      <w:pPr>
        <w:pStyle w:val="GCCaption"/>
      </w:pPr>
    </w:p>
    <w:p>
      <w:r>
        <w:t>Name one owner for the update cycle. Shared ownership of a checklist means nobody opens it between deadlines, which is exactly when the work is cheap.</w:t>
      </w:r>
    </w:p>
    <w:p>
      <w:pPr>
        <w:pStyle w:val="Heading1"/>
      </w:pPr>
      <w:r>
        <w:t>Sources</w:t>
      </w:r>
    </w:p>
    <w:p>
      <w:r>
        <w:t>Candid, Foundation grant funding: Is your nonprofit ready?, 2024-03-25. Candid, Do foundations accept unsolicited requests for funds from nonprofits?, 2025-10-01. GrantStation, Grant Readiness Checklist, Posted 2023-12. Funding For Good, grant readiness assessment, 2025-06-06. IRS, Get an employer identification number, Accessed 2026-09-22. IRS, Form 1023 and 1023-EZ amount of user fee, Page dated 2026-06-28. IRS, Instructions for Form 1023-EZ, Rev. January 2025. IRS, Form 1023-EZ eligibility worksheet, Accessed 2026-09-22. IRS, Instructions for Form 1023, Rev. December 2024. IRS, Where's my application for tax-exempt status?, Page dated 2026-01-26. IRS, Grants to organizations, Page last reviewed 2026-06-28. SAM.gov, Entity Registration, Accessed 2026-09-22. Grants.gov, Applicant Registration, Accessed 2026-09-22. National Council of Nonprofits, Charitable Solicitation Registration, Accessed 2026-09-22. National Network of Fiscal Sponsors, Accessed 2026-09-22. Propel Nonprofits, A Board's Guide to Fiscal Sponsorship, Accessed 2026-09-22. Michigan Health Endowment Fund, 2026 RFP, Cycle 2. The Community Foundation, page dated 2026-05-12. Napa Valley Community Foundation, Accessed 2026-09-22. Northwestern University Foundation Relations, Accessed 2026-09-22. Institute for Advanced Study, Accessed 2026-09-22. Center for Effective Philanthropy, 2016-09-06. LegalClarity, citing 2 CFR 200.501, 2026-06-18.</w:t>
      </w:r>
    </w:p>
    <w:p>
      <w:pPr>
        <w:pStyle w:val="Heading1"/>
      </w:pPr>
      <w:r>
        <w:t>Reuse notes</w:t>
      </w:r>
    </w:p>
    <w:p>
      <w:r>
        <w:t>Save a clean, unticked copy of this file before you fill it for the first time and treat that copy as the master. Each quarter, duplicate the master, fill the cover block, work the six sections, then carry the unresolved rows into the gap plan. Keep the completed copies: the difference between this quarter's file and last quarter's is the only honest measure of whether readiness work is actually happening.</w:t>
      </w:r>
    </w:p>
    <w:p>
      <w:r>
        <w:t>Add rows where your funders ask for something this file does not list, and write the "What it proves to a funder" note yourself. A row without that note becomes a task nobody can prioritize.</w:t>
      </w:r>
    </w:p>
    <w:p>
      <w:r>
        <w:t>You are ready to write when every row has an owner, a current date, and a file location the team can open. The next application then starts with assembly instead of archaeology, and the writing answers the funder instead of explaining the paperwork.</w:t>
      </w:r>
    </w:p>
    <w:p>
      <w:r>
        <w:t>Free to use, copy and share. No attribution required, though a link is always welcome.</w:t>
      </w:r>
    </w:p>
    <w:p>
      <w:r>
        <w:t>More templates, worked examples and grant management tools: grantcue.com/blog</w:t>
      </w:r>
    </w:p>
    <w:p>
      <w:pPr>
        <w:pStyle w:val="GCMeta"/>
      </w:pPr>
      <w:r>
        <w:rPr>
          <w:b/>
        </w:rPr>
        <w:t>Source: https://www.grantcue.com/blog/grant-readiness-checklist | GrantCue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7F7F7F"/>
        <w:sz w:val="16"/>
      </w:rPr>
      <w:t>Grant Readiness Checklist  |  Organization: ____________________  |  Review date: ____________</w:t>
    </w:r>
  </w:p>
  <w:p>
    <w:pPr>
      <w:jc w:val="left"/>
    </w:pPr>
    <w:r>
      <w:rPr>
        <w:color w:val="7F7F7F"/>
        <w:sz w:val="16"/>
      </w:rPr>
      <w:t>Source: https://www.grantcue.com/blog/grant-readiness-checklist | GrantCue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556"/>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F35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35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pPr>
      <w:spacing w:after="40" w:before="0"/>
    </w:pPr>
    <w:rPr>
      <w:rFonts w:ascii="Calibri" w:hAnsi="Calibri"/>
      <w:b w:val="0"/>
      <w:i/>
      <w:color w:val="44546A"/>
      <w:sz w:val="26"/>
    </w:rPr>
  </w:style>
  <w:style w:type="paragraph" w:customStyle="1" w:styleId="GCMeta">
    <w:name w:val="GC Meta"/>
    <w:basedOn w:val="Normal"/>
    <w:pPr>
      <w:spacing w:after="200" w:before="0"/>
    </w:pPr>
    <w:rPr>
      <w:rFonts w:ascii="Calibri" w:hAnsi="Calibri"/>
      <w:b w:val="0"/>
      <w:i w:val="0"/>
      <w:color w:val="7F7F7F"/>
      <w:sz w:val="17"/>
    </w:rPr>
  </w:style>
  <w:style w:type="paragraph" w:customStyle="1" w:styleId="GCFill">
    <w:name w:val="GC Fill"/>
    <w:basedOn w:val="Normal"/>
    <w:pPr>
      <w:spacing w:after="80" w:before="0"/>
    </w:pPr>
    <w:rPr>
      <w:rFonts w:ascii="Calibri" w:hAnsi="Calibri"/>
      <w:b w:val="0"/>
      <w:i w:val="0"/>
      <w:color w:val="1F3556"/>
      <w:sz w:val="21"/>
    </w:rPr>
  </w:style>
  <w:style w:type="paragraph" w:customStyle="1" w:styleId="GCCaption">
    <w:name w:val="GC Caption"/>
    <w:basedOn w:val="Normal"/>
    <w:pPr>
      <w:spacing w:after="200" w:before="0"/>
    </w:pPr>
    <w:rPr>
      <w:rFonts w:ascii="Calibri" w:hAnsi="Calibri"/>
      <w:b w:val="0"/>
      <w:i/>
      <w:color w:val="7F7F7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Readiness Checklist</dc:title>
  <dc:subject>Grant readiness checklist: documents, governance, finance, program and funder relationships</dc:subject>
  <dc:creator>GrantCue</dc:creator>
  <cp:keywords/>
  <dc:description/>
  <cp:lastModifiedBy>GrantCue</cp:lastModifiedBy>
  <cp:revision>1</cp:revision>
  <dcterms:created xsi:type="dcterms:W3CDTF">2026-09-22T12:00:00Z</dcterms:created>
  <dcterms:modified xsi:type="dcterms:W3CDTF">2026-09-22T12:00:00Z</dcterms:modified>
  <cp:category/>
</cp:coreProperties>
</file>