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Grant Proposal: Annotated Worked Example</w:t>
      </w:r>
    </w:p>
    <w:p>
      <w:r>
        <w:rPr>
          <w:i/>
        </w:rPr>
        <w:t>Fictional example: Sedgewater Family Network, Sedgewater County, its schools, partners, the Corwin Lake Community Foundation and every figure are invented to show a complete proposal. People are named by title only. The margin notes explain what a reviewer would look for in each section. The budget, statement of need, logic model, evaluation plan, timeline and letter of intent for the same project are separate worked examples.</w:t>
      </w:r>
    </w:p>
    <w:p>
      <w:r>
        <w:t>Applicant: Sedgewater Family Network, 418 Linnet Street, Ossery Falls</w:t>
      </w:r>
    </w:p>
    <w:p>
      <w:r>
        <w:t>Project: Family Attendance Coaching Project</w:t>
      </w:r>
    </w:p>
    <w:p>
      <w:r>
        <w:t>Funder: Corwin Lake Community Foundation, Early Grades Fund</w:t>
      </w:r>
    </w:p>
    <w:p>
      <w:r>
        <w:t>Amount requested: $125,840</w:t>
      </w:r>
    </w:p>
    <w:p>
      <w:r>
        <w:t>Total project cost: $135,440</w:t>
      </w:r>
    </w:p>
    <w:p>
      <w:r>
        <w:t>Project period: July 1, 2027 to June 30, 2028</w:t>
      </w:r>
    </w:p>
    <w:p>
      <w:r>
        <w:t>Contact: Development Director, (555) 555-0142, grants@sedgewaterfamily.example</w:t>
      </w:r>
    </w:p>
    <w:p>
      <w:r>
        <w:t>Submitted: April 13, 2027</w:t>
      </w:r>
    </w:p>
    <w:p>
      <w:pPr>
        <w:pStyle w:val="Heading1"/>
      </w:pPr>
      <w:commentRangeStart w:id="0"/>
      <w:r>
        <w:t>1. Executive Summary</w:t>
      </w:r>
      <w:commentRangeEnd w:id="0"/>
      <w:r>
        <w:rPr>
          <w:rStyle w:val="CommentReference"/>
        </w:rPr>
        <w:commentReference w:id="0"/>
      </w:r>
    </w:p>
    <w:p>
      <w:r>
        <w:t>In 2025-26, 190 of the 612 students in kindergarten through third grade at Linnet Street Elementary and Ferrow Park Elementary in Ossery Falls, 31 percent, missed 18 or more days of school. Most of those absences were excused and had practical causes: a lost bus stop, a parent's 6:00 a.m. shift, untreated asthma or dental pain, a family between homes. Sedgewater Family Network requests $125,840 from the Early Grades Fund for the Family Attendance Coaching Project, a 12-month program running July 1, 2027 to June 30, 2028.</w:t>
      </w:r>
    </w:p>
    <w:p>
      <w:r>
        <w:t>Two part-time attendance coaches, one based at each school, will enroll 120 students who were chronically absent last year, screen each family for barriers, and stay in weekly or biweekly contact, with home visits, ride vouchers and referrals to the school nurse and the county health clinic. In a 2025-26 pilot at Linnet Street, 21 of 38 coached students (55 percent) finished the year below the chronic absence threshold, and their average days absent fell from 24.6 to 17.9.</w:t>
      </w:r>
    </w:p>
    <w:p>
      <w:r>
        <w:t>By June 30, 2028, at least 66 of the 120 students will finish the year below the threshold, enrolled students will miss an average of at least 5 fewer days than the year before, and 80 percent of families will have a completed support for the barrier they named. The project serves the Fund's priority that children "arrive at school ready and stay on track to read by the end of third grade."</w:t>
      </w:r>
    </w:p>
    <w:p>
      <w:r>
        <w:t>Sedgewater Family Network has worked with families in Sedgewater County since 2013 and has run the Family Resource Room inside Linnet Street Elementary since 2019. The total project cost is $135,440: our operating funds and space donated by the school district cover the other $9,600, and the district, our board and a reduced renewal request together fund a smaller continuing program from July 2028.</w:t>
      </w:r>
    </w:p>
    <w:p>
      <w:pPr>
        <w:pStyle w:val="Heading1"/>
      </w:pPr>
      <w:commentRangeStart w:id="1"/>
      <w:r>
        <w:t>2. Statement of Need</w:t>
      </w:r>
      <w:commentRangeEnd w:id="1"/>
      <w:r>
        <w:rPr>
          <w:rStyle w:val="CommentReference"/>
        </w:rPr>
        <w:commentReference w:id="1"/>
      </w:r>
    </w:p>
    <w:p>
      <w:r>
        <w:t>In the 2025-26 school year, 190 of the 612 students in kindergarten through third grade at the two schools, 31 percent, were chronically absent: they missed 10 percent or more of their enrolled days, 18 or more days of a 180-day year (Sedgewater County Schools attendance records, 2025-26). That is more than double the state K-3 average of 14 percent and above the district's 20 percent, and it has risen from 24 percent in 2023-24 (state education department report cards, 2025-26). In spring 2026, 38 percent of third graders at the two schools met the state reading standard, against 52 percent statewide.</w:t>
      </w:r>
    </w:p>
    <w:p>
      <w:r>
        <w:t>Most of these absences are not truancy: 71 percent were excused. In the intake screens from our 2025-26 pilot, families named transportation (17 of 38 families), a parent's early work shift (12), a child's untreated health problem (11) and unstable housing (7). Three changes made the problem worse. The district widened the elementary walk zone in August 2025, taking bus service from 140 K-3 students at the two schools. The schools' two family liaisons, paid for by federal pandemic relief funds, ended in September 2024. And our pilot's one-year grant ended in June 2026.</w:t>
      </w:r>
    </w:p>
    <w:p>
      <w:r>
        <w:t>The current responses do not reach these children. Automated letters go out at 5, 10 and 15 absences; the county's attendance referral covers only unexcused absences, from the 15th; one district social worker serves four schools and 1,700 students. No one is assigned to find out, in the first weeks, why a six-year-old is missing school and to fix the reason. That is the gap this project fills.</w:t>
      </w:r>
    </w:p>
    <w:p>
      <w:pPr>
        <w:pStyle w:val="Heading1"/>
      </w:pPr>
      <w:commentRangeStart w:id="2"/>
      <w:r>
        <w:t>3. Goals &amp; Objectives</w:t>
      </w:r>
      <w:commentRangeEnd w:id="2"/>
      <w:r>
        <w:rPr>
          <w:rStyle w:val="CommentReference"/>
        </w:rPr>
        <w:commentReference w:id="2"/>
      </w:r>
    </w:p>
    <w:p>
      <w:r>
        <w:t>Goal: Students in kindergarten through third grade at Linnet Street and Ferrow Park Elementary attend school regularly enough to build early reading skills.</w:t>
      </w:r>
    </w:p>
    <w:p>
      <w:r>
        <w:t>Objective 1: By November 15, 2027, 120 students in grades K to 3 (60 at each school) who were chronically absent in 2026-27, or who missed 5 or more days by October 15, 2027, will be enrolled in coaching with a completed barrier screen, as recorded in the coaching case log.</w:t>
      </w:r>
    </w:p>
    <w:p>
      <w:r>
        <w:t>Objective 2: By June 30, 2028, at least 66 of the 120 enrolled students (55 percent) will finish the 2027-28 school year missing fewer than 10 percent of their enrolled days, and enrolled students will miss an average of at least 5 fewer days than in 2026-27, as measured by district attendance records.</w:t>
      </w:r>
    </w:p>
    <w:p>
      <w:r>
        <w:t>Objective 3: By June 30, 2028, at least 80 percent of families who name a barrier at intake will have at least one completed support or referral for that barrier, as recorded in the case log and confirmed by the receiving provider.</w:t>
      </w:r>
    </w:p>
    <w:p>
      <w:pPr>
        <w:pStyle w:val="Heading1"/>
      </w:pPr>
      <w:commentRangeStart w:id="3"/>
      <w:r>
        <w:t>4. Project Description</w:t>
      </w:r>
      <w:commentRangeEnd w:id="3"/>
      <w:r>
        <w:rPr>
          <w:rStyle w:val="CommentReference"/>
        </w:rPr>
        <w:commentReference w:id="3"/>
      </w:r>
    </w:p>
    <w:p>
      <w:pPr>
        <w:pStyle w:val="Heading2"/>
      </w:pPr>
      <w:r>
        <w:t>Who is served, and how they are found</w:t>
      </w:r>
    </w:p>
    <w:p>
      <w:r>
        <w:t>Each month from August, the Program Manager pulls the district's attendance file and lists every student in grades K to 3 at the two schools who was chronically absent in 2026-27, plus any student who misses 5 or more days by October 15, 2027. The coaches contact those families by phone, text and a visit, in English or Spanish, until each school has 60 students enrolled. Families take part voluntarily and consent in writing to the coach seeing their child's attendance.</w:t>
      </w:r>
    </w:p>
    <w:p>
      <w:pPr>
        <w:pStyle w:val="Heading2"/>
      </w:pPr>
      <w:r>
        <w:t>The coaching model</w:t>
      </w:r>
    </w:p>
    <w:p>
      <w:r>
        <w:t>Within two weeks of enrollment, the coach completes a 12-item barrier screen with the parent or guardian. Students who missed the most days get weekly contact and a monthly home visit; the rest get a check-in every two weeks. The coach works on the barrier the family names: a ride voucher through the county's dial-a-ride service or a local cab company when a bus stop or walking route fails, a referral to the school nurse or the county health clinic for asthma, dental or vision problems, a call to the housing help line, or a plan for mornings when a parent's shift starts before school. Each family receives an attendance kit with an alarm clock, a picture chart of the morning routine and a school-calendar magnet. The coaches expect at least 2,000 contacts and 240 home visits across the year.</w:t>
      </w:r>
    </w:p>
    <w:p>
      <w:pPr>
        <w:pStyle w:val="Heading2"/>
      </w:pPr>
      <w:r>
        <w:t>Working with the schools</w:t>
      </w:r>
    </w:p>
    <w:p>
      <w:r>
        <w:t>At each school, an attendance team of the principal, the counselor, the nurse and the coach meets every two weeks from September to May to review the students who are slipping and agree who does what. Four family attendance nights, in October, December, February and April, explain the 18-day threshold, show families how to check their child's count, and connect them with the clinic and the transit service.</w:t>
      </w:r>
    </w:p>
    <w:p>
      <w:pPr>
        <w:pStyle w:val="Heading2"/>
      </w:pPr>
      <w:r>
        <w:t>Staffing plan</w:t>
      </w:r>
    </w:p>
    <w:tbl>
      <w:tblPr>
        <w:tblStyle w:val="TableGrid"/>
        <w:tblW w:type="auto" w:w="0"/>
        <w:tblLayout w:type="fixed"/>
        <w:tblLook w:firstColumn="1" w:firstRow="1" w:lastColumn="0" w:lastRow="0" w:noHBand="0" w:noVBand="1" w:val="04A0"/>
      </w:tblPr>
      <w:tblGrid>
        <w:gridCol w:w="3094"/>
        <w:gridCol w:w="555"/>
        <w:gridCol w:w="1625"/>
        <w:gridCol w:w="3364"/>
      </w:tblGrid>
      <w:tr>
        <w:trPr>
          <w:cantSplit w:val="true"/>
          <w:tblHeader w:val="true"/>
        </w:trPr>
        <w:tc>
          <w:tcPr>
            <w:tcW w:type="dxa" w:w="3095"/>
            <w:shd w:val="clear" w:color="auto" w:fill="DCE6F1"/>
          </w:tcPr>
          <w:p>
            <w:pPr>
              <w:spacing w:after="40" w:before="40" w:line="240" w:lineRule="auto"/>
            </w:pPr>
            <w:r>
              <w:rPr>
                <w:b/>
                <w:sz w:val="18"/>
              </w:rPr>
              <w:t>Position</w:t>
            </w:r>
          </w:p>
        </w:tc>
        <w:tc>
          <w:tcPr>
            <w:tcW w:type="dxa" w:w="555"/>
            <w:shd w:val="clear" w:color="auto" w:fill="DCE6F1"/>
          </w:tcPr>
          <w:p>
            <w:pPr>
              <w:spacing w:after="40" w:before="40" w:line="240" w:lineRule="auto"/>
            </w:pPr>
            <w:r>
              <w:rPr>
                <w:b/>
                <w:sz w:val="18"/>
              </w:rPr>
              <w:t>FTE</w:t>
            </w:r>
          </w:p>
        </w:tc>
        <w:tc>
          <w:tcPr>
            <w:tcW w:type="dxa" w:w="1626"/>
            <w:shd w:val="clear" w:color="auto" w:fill="DCE6F1"/>
          </w:tcPr>
          <w:p>
            <w:pPr>
              <w:spacing w:after="40" w:before="40" w:line="240" w:lineRule="auto"/>
            </w:pPr>
            <w:r>
              <w:rPr>
                <w:b/>
                <w:sz w:val="18"/>
              </w:rPr>
              <w:t>Funded by</w:t>
            </w:r>
          </w:p>
        </w:tc>
        <w:tc>
          <w:tcPr>
            <w:tcW w:type="dxa" w:w="3364"/>
            <w:shd w:val="clear" w:color="auto" w:fill="DCE6F1"/>
          </w:tcPr>
          <w:p>
            <w:pPr>
              <w:spacing w:after="40" w:before="40" w:line="240" w:lineRule="auto"/>
            </w:pPr>
            <w:r>
              <w:rPr>
                <w:b/>
                <w:sz w:val="18"/>
              </w:rPr>
              <w:t>Role</w:t>
            </w:r>
          </w:p>
        </w:tc>
      </w:tr>
      <w:tr>
        <w:trPr>
          <w:cantSplit w:val="true"/>
        </w:trPr>
        <w:tc>
          <w:tcPr>
            <w:tcW w:type="dxa" w:w="3095"/>
          </w:tcPr>
          <w:p>
            <w:pPr>
              <w:spacing w:after="40" w:before="40" w:line="240" w:lineRule="auto"/>
            </w:pPr>
            <w:r>
              <w:rPr>
                <w:sz w:val="18"/>
              </w:rPr>
              <w:t>Attendance Coach, Linnet Street Elementary</w:t>
            </w:r>
          </w:p>
        </w:tc>
        <w:tc>
          <w:tcPr>
            <w:tcW w:type="dxa" w:w="555"/>
          </w:tcPr>
          <w:p>
            <w:pPr>
              <w:spacing w:after="40" w:before="40" w:line="240" w:lineRule="auto"/>
            </w:pPr>
            <w:r>
              <w:rPr>
                <w:sz w:val="18"/>
              </w:rPr>
              <w:t>0.75</w:t>
            </w:r>
          </w:p>
        </w:tc>
        <w:tc>
          <w:tcPr>
            <w:tcW w:type="dxa" w:w="1626"/>
          </w:tcPr>
          <w:p>
            <w:pPr>
              <w:spacing w:after="40" w:before="40" w:line="240" w:lineRule="auto"/>
            </w:pPr>
            <w:r>
              <w:rPr>
                <w:sz w:val="18"/>
              </w:rPr>
              <w:t>This grant</w:t>
            </w:r>
          </w:p>
        </w:tc>
        <w:tc>
          <w:tcPr>
            <w:tcW w:type="dxa" w:w="3364"/>
          </w:tcPr>
          <w:p>
            <w:pPr>
              <w:spacing w:after="40" w:before="40" w:line="240" w:lineRule="auto"/>
            </w:pPr>
            <w:r>
              <w:rPr>
                <w:sz w:val="18"/>
              </w:rPr>
              <w:t>Caseload of 60: outreach, barrier screens, coaching, home visits, vouchers, referrals. Held by the 2025-26 pilot coach, who is bilingual</w:t>
            </w:r>
          </w:p>
        </w:tc>
      </w:tr>
      <w:tr>
        <w:trPr>
          <w:cantSplit w:val="true"/>
        </w:trPr>
        <w:tc>
          <w:tcPr>
            <w:tcW w:type="dxa" w:w="3095"/>
          </w:tcPr>
          <w:p>
            <w:pPr>
              <w:spacing w:after="40" w:before="40" w:line="240" w:lineRule="auto"/>
            </w:pPr>
            <w:r>
              <w:rPr>
                <w:sz w:val="18"/>
              </w:rPr>
              <w:t>Attendance Coach, Ferrow Park Elementary</w:t>
            </w:r>
          </w:p>
        </w:tc>
        <w:tc>
          <w:tcPr>
            <w:tcW w:type="dxa" w:w="555"/>
          </w:tcPr>
          <w:p>
            <w:pPr>
              <w:spacing w:after="40" w:before="40" w:line="240" w:lineRule="auto"/>
            </w:pPr>
            <w:r>
              <w:rPr>
                <w:sz w:val="18"/>
              </w:rPr>
              <w:t>0.75</w:t>
            </w:r>
          </w:p>
        </w:tc>
        <w:tc>
          <w:tcPr>
            <w:tcW w:type="dxa" w:w="1626"/>
          </w:tcPr>
          <w:p>
            <w:pPr>
              <w:spacing w:after="40" w:before="40" w:line="240" w:lineRule="auto"/>
            </w:pPr>
            <w:r>
              <w:rPr>
                <w:sz w:val="18"/>
              </w:rPr>
              <w:t>This grant</w:t>
            </w:r>
          </w:p>
        </w:tc>
        <w:tc>
          <w:tcPr>
            <w:tcW w:type="dxa" w:w="3364"/>
          </w:tcPr>
          <w:p>
            <w:pPr>
              <w:spacing w:after="40" w:before="40" w:line="240" w:lineRule="auto"/>
            </w:pPr>
            <w:r>
              <w:rPr>
                <w:sz w:val="18"/>
              </w:rPr>
              <w:t>The same role; to be hired in July 2027, bilingual in English and Spanish preferred</w:t>
            </w:r>
          </w:p>
        </w:tc>
      </w:tr>
      <w:tr>
        <w:trPr>
          <w:cantSplit w:val="true"/>
        </w:trPr>
        <w:tc>
          <w:tcPr>
            <w:tcW w:type="dxa" w:w="3095"/>
          </w:tcPr>
          <w:p>
            <w:pPr>
              <w:spacing w:after="40" w:before="40" w:line="240" w:lineRule="auto"/>
            </w:pPr>
            <w:r>
              <w:rPr>
                <w:sz w:val="18"/>
              </w:rPr>
              <w:t>Program Manager</w:t>
            </w:r>
          </w:p>
        </w:tc>
        <w:tc>
          <w:tcPr>
            <w:tcW w:type="dxa" w:w="555"/>
          </w:tcPr>
          <w:p>
            <w:pPr>
              <w:spacing w:after="40" w:before="40" w:line="240" w:lineRule="auto"/>
            </w:pPr>
            <w:r>
              <w:rPr>
                <w:sz w:val="18"/>
              </w:rPr>
              <w:t>0.15</w:t>
            </w:r>
          </w:p>
        </w:tc>
        <w:tc>
          <w:tcPr>
            <w:tcW w:type="dxa" w:w="1626"/>
          </w:tcPr>
          <w:p>
            <w:pPr>
              <w:spacing w:after="40" w:before="40" w:line="240" w:lineRule="auto"/>
            </w:pPr>
            <w:r>
              <w:rPr>
                <w:sz w:val="18"/>
              </w:rPr>
              <w:t>This grant</w:t>
            </w:r>
          </w:p>
        </w:tc>
        <w:tc>
          <w:tcPr>
            <w:tcW w:type="dxa" w:w="3364"/>
          </w:tcPr>
          <w:p>
            <w:pPr>
              <w:spacing w:after="40" w:before="40" w:line="240" w:lineRule="auto"/>
            </w:pPr>
            <w:r>
              <w:rPr>
                <w:sz w:val="18"/>
              </w:rPr>
              <w:t>Supervises the coaches, leads both attendance teams, runs the monthly data review and the evaluation data</w:t>
            </w:r>
          </w:p>
        </w:tc>
      </w:tr>
      <w:tr>
        <w:trPr>
          <w:cantSplit w:val="true"/>
        </w:trPr>
        <w:tc>
          <w:tcPr>
            <w:tcW w:type="dxa" w:w="3095"/>
          </w:tcPr>
          <w:p>
            <w:pPr>
              <w:spacing w:after="40" w:before="40" w:line="240" w:lineRule="auto"/>
            </w:pPr>
            <w:r>
              <w:rPr>
                <w:sz w:val="18"/>
              </w:rPr>
              <w:t>Executive Director</w:t>
            </w:r>
          </w:p>
        </w:tc>
        <w:tc>
          <w:tcPr>
            <w:tcW w:type="dxa" w:w="555"/>
          </w:tcPr>
          <w:p>
            <w:pPr>
              <w:spacing w:after="40" w:before="40" w:line="240" w:lineRule="auto"/>
            </w:pPr>
            <w:r>
              <w:rPr>
                <w:sz w:val="18"/>
              </w:rPr>
              <w:t>0.05</w:t>
            </w:r>
          </w:p>
        </w:tc>
        <w:tc>
          <w:tcPr>
            <w:tcW w:type="dxa" w:w="1626"/>
          </w:tcPr>
          <w:p>
            <w:pPr>
              <w:spacing w:after="40" w:before="40" w:line="240" w:lineRule="auto"/>
            </w:pPr>
            <w:r>
              <w:rPr>
                <w:sz w:val="18"/>
              </w:rPr>
              <w:t>Operating funds (match)</w:t>
            </w:r>
          </w:p>
        </w:tc>
        <w:tc>
          <w:tcPr>
            <w:tcW w:type="dxa" w:w="3364"/>
          </w:tcPr>
          <w:p>
            <w:pPr>
              <w:spacing w:after="40" w:before="40" w:line="240" w:lineRule="auto"/>
            </w:pPr>
            <w:r>
              <w:rPr>
                <w:sz w:val="18"/>
              </w:rPr>
              <w:t>District partnership and the 2028-29 budget request</w:t>
            </w:r>
          </w:p>
        </w:tc>
      </w:tr>
      <w:tr>
        <w:trPr>
          <w:cantSplit w:val="true"/>
        </w:trPr>
        <w:tc>
          <w:tcPr>
            <w:tcW w:type="dxa" w:w="3095"/>
          </w:tcPr>
          <w:p>
            <w:pPr>
              <w:spacing w:after="40" w:before="40" w:line="240" w:lineRule="auto"/>
            </w:pPr>
            <w:r>
              <w:rPr>
                <w:sz w:val="18"/>
              </w:rPr>
              <w:t>Evaluator, North Basin State University Center for Community Research</w:t>
            </w:r>
          </w:p>
        </w:tc>
        <w:tc>
          <w:tcPr>
            <w:tcW w:type="dxa" w:w="555"/>
          </w:tcPr>
          <w:p>
            <w:pPr>
              <w:spacing w:after="40" w:before="40" w:line="240" w:lineRule="auto"/>
            </w:pPr>
            <w:r>
              <w:rPr>
                <w:sz w:val="18"/>
              </w:rPr>
              <w:t>56 hours</w:t>
            </w:r>
          </w:p>
        </w:tc>
        <w:tc>
          <w:tcPr>
            <w:tcW w:type="dxa" w:w="1626"/>
          </w:tcPr>
          <w:p>
            <w:pPr>
              <w:spacing w:after="40" w:before="40" w:line="240" w:lineRule="auto"/>
            </w:pPr>
            <w:r>
              <w:rPr>
                <w:sz w:val="18"/>
              </w:rPr>
              <w:t>This grant (contract)</w:t>
            </w:r>
          </w:p>
        </w:tc>
        <w:tc>
          <w:tcPr>
            <w:tcW w:type="dxa" w:w="3364"/>
          </w:tcPr>
          <w:p>
            <w:pPr>
              <w:spacing w:after="40" w:before="40" w:line="240" w:lineRule="auto"/>
            </w:pPr>
            <w:r>
              <w:rPr>
                <w:sz w:val="18"/>
              </w:rPr>
              <w:t>Data matching, midyear and year-end analysis, outcome memos</w:t>
            </w:r>
          </w:p>
        </w:tc>
      </w:tr>
    </w:tbl>
    <w:p>
      <w:pPr>
        <w:spacing w:after="0" w:before="0" w:line="120" w:lineRule="exact"/>
      </w:pPr>
    </w:p>
    <w:p>
      <w:pPr>
        <w:pStyle w:val="Heading2"/>
      </w:pPr>
      <w:r>
        <w:t>Work plan</w:t>
      </w:r>
    </w:p>
    <w:tbl>
      <w:tblPr>
        <w:tblStyle w:val="TableGrid"/>
        <w:tblW w:type="auto" w:w="0"/>
        <w:tblLayout w:type="fixed"/>
        <w:tblLook w:firstColumn="1" w:firstRow="1" w:lastColumn="0" w:lastRow="0" w:noHBand="0" w:noVBand="1" w:val="04A0"/>
      </w:tblPr>
      <w:tblGrid>
        <w:gridCol w:w="3035"/>
        <w:gridCol w:w="3267"/>
        <w:gridCol w:w="2336"/>
      </w:tblGrid>
      <w:tr>
        <w:trPr>
          <w:cantSplit w:val="true"/>
          <w:tblHeader w:val="true"/>
        </w:trPr>
        <w:tc>
          <w:tcPr>
            <w:tcW w:type="dxa" w:w="3036"/>
            <w:shd w:val="clear" w:color="auto" w:fill="DCE6F1"/>
          </w:tcPr>
          <w:p>
            <w:pPr>
              <w:spacing w:after="40" w:before="40" w:line="240" w:lineRule="auto"/>
            </w:pPr>
            <w:r>
              <w:rPr>
                <w:b/>
                <w:sz w:val="18"/>
              </w:rPr>
              <w:t>Months</w:t>
            </w:r>
          </w:p>
        </w:tc>
        <w:tc>
          <w:tcPr>
            <w:tcW w:type="dxa" w:w="3268"/>
            <w:shd w:val="clear" w:color="auto" w:fill="DCE6F1"/>
          </w:tcPr>
          <w:p>
            <w:pPr>
              <w:spacing w:after="40" w:before="40" w:line="240" w:lineRule="auto"/>
            </w:pPr>
            <w:r>
              <w:rPr>
                <w:b/>
                <w:sz w:val="18"/>
              </w:rPr>
              <w:t>Activity</w:t>
            </w:r>
          </w:p>
        </w:tc>
        <w:tc>
          <w:tcPr>
            <w:tcW w:type="dxa" w:w="2336"/>
            <w:shd w:val="clear" w:color="auto" w:fill="DCE6F1"/>
          </w:tcPr>
          <w:p>
            <w:pPr>
              <w:spacing w:after="40" w:before="40" w:line="240" w:lineRule="auto"/>
            </w:pPr>
            <w:r>
              <w:rPr>
                <w:b/>
                <w:sz w:val="18"/>
              </w:rPr>
              <w:t>Lead</w:t>
            </w:r>
          </w:p>
        </w:tc>
      </w:tr>
      <w:tr>
        <w:trPr>
          <w:cantSplit w:val="true"/>
        </w:trPr>
        <w:tc>
          <w:tcPr>
            <w:tcW w:type="dxa" w:w="3036"/>
          </w:tcPr>
          <w:p>
            <w:pPr>
              <w:spacing w:after="40" w:before="40" w:line="240" w:lineRule="auto"/>
            </w:pPr>
            <w:r>
              <w:rPr>
                <w:sz w:val="18"/>
              </w:rPr>
              <w:t>July to August 2027 (months 1 to 2)</w:t>
            </w:r>
          </w:p>
        </w:tc>
        <w:tc>
          <w:tcPr>
            <w:tcW w:type="dxa" w:w="3268"/>
          </w:tcPr>
          <w:p>
            <w:pPr>
              <w:spacing w:after="40" w:before="40" w:line="240" w:lineRule="auto"/>
            </w:pPr>
            <w:r>
              <w:rPr>
                <w:sz w:val="18"/>
              </w:rPr>
              <w:t>Hire and train the second coach; renew the data-sharing agreement; set the referral protocol with the county health clinic</w:t>
            </w:r>
          </w:p>
        </w:tc>
        <w:tc>
          <w:tcPr>
            <w:tcW w:type="dxa" w:w="2336"/>
          </w:tcPr>
          <w:p>
            <w:pPr>
              <w:spacing w:after="40" w:before="40" w:line="240" w:lineRule="auto"/>
            </w:pPr>
            <w:r>
              <w:rPr>
                <w:sz w:val="18"/>
              </w:rPr>
              <w:t>Program Manager, Executive Director</w:t>
            </w:r>
          </w:p>
        </w:tc>
      </w:tr>
      <w:tr>
        <w:trPr>
          <w:cantSplit w:val="true"/>
        </w:trPr>
        <w:tc>
          <w:tcPr>
            <w:tcW w:type="dxa" w:w="3036"/>
          </w:tcPr>
          <w:p>
            <w:pPr>
              <w:spacing w:after="40" w:before="40" w:line="240" w:lineRule="auto"/>
            </w:pPr>
            <w:r>
              <w:rPr>
                <w:sz w:val="18"/>
              </w:rPr>
              <w:t>August to November 2027 (months 2 to 5)</w:t>
            </w:r>
          </w:p>
        </w:tc>
        <w:tc>
          <w:tcPr>
            <w:tcW w:type="dxa" w:w="3268"/>
          </w:tcPr>
          <w:p>
            <w:pPr>
              <w:spacing w:after="40" w:before="40" w:line="240" w:lineRule="auto"/>
            </w:pPr>
            <w:r>
              <w:rPr>
                <w:sz w:val="18"/>
              </w:rPr>
              <w:t>Identify eligible students; outreach, enrollment and barrier screens; 120 students enrolled by November 15</w:t>
            </w:r>
          </w:p>
        </w:tc>
        <w:tc>
          <w:tcPr>
            <w:tcW w:type="dxa" w:w="2336"/>
          </w:tcPr>
          <w:p>
            <w:pPr>
              <w:spacing w:after="40" w:before="40" w:line="240" w:lineRule="auto"/>
            </w:pPr>
            <w:r>
              <w:rPr>
                <w:sz w:val="18"/>
              </w:rPr>
              <w:t>Attendance coaches</w:t>
            </w:r>
          </w:p>
        </w:tc>
      </w:tr>
      <w:tr>
        <w:trPr>
          <w:cantSplit w:val="true"/>
        </w:trPr>
        <w:tc>
          <w:tcPr>
            <w:tcW w:type="dxa" w:w="3036"/>
          </w:tcPr>
          <w:p>
            <w:pPr>
              <w:spacing w:after="40" w:before="40" w:line="240" w:lineRule="auto"/>
            </w:pPr>
            <w:r>
              <w:rPr>
                <w:sz w:val="18"/>
              </w:rPr>
              <w:t>September 2027 to June 2028 (months 3 to 12)</w:t>
            </w:r>
          </w:p>
        </w:tc>
        <w:tc>
          <w:tcPr>
            <w:tcW w:type="dxa" w:w="3268"/>
          </w:tcPr>
          <w:p>
            <w:pPr>
              <w:spacing w:after="40" w:before="40" w:line="240" w:lineRule="auto"/>
            </w:pPr>
            <w:r>
              <w:rPr>
                <w:sz w:val="18"/>
              </w:rPr>
              <w:t>Tiered coaching and home visits; ride vouchers and referrals; monthly attendance data review</w:t>
            </w:r>
          </w:p>
        </w:tc>
        <w:tc>
          <w:tcPr>
            <w:tcW w:type="dxa" w:w="2336"/>
          </w:tcPr>
          <w:p>
            <w:pPr>
              <w:spacing w:after="40" w:before="40" w:line="240" w:lineRule="auto"/>
            </w:pPr>
            <w:r>
              <w:rPr>
                <w:sz w:val="18"/>
              </w:rPr>
              <w:t>Attendance coaches, Program Manager</w:t>
            </w:r>
          </w:p>
        </w:tc>
      </w:tr>
      <w:tr>
        <w:trPr>
          <w:cantSplit w:val="true"/>
        </w:trPr>
        <w:tc>
          <w:tcPr>
            <w:tcW w:type="dxa" w:w="3036"/>
          </w:tcPr>
          <w:p>
            <w:pPr>
              <w:spacing w:after="40" w:before="40" w:line="240" w:lineRule="auto"/>
            </w:pPr>
            <w:r>
              <w:rPr>
                <w:sz w:val="18"/>
              </w:rPr>
              <w:t>September 2027 to May 2028 (months 3 to 11)</w:t>
            </w:r>
          </w:p>
        </w:tc>
        <w:tc>
          <w:tcPr>
            <w:tcW w:type="dxa" w:w="3268"/>
          </w:tcPr>
          <w:p>
            <w:pPr>
              <w:spacing w:after="40" w:before="40" w:line="240" w:lineRule="auto"/>
            </w:pPr>
            <w:r>
              <w:rPr>
                <w:sz w:val="18"/>
              </w:rPr>
              <w:t>Attendance team meetings every two weeks at each school</w:t>
            </w:r>
          </w:p>
        </w:tc>
        <w:tc>
          <w:tcPr>
            <w:tcW w:type="dxa" w:w="2336"/>
          </w:tcPr>
          <w:p>
            <w:pPr>
              <w:spacing w:after="40" w:before="40" w:line="240" w:lineRule="auto"/>
            </w:pPr>
            <w:r>
              <w:rPr>
                <w:sz w:val="18"/>
              </w:rPr>
              <w:t>Program Manager</w:t>
            </w:r>
          </w:p>
        </w:tc>
      </w:tr>
      <w:tr>
        <w:trPr>
          <w:cantSplit w:val="true"/>
        </w:trPr>
        <w:tc>
          <w:tcPr>
            <w:tcW w:type="dxa" w:w="3036"/>
          </w:tcPr>
          <w:p>
            <w:pPr>
              <w:spacing w:after="40" w:before="40" w:line="240" w:lineRule="auto"/>
            </w:pPr>
            <w:r>
              <w:rPr>
                <w:sz w:val="18"/>
              </w:rPr>
              <w:t>October 2027 to April 2028 (months 4 to 10)</w:t>
            </w:r>
          </w:p>
        </w:tc>
        <w:tc>
          <w:tcPr>
            <w:tcW w:type="dxa" w:w="3268"/>
          </w:tcPr>
          <w:p>
            <w:pPr>
              <w:spacing w:after="40" w:before="40" w:line="240" w:lineRule="auto"/>
            </w:pPr>
            <w:r>
              <w:rPr>
                <w:sz w:val="18"/>
              </w:rPr>
              <w:t>Four family attendance nights</w:t>
            </w:r>
          </w:p>
        </w:tc>
        <w:tc>
          <w:tcPr>
            <w:tcW w:type="dxa" w:w="2336"/>
          </w:tcPr>
          <w:p>
            <w:pPr>
              <w:spacing w:after="40" w:before="40" w:line="240" w:lineRule="auto"/>
            </w:pPr>
            <w:r>
              <w:rPr>
                <w:sz w:val="18"/>
              </w:rPr>
              <w:t>Program Manager</w:t>
            </w:r>
          </w:p>
        </w:tc>
      </w:tr>
      <w:tr>
        <w:trPr>
          <w:cantSplit w:val="true"/>
        </w:trPr>
        <w:tc>
          <w:tcPr>
            <w:tcW w:type="dxa" w:w="3036"/>
          </w:tcPr>
          <w:p>
            <w:pPr>
              <w:spacing w:after="40" w:before="40" w:line="240" w:lineRule="auto"/>
            </w:pPr>
            <w:r>
              <w:rPr>
                <w:sz w:val="18"/>
              </w:rPr>
              <w:t>December 2027 to May 2028 (months 6 to 11)</w:t>
            </w:r>
          </w:p>
        </w:tc>
        <w:tc>
          <w:tcPr>
            <w:tcW w:type="dxa" w:w="3268"/>
          </w:tcPr>
          <w:p>
            <w:pPr>
              <w:spacing w:after="40" w:before="40" w:line="240" w:lineRule="auto"/>
            </w:pPr>
            <w:r>
              <w:rPr>
                <w:sz w:val="18"/>
              </w:rPr>
              <w:t>District budget request for 2028-29; school board decision in May</w:t>
            </w:r>
          </w:p>
        </w:tc>
        <w:tc>
          <w:tcPr>
            <w:tcW w:type="dxa" w:w="2336"/>
          </w:tcPr>
          <w:p>
            <w:pPr>
              <w:spacing w:after="40" w:before="40" w:line="240" w:lineRule="auto"/>
            </w:pPr>
            <w:r>
              <w:rPr>
                <w:sz w:val="18"/>
              </w:rPr>
              <w:t>Executive Director</w:t>
            </w:r>
          </w:p>
        </w:tc>
      </w:tr>
      <w:tr>
        <w:trPr>
          <w:cantSplit w:val="true"/>
        </w:trPr>
        <w:tc>
          <w:tcPr>
            <w:tcW w:type="dxa" w:w="3036"/>
          </w:tcPr>
          <w:p>
            <w:pPr>
              <w:spacing w:after="40" w:before="40" w:line="240" w:lineRule="auto"/>
            </w:pPr>
            <w:r>
              <w:rPr>
                <w:sz w:val="18"/>
              </w:rPr>
              <w:t>January 2028 (month 7)</w:t>
            </w:r>
          </w:p>
        </w:tc>
        <w:tc>
          <w:tcPr>
            <w:tcW w:type="dxa" w:w="3268"/>
          </w:tcPr>
          <w:p>
            <w:pPr>
              <w:spacing w:after="40" w:before="40" w:line="240" w:lineRule="auto"/>
            </w:pPr>
            <w:r>
              <w:rPr>
                <w:sz w:val="18"/>
              </w:rPr>
              <w:t>Midyear progress report to the Foundation</w:t>
            </w:r>
          </w:p>
        </w:tc>
        <w:tc>
          <w:tcPr>
            <w:tcW w:type="dxa" w:w="2336"/>
          </w:tcPr>
          <w:p>
            <w:pPr>
              <w:spacing w:after="40" w:before="40" w:line="240" w:lineRule="auto"/>
            </w:pPr>
            <w:r>
              <w:rPr>
                <w:sz w:val="18"/>
              </w:rPr>
              <w:t>Program Manager</w:t>
            </w:r>
          </w:p>
        </w:tc>
      </w:tr>
      <w:tr>
        <w:trPr>
          <w:cantSplit w:val="true"/>
        </w:trPr>
        <w:tc>
          <w:tcPr>
            <w:tcW w:type="dxa" w:w="3036"/>
          </w:tcPr>
          <w:p>
            <w:pPr>
              <w:spacing w:after="40" w:before="40" w:line="240" w:lineRule="auto"/>
            </w:pPr>
            <w:r>
              <w:rPr>
                <w:sz w:val="18"/>
              </w:rPr>
              <w:t>April to May 2028 (months 10 to 11)</w:t>
            </w:r>
          </w:p>
        </w:tc>
        <w:tc>
          <w:tcPr>
            <w:tcW w:type="dxa" w:w="3268"/>
          </w:tcPr>
          <w:p>
            <w:pPr>
              <w:spacing w:after="40" w:before="40" w:line="240" w:lineRule="auto"/>
            </w:pPr>
            <w:r>
              <w:rPr>
                <w:sz w:val="18"/>
              </w:rPr>
              <w:t>Spring family survey</w:t>
            </w:r>
          </w:p>
        </w:tc>
        <w:tc>
          <w:tcPr>
            <w:tcW w:type="dxa" w:w="2336"/>
          </w:tcPr>
          <w:p>
            <w:pPr>
              <w:spacing w:after="40" w:before="40" w:line="240" w:lineRule="auto"/>
            </w:pPr>
            <w:r>
              <w:rPr>
                <w:sz w:val="18"/>
              </w:rPr>
              <w:t>Evaluator</w:t>
            </w:r>
          </w:p>
        </w:tc>
      </w:tr>
      <w:tr>
        <w:trPr>
          <w:cantSplit w:val="true"/>
        </w:trPr>
        <w:tc>
          <w:tcPr>
            <w:tcW w:type="dxa" w:w="3036"/>
          </w:tcPr>
          <w:p>
            <w:pPr>
              <w:spacing w:after="40" w:before="40" w:line="240" w:lineRule="auto"/>
            </w:pPr>
            <w:r>
              <w:rPr>
                <w:sz w:val="18"/>
              </w:rPr>
              <w:t>June 2028 (month 12)</w:t>
            </w:r>
          </w:p>
        </w:tc>
        <w:tc>
          <w:tcPr>
            <w:tcW w:type="dxa" w:w="3268"/>
          </w:tcPr>
          <w:p>
            <w:pPr>
              <w:spacing w:after="40" w:before="40" w:line="240" w:lineRule="auto"/>
            </w:pPr>
            <w:r>
              <w:rPr>
                <w:sz w:val="18"/>
              </w:rPr>
              <w:t>End-of-year attendance analysis; final report drafted, due August 31, 2028</w:t>
            </w:r>
          </w:p>
        </w:tc>
        <w:tc>
          <w:tcPr>
            <w:tcW w:type="dxa" w:w="2336"/>
          </w:tcPr>
          <w:p>
            <w:pPr>
              <w:spacing w:after="40" w:before="40" w:line="240" w:lineRule="auto"/>
            </w:pPr>
            <w:r>
              <w:rPr>
                <w:sz w:val="18"/>
              </w:rPr>
              <w:t>Evaluator, Program Manager</w:t>
            </w:r>
          </w:p>
        </w:tc>
      </w:tr>
    </w:tbl>
    <w:p>
      <w:pPr>
        <w:spacing w:after="0" w:before="0" w:line="120" w:lineRule="exact"/>
      </w:pPr>
    </w:p>
    <w:p>
      <w:r>
        <w:t>Out of scope for this grant: students in grades 4 and 5, students outside the two schools, and any role in truancy enforcement. Coaches do not file attendance referrals; that stays with the district.</w:t>
      </w:r>
    </w:p>
    <w:p>
      <w:pPr>
        <w:pStyle w:val="Heading1"/>
      </w:pPr>
      <w:commentRangeStart w:id="4"/>
      <w:r>
        <w:t>5. Evaluation Plan</w:t>
      </w:r>
      <w:commentRangeEnd w:id="4"/>
      <w:r>
        <w:rPr>
          <w:rStyle w:val="CommentReference"/>
        </w:rPr>
        <w:commentReference w:id="4"/>
      </w:r>
    </w:p>
    <w:p>
      <w:r>
        <w:t>The evaluation asks whether the project reached the students it set out to reach, whether coaching was delivered as designed, whether enrolled students attended more than the year before and more than similar students elsewhere in the district, and which barriers were resolved. The full evaluation plan is attached; its core measures are:</w:t>
      </w:r>
    </w:p>
    <w:tbl>
      <w:tblPr>
        <w:tblStyle w:val="TableGrid"/>
        <w:tblW w:type="auto" w:w="0"/>
        <w:tblLayout w:type="fixed"/>
        <w:tblLook w:firstColumn="1" w:firstRow="1" w:lastColumn="0" w:lastRow="0" w:noHBand="0" w:noVBand="1" w:val="04A0"/>
      </w:tblPr>
      <w:tblGrid>
        <w:gridCol w:w="2186"/>
        <w:gridCol w:w="1842"/>
        <w:gridCol w:w="2378"/>
        <w:gridCol w:w="2232"/>
      </w:tblGrid>
      <w:tr>
        <w:trPr>
          <w:cantSplit w:val="true"/>
          <w:tblHeader w:val="true"/>
        </w:trPr>
        <w:tc>
          <w:tcPr>
            <w:tcW w:type="dxa" w:w="2186"/>
            <w:shd w:val="clear" w:color="auto" w:fill="DCE6F1"/>
          </w:tcPr>
          <w:p>
            <w:pPr>
              <w:spacing w:after="40" w:before="40" w:line="240" w:lineRule="auto"/>
            </w:pPr>
            <w:r>
              <w:rPr>
                <w:b/>
                <w:sz w:val="18"/>
              </w:rPr>
              <w:t>Measure</w:t>
            </w:r>
          </w:p>
        </w:tc>
        <w:tc>
          <w:tcPr>
            <w:tcW w:type="dxa" w:w="1843"/>
            <w:shd w:val="clear" w:color="auto" w:fill="DCE6F1"/>
          </w:tcPr>
          <w:p>
            <w:pPr>
              <w:spacing w:after="40" w:before="40" w:line="240" w:lineRule="auto"/>
            </w:pPr>
            <w:r>
              <w:rPr>
                <w:b/>
                <w:sz w:val="18"/>
              </w:rPr>
              <w:t>Data source</w:t>
            </w:r>
          </w:p>
        </w:tc>
        <w:tc>
          <w:tcPr>
            <w:tcW w:type="dxa" w:w="2379"/>
            <w:shd w:val="clear" w:color="auto" w:fill="DCE6F1"/>
          </w:tcPr>
          <w:p>
            <w:pPr>
              <w:spacing w:after="40" w:before="40" w:line="240" w:lineRule="auto"/>
            </w:pPr>
            <w:r>
              <w:rPr>
                <w:b/>
                <w:sz w:val="18"/>
              </w:rPr>
              <w:t>Baseline</w:t>
            </w:r>
          </w:p>
        </w:tc>
        <w:tc>
          <w:tcPr>
            <w:tcW w:type="dxa" w:w="2233"/>
            <w:shd w:val="clear" w:color="auto" w:fill="DCE6F1"/>
          </w:tcPr>
          <w:p>
            <w:pPr>
              <w:spacing w:after="40" w:before="40" w:line="240" w:lineRule="auto"/>
            </w:pPr>
            <w:r>
              <w:rPr>
                <w:b/>
                <w:sz w:val="18"/>
              </w:rPr>
              <w:t>Target</w:t>
            </w:r>
          </w:p>
        </w:tc>
      </w:tr>
      <w:tr>
        <w:trPr>
          <w:cantSplit w:val="true"/>
        </w:trPr>
        <w:tc>
          <w:tcPr>
            <w:tcW w:type="dxa" w:w="2186"/>
          </w:tcPr>
          <w:p>
            <w:pPr>
              <w:spacing w:after="40" w:before="40" w:line="240" w:lineRule="auto"/>
            </w:pPr>
            <w:r>
              <w:rPr>
                <w:sz w:val="18"/>
              </w:rPr>
              <w:t>Students enrolled and screened</w:t>
            </w:r>
          </w:p>
        </w:tc>
        <w:tc>
          <w:tcPr>
            <w:tcW w:type="dxa" w:w="1843"/>
          </w:tcPr>
          <w:p>
            <w:pPr>
              <w:spacing w:after="40" w:before="40" w:line="240" w:lineRule="auto"/>
            </w:pPr>
            <w:r>
              <w:rPr>
                <w:sz w:val="18"/>
              </w:rPr>
              <w:t>Coaching case log</w:t>
            </w:r>
          </w:p>
        </w:tc>
        <w:tc>
          <w:tcPr>
            <w:tcW w:type="dxa" w:w="2379"/>
          </w:tcPr>
          <w:p>
            <w:pPr>
              <w:spacing w:after="40" w:before="40" w:line="240" w:lineRule="auto"/>
            </w:pPr>
            <w:r>
              <w:rPr>
                <w:sz w:val="18"/>
              </w:rPr>
              <w:t>New cohort</w:t>
            </w:r>
          </w:p>
        </w:tc>
        <w:tc>
          <w:tcPr>
            <w:tcW w:type="dxa" w:w="2233"/>
          </w:tcPr>
          <w:p>
            <w:pPr>
              <w:spacing w:after="40" w:before="40" w:line="240" w:lineRule="auto"/>
            </w:pPr>
            <w:r>
              <w:rPr>
                <w:sz w:val="18"/>
              </w:rPr>
              <w:t>120 enrolled, all screened by November 15, 2027</w:t>
            </w:r>
          </w:p>
        </w:tc>
      </w:tr>
      <w:tr>
        <w:trPr>
          <w:cantSplit w:val="true"/>
        </w:trPr>
        <w:tc>
          <w:tcPr>
            <w:tcW w:type="dxa" w:w="2186"/>
          </w:tcPr>
          <w:p>
            <w:pPr>
              <w:spacing w:after="40" w:before="40" w:line="240" w:lineRule="auto"/>
            </w:pPr>
            <w:r>
              <w:rPr>
                <w:sz w:val="18"/>
              </w:rPr>
              <w:t>Students below the chronic absence threshold</w:t>
            </w:r>
          </w:p>
        </w:tc>
        <w:tc>
          <w:tcPr>
            <w:tcW w:type="dxa" w:w="1843"/>
          </w:tcPr>
          <w:p>
            <w:pPr>
              <w:spacing w:after="40" w:before="40" w:line="240" w:lineRule="auto"/>
            </w:pPr>
            <w:r>
              <w:rPr>
                <w:sz w:val="18"/>
              </w:rPr>
              <w:t>District attendance records</w:t>
            </w:r>
          </w:p>
        </w:tc>
        <w:tc>
          <w:tcPr>
            <w:tcW w:type="dxa" w:w="2379"/>
          </w:tcPr>
          <w:p>
            <w:pPr>
              <w:spacing w:after="40" w:before="40" w:line="240" w:lineRule="auto"/>
            </w:pPr>
            <w:r>
              <w:rPr>
                <w:sz w:val="18"/>
              </w:rPr>
              <w:t>All chronically absent, or on track to be, at enrollment; pilot result 55 percent</w:t>
            </w:r>
          </w:p>
        </w:tc>
        <w:tc>
          <w:tcPr>
            <w:tcW w:type="dxa" w:w="2233"/>
          </w:tcPr>
          <w:p>
            <w:pPr>
              <w:spacing w:after="40" w:before="40" w:line="240" w:lineRule="auto"/>
            </w:pPr>
            <w:r>
              <w:rPr>
                <w:sz w:val="18"/>
              </w:rPr>
              <w:t>55 percent (66 of 120)</w:t>
            </w:r>
          </w:p>
        </w:tc>
      </w:tr>
      <w:tr>
        <w:trPr>
          <w:cantSplit w:val="true"/>
        </w:trPr>
        <w:tc>
          <w:tcPr>
            <w:tcW w:type="dxa" w:w="2186"/>
          </w:tcPr>
          <w:p>
            <w:pPr>
              <w:spacing w:after="40" w:before="40" w:line="240" w:lineRule="auto"/>
            </w:pPr>
            <w:r>
              <w:rPr>
                <w:sz w:val="18"/>
              </w:rPr>
              <w:t>Change in days absent</w:t>
            </w:r>
          </w:p>
        </w:tc>
        <w:tc>
          <w:tcPr>
            <w:tcW w:type="dxa" w:w="1843"/>
          </w:tcPr>
          <w:p>
            <w:pPr>
              <w:spacing w:after="40" w:before="40" w:line="240" w:lineRule="auto"/>
            </w:pPr>
            <w:r>
              <w:rPr>
                <w:sz w:val="18"/>
              </w:rPr>
              <w:t>District attendance records</w:t>
            </w:r>
          </w:p>
        </w:tc>
        <w:tc>
          <w:tcPr>
            <w:tcW w:type="dxa" w:w="2379"/>
          </w:tcPr>
          <w:p>
            <w:pPr>
              <w:spacing w:after="40" w:before="40" w:line="240" w:lineRule="auto"/>
            </w:pPr>
            <w:r>
              <w:rPr>
                <w:sz w:val="18"/>
              </w:rPr>
              <w:t>2026-27 average for the same students</w:t>
            </w:r>
          </w:p>
        </w:tc>
        <w:tc>
          <w:tcPr>
            <w:tcW w:type="dxa" w:w="2233"/>
          </w:tcPr>
          <w:p>
            <w:pPr>
              <w:spacing w:after="40" w:before="40" w:line="240" w:lineRule="auto"/>
            </w:pPr>
            <w:r>
              <w:rPr>
                <w:sz w:val="18"/>
              </w:rPr>
              <w:t>At least 5 fewer days on average</w:t>
            </w:r>
          </w:p>
        </w:tc>
      </w:tr>
      <w:tr>
        <w:trPr>
          <w:cantSplit w:val="true"/>
        </w:trPr>
        <w:tc>
          <w:tcPr>
            <w:tcW w:type="dxa" w:w="2186"/>
          </w:tcPr>
          <w:p>
            <w:pPr>
              <w:spacing w:after="40" w:before="40" w:line="240" w:lineRule="auto"/>
            </w:pPr>
            <w:r>
              <w:rPr>
                <w:sz w:val="18"/>
              </w:rPr>
              <w:t>Barriers addressed</w:t>
            </w:r>
          </w:p>
        </w:tc>
        <w:tc>
          <w:tcPr>
            <w:tcW w:type="dxa" w:w="1843"/>
          </w:tcPr>
          <w:p>
            <w:pPr>
              <w:spacing w:after="40" w:before="40" w:line="240" w:lineRule="auto"/>
            </w:pPr>
            <w:r>
              <w:rPr>
                <w:sz w:val="18"/>
              </w:rPr>
              <w:t>Case log; provider confirmations</w:t>
            </w:r>
          </w:p>
        </w:tc>
        <w:tc>
          <w:tcPr>
            <w:tcW w:type="dxa" w:w="2379"/>
          </w:tcPr>
          <w:p>
            <w:pPr>
              <w:spacing w:after="40" w:before="40" w:line="240" w:lineRule="auto"/>
            </w:pPr>
            <w:r>
              <w:rPr>
                <w:sz w:val="18"/>
              </w:rPr>
              <w:t>Intake barrier screen</w:t>
            </w:r>
          </w:p>
        </w:tc>
        <w:tc>
          <w:tcPr>
            <w:tcW w:type="dxa" w:w="2233"/>
          </w:tcPr>
          <w:p>
            <w:pPr>
              <w:spacing w:after="40" w:before="40" w:line="240" w:lineRule="auto"/>
            </w:pPr>
            <w:r>
              <w:rPr>
                <w:sz w:val="18"/>
              </w:rPr>
              <w:t>80 percent of families</w:t>
            </w:r>
          </w:p>
        </w:tc>
      </w:tr>
    </w:tbl>
    <w:p>
      <w:pPr>
        <w:spacing w:after="0" w:before="0" w:line="120" w:lineRule="exact"/>
      </w:pPr>
    </w:p>
    <w:p>
      <w:r>
        <w:t>Some improvement would happen without coaching, because students who are chronically absent one year often miss fewer days the next. The North Basin State University Center for Community Research will therefore compare enrolled students with chronically absent K-3 students at the district's four other elementary schools, as well as with their own prior year. The Program Manager reviews the data with the coaches every month and moves students between tiers. The Foundation receives a midyear progress report by January 31, 2028, and a final report by August 31, 2028. Evaluation costs about $10,840, or 8 percent of the project: a $7,000 university contract plus the Program Manager's data time.</w:t>
      </w:r>
    </w:p>
    <w:p>
      <w:pPr>
        <w:pStyle w:val="Heading1"/>
      </w:pPr>
      <w:commentRangeStart w:id="5"/>
      <w:r>
        <w:t>6. Organizational Background</w:t>
      </w:r>
      <w:commentRangeEnd w:id="5"/>
      <w:r>
        <w:rPr>
          <w:rStyle w:val="CommentReference"/>
        </w:rPr>
        <w:commentReference w:id="5"/>
      </w:r>
    </w:p>
    <w:p>
      <w:r>
        <w:t>Sedgewater Family Network helps families in Sedgewater County keep their children healthy, housed and learning. Founded in 2013, we served 1,240 families in 2025 through parenting classes, an emergency assistance fund and the Family Resource Room we have run inside Linnet Street Elementary since 2019. Our fiscal 2026 budget was $610,000: 46 percent foundation grants, 22 percent county contracts, 24 percent individual giving and 8 percent other income. Nine staff, four of them bilingual in English and Spanish, report to an 11-member board, and our fiscal 2026 independent audit carried an unmodified opinion.</w:t>
      </w:r>
    </w:p>
    <w:p>
      <w:r>
        <w:t>The Executive Director has led the network since 2016, after nine years as a school social worker. The Program Manager holds a master's degree in social work and supervised the 2025-26 attendance pilot, in which 21 of 38 coached students (55 percent) finished the year below the chronic absence threshold. The Linnet Street coach ran that pilot.</w:t>
      </w:r>
    </w:p>
    <w:p>
      <w:r>
        <w:t>The project rests on agreements already in place: a data-sharing agreement with Sedgewater County Schools (August 2025), memoranda of understanding with both principals (March 2027), a referral agreement with the county health department's clinic, and an evaluation partnership with the North Basin State University Center for Community Research. Ferrow Park Elementary is new to us. Its principal has donated an office and helped design the attendance team routine, and the Linnet Street coach will train and shadow the new coach for the first month.</w:t>
      </w:r>
    </w:p>
    <w:p>
      <w:pPr>
        <w:pStyle w:val="Heading1"/>
      </w:pPr>
      <w:commentRangeStart w:id="6"/>
      <w:r>
        <w:t>7. Sustainability Plan</w:t>
      </w:r>
      <w:commentRangeEnd w:id="6"/>
      <w:r>
        <w:rPr>
          <w:rStyle w:val="CommentReference"/>
        </w:rPr>
        <w:commentReference w:id="6"/>
      </w:r>
    </w:p>
    <w:p>
      <w:r>
        <w:t>Continuation scope. From July 2028, coaching continues at both schools with one full-time coach serving 80 students, against two part-time coaches serving 120 during the grant. Ride vouchers and the attendance teams continue; family nights drop from four to two.</w:t>
      </w:r>
    </w:p>
    <w:p>
      <w:r>
        <w:t>Financial plan. The continuing model costs $78,000 a year, from three sources. The superintendent has agreed to include $36,000 for coaching in the district's 2028-29 budget request from its family engagement funds; the school board votes in May 2028. Our board designated $18,000 a year for 2028-29 and 2029-30 from the annual appeal, which raised $41,000 unrestricted in 2026 (board resolution, March 2027). And we will ask the Early Grades Fund for a reduced renewal of $24,000, with a decision expected in June 2028. If the district does not fund its share, coaching continues at Linnet Street only, with a half-time coach serving 40 students, paid for by the board designation and the renewal request.</w:t>
      </w:r>
    </w:p>
    <w:p>
      <w:r>
        <w:t>Partnership commitments. Both principals signed memoranda of understanding in March 2027 that commit an office, a seat on the attendance team and student referrals through June 2029.</w:t>
      </w:r>
    </w:p>
    <w:p>
      <w:r>
        <w:t>Capacity retained. By June 2028, both schools will run their attendance team meetings on a written protocol, and the coaching protocol, the barrier screen and the referral pathway with the county health clinic will be documented, so the continuing coach starts with working tools rather than from scratch.</w:t>
      </w:r>
    </w:p>
    <w:p>
      <w:pPr>
        <w:pStyle w:val="Heading1"/>
      </w:pPr>
      <w:r>
        <w:t>Attachments checklist</w:t>
      </w:r>
    </w:p>
    <w:p>
      <w:r>
        <w:t>[x] Line-item budget and budget narrative</w:t>
      </w:r>
    </w:p>
    <w:p>
      <w:r>
        <w:t>[x] IRS determination letter</w:t>
      </w:r>
    </w:p>
    <w:p>
      <w:r>
        <w:t>[x] Board list</w:t>
      </w:r>
    </w:p>
    <w:p>
      <w:r>
        <w:t>[x] Most recent audit or financial statement (fiscal 2026 independent audit)</w:t>
      </w:r>
    </w:p>
    <w:p>
      <w:r>
        <w:t>[x] Letters of support / MOUs (both principals, the county health department clinic, North Basin State University)</w:t>
      </w:r>
    </w:p>
    <w:p>
      <w:r>
        <w:t>[x] Logic model</w:t>
      </w:r>
    </w:p>
    <w:p>
      <w:r>
        <w:t>[x] Evaluation plan</w:t>
      </w:r>
    </w:p>
    <w:p>
      <w:r>
        <w:t>[x] Project timeline</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GrantCue Team" w:initials="GC" w:date="2026-10-19T13:54:21Z">
    <w:p>
      <w:pPr>
        <w:pStyle w:val="CommentText"/>
      </w:pPr>
      <w:r>
        <w:rPr>
          <w:rStyle w:val="CommentReference"/>
        </w:rPr>
        <w:annotationRef/>
      </w:r>
      <w:r>
        <w:t>The first sentence is a local count with a source behind it, and the amount and dates arrive in the first paragraph. A reviewer who reads only this page knows the problem, the ask, the model, the evidence and the plan for the year after the grant.</w:t>
      </w:r>
    </w:p>
  </w:comment>
  <w:comment w:id="1" w:author="GrantCue Team" w:initials="GC" w:date="2026-10-19T13:54:21Z">
    <w:p>
      <w:pPr>
        <w:pStyle w:val="CommentText"/>
      </w:pPr>
      <w:r>
        <w:rPr>
          <w:rStyle w:val="CommentReference"/>
        </w:rPr>
        <w:annotationRef/>
      </w:r>
      <w:r>
        <w:t>Local data first, the state figure only as a benchmark, and the gap named without criticizing other services. The barrier counts come from the applicant's own records, which a reviewer weighs more heavily than a national statistic.</w:t>
      </w:r>
    </w:p>
  </w:comment>
  <w:comment w:id="2" w:author="GrantCue Team" w:initials="GC" w:date="2026-10-19T13:54:21Z">
    <w:p>
      <w:pPr>
        <w:pStyle w:val="CommentText"/>
      </w:pPr>
      <w:r>
        <w:rPr>
          <w:rStyle w:val="CommentReference"/>
        </w:rPr>
        <w:annotationRef/>
      </w:r>
      <w:r>
        <w:t>Each objective follows the template's pattern: date, number, population, measurable change, instrument. The targets hold the pilot's results at three times the scale instead of inflating them, and the evaluation section says so.</w:t>
      </w:r>
    </w:p>
  </w:comment>
  <w:comment w:id="3" w:author="GrantCue Team" w:initials="GC" w:date="2026-10-19T13:54:21Z">
    <w:p>
      <w:pPr>
        <w:pStyle w:val="CommentText"/>
      </w:pPr>
      <w:r>
        <w:rPr>
          <w:rStyle w:val="CommentReference"/>
        </w:rPr>
        <w:annotationRef/>
      </w:r>
      <w:r>
        <w:t>A reviewer can count the staff, the caseload and the contacts, and the work plan uses the same nouns as the budget and the logic model. The out-of-scope line shows the applicant has already decided which requests it will turn down.</w:t>
      </w:r>
    </w:p>
  </w:comment>
  <w:comment w:id="4" w:author="GrantCue Team" w:initials="GC" w:date="2026-10-19T13:54:21Z">
    <w:p>
      <w:pPr>
        <w:pStyle w:val="CommentText"/>
      </w:pPr>
      <w:r>
        <w:rPr>
          <w:rStyle w:val="CommentReference"/>
        </w:rPr>
        <w:annotationRef/>
      </w:r>
      <w:r>
        <w:t>The plan names a baseline for every outcome, says plainly why a before-and-after comparison alone would overstate the result, and sizes the evaluation to the grant at about 8 percent of the project. Stated limits read as competence.</w:t>
      </w:r>
    </w:p>
  </w:comment>
  <w:comment w:id="5" w:author="GrantCue Team" w:initials="GC" w:date="2026-10-19T13:54:21Z">
    <w:p>
      <w:pPr>
        <w:pStyle w:val="CommentText"/>
      </w:pPr>
      <w:r>
        <w:rPr>
          <w:rStyle w:val="CommentReference"/>
        </w:rPr>
        <w:annotationRef/>
      </w:r>
      <w:r>
        <w:t>Capacity is proved with counts and systems already in place, not adjectives. The section names the one new piece, a second school where the network has not worked before, and says how it is covered.</w:t>
      </w:r>
    </w:p>
  </w:comment>
  <w:comment w:id="6" w:author="GrantCue Team" w:initials="GC" w:date="2026-10-19T13:54:21Z">
    <w:p>
      <w:pPr>
        <w:pStyle w:val="CommentText"/>
      </w:pPr>
      <w:r>
        <w:rPr>
          <w:rStyle w:val="CommentReference"/>
        </w:rPr>
        <w:annotationRef/>
      </w:r>
      <w:r>
        <w:t>Named sources, amounts and decision dates, with the district's decision inside the grant period and a stated fallback if it says no. The plan never claims the whole program survives.</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Worked example by GrantCue · free grant management software · grantcue.com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Proposal, Annotated Worked Example</dc:title>
  <dc:subject/>
  <dc:creator>GrantCue Team</dc:creator>
  <cp:keywords/>
  <dc:description/>
  <cp:lastModifiedBy>GrantCue Team</cp:lastModifiedBy>
  <cp:revision>1</cp:revision>
  <dcterms:created xsi:type="dcterms:W3CDTF">2026-10-19T12:00:00Z</dcterms:created>
  <dcterms:modified xsi:type="dcterms:W3CDTF">2026-10-19T12:00:00Z</dcterms:modified>
  <cp:category/>
</cp:coreProperties>
</file>