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1E3A5F"/>
        </w:rPr>
        <w:t>Grant Evaluation Plan: Worked Example</w:t>
      </w:r>
    </w:p>
    <w:p>
      <w:r>
        <w:rPr>
          <w:i/>
        </w:rPr>
        <w:t>Fictional example: Sedgewater Family Network, its schools, partners, funder and every figure are invented to show a complete evaluation plan. The same project runs through GrantCue's other worked examples.</w:t>
      </w:r>
    </w:p>
    <w:p>
      <w:r>
        <w:rPr>
          <w:i/>
        </w:rPr>
        <w:t>Family Attendance Coaching Project · Sedgewater Family Network · Project period July 1, 2027 to June 30, 2028 · 120 students in kindergarten to third grade at Linnet Street and Ferrow Park Elementary</w:t>
      </w:r>
    </w:p>
    <w:p>
      <w:pPr>
        <w:pStyle w:val="Heading1"/>
      </w:pPr>
      <w:r>
        <w:t>1. Evaluation questions</w:t>
      </w:r>
    </w:p>
    <w:p>
      <w:r>
        <w:t>The evaluation answers four questions, two about delivery and two about results:</w:t>
      </w:r>
    </w:p>
    <w:p>
      <w:pPr>
        <w:pStyle w:val="ListNumber"/>
      </w:pPr>
      <w:r>
        <w:t>Did the project reach the students it set out to reach: 120 students in grades K to 3 who were chronically absent in 2026-27, or who missed 5 or more days by October 15, 2027?</w:t>
      </w:r>
    </w:p>
    <w:p>
      <w:pPr>
        <w:pStyle w:val="ListNumber"/>
      </w:pPr>
      <w:r>
        <w:t>Was coaching delivered as designed: a barrier screen for every family, weekly or biweekly contacts by tier, home visits and completed supports?</w:t>
      </w:r>
    </w:p>
    <w:p>
      <w:pPr>
        <w:pStyle w:val="ListNumber"/>
      </w:pPr>
      <w:r>
        <w:t>Did enrolled students attend more school than in the year before, and more than similar students at the district's four other elementary schools?</w:t>
      </w:r>
    </w:p>
    <w:p>
      <w:pPr>
        <w:pStyle w:val="ListNumber"/>
      </w:pPr>
      <w:r>
        <w:t>Which barriers were addressed, and did students whose main barrier was addressed improve more than those whose barrier was not?</w:t>
      </w:r>
    </w:p>
    <w:p>
      <w:pPr>
        <w:pStyle w:val="Heading1"/>
      </w:pPr>
      <w:r>
        <w:t>2. Outcomes &amp; indicators table</w:t>
      </w:r>
    </w:p>
    <w:p>
      <w:r>
        <w:t>Each row ties to an objective in the proposal. Targets come from the 2025-26 pilot at Linnet Street, held at the pilot's level for a program three times its size.</w:t>
      </w:r>
    </w:p>
    <w:tbl>
      <w:tblPr>
        <w:tblStyle w:val="TableGrid"/>
        <w:tblW w:type="auto" w:w="0"/>
        <w:tblLayout w:type="fixed"/>
        <w:tblLook w:firstColumn="1" w:firstRow="1" w:lastColumn="0" w:lastRow="0" w:noHBand="0" w:noVBand="1" w:val="04A0"/>
      </w:tblPr>
      <w:tblGrid>
        <w:gridCol w:w="1420"/>
        <w:gridCol w:w="1471"/>
        <w:gridCol w:w="1439"/>
        <w:gridCol w:w="1471"/>
        <w:gridCol w:w="1471"/>
        <w:gridCol w:w="1366"/>
      </w:tblGrid>
      <w:tr>
        <w:trPr>
          <w:cantSplit w:val="true"/>
          <w:tblHeader w:val="true"/>
        </w:trPr>
        <w:tc>
          <w:tcPr>
            <w:tcW w:type="dxa" w:w="1421"/>
            <w:shd w:val="clear" w:color="auto" w:fill="DCE6F1"/>
          </w:tcPr>
          <w:p>
            <w:pPr>
              <w:spacing w:after="40" w:before="40" w:line="240" w:lineRule="auto"/>
            </w:pPr>
            <w:r>
              <w:rPr>
                <w:b/>
                <w:sz w:val="18"/>
              </w:rPr>
              <w:t>Outcome</w:t>
            </w:r>
          </w:p>
        </w:tc>
        <w:tc>
          <w:tcPr>
            <w:tcW w:type="dxa" w:w="1471"/>
            <w:shd w:val="clear" w:color="auto" w:fill="DCE6F1"/>
          </w:tcPr>
          <w:p>
            <w:pPr>
              <w:spacing w:after="40" w:before="40" w:line="240" w:lineRule="auto"/>
            </w:pPr>
            <w:r>
              <w:rPr>
                <w:b/>
                <w:sz w:val="18"/>
              </w:rPr>
              <w:t>Indicator</w:t>
            </w:r>
          </w:p>
        </w:tc>
        <w:tc>
          <w:tcPr>
            <w:tcW w:type="dxa" w:w="1440"/>
            <w:shd w:val="clear" w:color="auto" w:fill="DCE6F1"/>
          </w:tcPr>
          <w:p>
            <w:pPr>
              <w:spacing w:after="40" w:before="40" w:line="240" w:lineRule="auto"/>
            </w:pPr>
            <w:r>
              <w:rPr>
                <w:b/>
                <w:sz w:val="18"/>
              </w:rPr>
              <w:t>Data source</w:t>
            </w:r>
          </w:p>
        </w:tc>
        <w:tc>
          <w:tcPr>
            <w:tcW w:type="dxa" w:w="1471"/>
            <w:shd w:val="clear" w:color="auto" w:fill="DCE6F1"/>
          </w:tcPr>
          <w:p>
            <w:pPr>
              <w:spacing w:after="40" w:before="40" w:line="240" w:lineRule="auto"/>
            </w:pPr>
            <w:r>
              <w:rPr>
                <w:b/>
                <w:sz w:val="18"/>
              </w:rPr>
              <w:t>Baseline</w:t>
            </w:r>
          </w:p>
        </w:tc>
        <w:tc>
          <w:tcPr>
            <w:tcW w:type="dxa" w:w="1471"/>
            <w:shd w:val="clear" w:color="auto" w:fill="DCE6F1"/>
          </w:tcPr>
          <w:p>
            <w:pPr>
              <w:spacing w:after="40" w:before="40" w:line="240" w:lineRule="auto"/>
            </w:pPr>
            <w:r>
              <w:rPr>
                <w:b/>
                <w:sz w:val="18"/>
              </w:rPr>
              <w:t>Target</w:t>
            </w:r>
          </w:p>
        </w:tc>
        <w:tc>
          <w:tcPr>
            <w:tcW w:type="dxa" w:w="1366"/>
            <w:shd w:val="clear" w:color="auto" w:fill="DCE6F1"/>
          </w:tcPr>
          <w:p>
            <w:pPr>
              <w:spacing w:after="40" w:before="40" w:line="240" w:lineRule="auto"/>
            </w:pPr>
            <w:r>
              <w:rPr>
                <w:b/>
                <w:sz w:val="18"/>
              </w:rPr>
              <w:t>Collection frequency</w:t>
            </w:r>
          </w:p>
        </w:tc>
      </w:tr>
      <w:tr>
        <w:trPr>
          <w:cantSplit w:val="true"/>
        </w:trPr>
        <w:tc>
          <w:tcPr>
            <w:tcW w:type="dxa" w:w="1421"/>
          </w:tcPr>
          <w:p>
            <w:pPr>
              <w:spacing w:after="40" w:before="40" w:line="240" w:lineRule="auto"/>
            </w:pPr>
            <w:r>
              <w:rPr>
                <w:sz w:val="18"/>
              </w:rPr>
              <w:t>Eligible students enrolled and screened (Objective 1)</w:t>
            </w:r>
          </w:p>
        </w:tc>
        <w:tc>
          <w:tcPr>
            <w:tcW w:type="dxa" w:w="1471"/>
          </w:tcPr>
          <w:p>
            <w:pPr>
              <w:spacing w:after="40" w:before="40" w:line="240" w:lineRule="auto"/>
            </w:pPr>
            <w:r>
              <w:rPr>
                <w:sz w:val="18"/>
              </w:rPr>
              <w:t>Number of students enrolled; percent of families with a completed 12-item barrier screen</w:t>
            </w:r>
          </w:p>
        </w:tc>
        <w:tc>
          <w:tcPr>
            <w:tcW w:type="dxa" w:w="1440"/>
          </w:tcPr>
          <w:p>
            <w:pPr>
              <w:spacing w:after="40" w:before="40" w:line="240" w:lineRule="auto"/>
            </w:pPr>
            <w:r>
              <w:rPr>
                <w:sz w:val="18"/>
              </w:rPr>
              <w:t>Coaching case log</w:t>
            </w:r>
          </w:p>
        </w:tc>
        <w:tc>
          <w:tcPr>
            <w:tcW w:type="dxa" w:w="1471"/>
          </w:tcPr>
          <w:p>
            <w:pPr>
              <w:spacing w:after="40" w:before="40" w:line="240" w:lineRule="auto"/>
            </w:pPr>
            <w:r>
              <w:rPr>
                <w:sz w:val="18"/>
              </w:rPr>
              <w:t>New cohort. The pilot enrolled 38 students at one school</w:t>
            </w:r>
          </w:p>
        </w:tc>
        <w:tc>
          <w:tcPr>
            <w:tcW w:type="dxa" w:w="1471"/>
          </w:tcPr>
          <w:p>
            <w:pPr>
              <w:spacing w:after="40" w:before="40" w:line="240" w:lineRule="auto"/>
            </w:pPr>
            <w:r>
              <w:rPr>
                <w:sz w:val="18"/>
              </w:rPr>
              <w:t>120 students enrolled (60 per school) and 100 percent screened by November 15, 2027</w:t>
            </w:r>
          </w:p>
        </w:tc>
        <w:tc>
          <w:tcPr>
            <w:tcW w:type="dxa" w:w="1366"/>
          </w:tcPr>
          <w:p>
            <w:pPr>
              <w:spacing w:after="40" w:before="40" w:line="240" w:lineRule="auto"/>
            </w:pPr>
            <w:r>
              <w:rPr>
                <w:sz w:val="18"/>
              </w:rPr>
              <w:t>Weekly during enrollment (August to November), then monthly</w:t>
            </w:r>
          </w:p>
        </w:tc>
      </w:tr>
      <w:tr>
        <w:trPr>
          <w:cantSplit w:val="true"/>
        </w:trPr>
        <w:tc>
          <w:tcPr>
            <w:tcW w:type="dxa" w:w="1421"/>
          </w:tcPr>
          <w:p>
            <w:pPr>
              <w:spacing w:after="40" w:before="40" w:line="240" w:lineRule="auto"/>
            </w:pPr>
            <w:r>
              <w:rPr>
                <w:sz w:val="18"/>
              </w:rPr>
              <w:t>Coaching delivered as designed (Objective 1)</w:t>
            </w:r>
          </w:p>
        </w:tc>
        <w:tc>
          <w:tcPr>
            <w:tcW w:type="dxa" w:w="1471"/>
          </w:tcPr>
          <w:p>
            <w:pPr>
              <w:spacing w:after="40" w:before="40" w:line="240" w:lineRule="auto"/>
            </w:pPr>
            <w:r>
              <w:rPr>
                <w:sz w:val="18"/>
              </w:rPr>
              <w:t>Coaching contacts and home visits, in total and per student by tier</w:t>
            </w:r>
          </w:p>
        </w:tc>
        <w:tc>
          <w:tcPr>
            <w:tcW w:type="dxa" w:w="1440"/>
          </w:tcPr>
          <w:p>
            <w:pPr>
              <w:spacing w:after="40" w:before="40" w:line="240" w:lineRule="auto"/>
            </w:pPr>
            <w:r>
              <w:rPr>
                <w:sz w:val="18"/>
              </w:rPr>
              <w:t>Coaching case log</w:t>
            </w:r>
          </w:p>
        </w:tc>
        <w:tc>
          <w:tcPr>
            <w:tcW w:type="dxa" w:w="1471"/>
          </w:tcPr>
          <w:p>
            <w:pPr>
              <w:spacing w:after="40" w:before="40" w:line="240" w:lineRule="auto"/>
            </w:pPr>
            <w:r>
              <w:rPr>
                <w:sz w:val="18"/>
              </w:rPr>
              <w:t>Pilot: 21 contacts per student over the year</w:t>
            </w:r>
          </w:p>
        </w:tc>
        <w:tc>
          <w:tcPr>
            <w:tcW w:type="dxa" w:w="1471"/>
          </w:tcPr>
          <w:p>
            <w:pPr>
              <w:spacing w:after="40" w:before="40" w:line="240" w:lineRule="auto"/>
            </w:pPr>
            <w:r>
              <w:rPr>
                <w:sz w:val="18"/>
              </w:rPr>
              <w:t>At least 2,000 contacts and 240 home visits</w:t>
            </w:r>
          </w:p>
        </w:tc>
        <w:tc>
          <w:tcPr>
            <w:tcW w:type="dxa" w:w="1366"/>
          </w:tcPr>
          <w:p>
            <w:pPr>
              <w:spacing w:after="40" w:before="40" w:line="240" w:lineRule="auto"/>
            </w:pPr>
            <w:r>
              <w:rPr>
                <w:sz w:val="18"/>
              </w:rPr>
              <w:t>Monthly</w:t>
            </w:r>
          </w:p>
        </w:tc>
      </w:tr>
      <w:tr>
        <w:trPr>
          <w:cantSplit w:val="true"/>
        </w:trPr>
        <w:tc>
          <w:tcPr>
            <w:tcW w:type="dxa" w:w="1421"/>
          </w:tcPr>
          <w:p>
            <w:pPr>
              <w:spacing w:after="40" w:before="40" w:line="240" w:lineRule="auto"/>
            </w:pPr>
            <w:r>
              <w:rPr>
                <w:sz w:val="18"/>
              </w:rPr>
              <w:t>Students below the chronic absence threshold (Objective 2)</w:t>
            </w:r>
          </w:p>
        </w:tc>
        <w:tc>
          <w:tcPr>
            <w:tcW w:type="dxa" w:w="1471"/>
          </w:tcPr>
          <w:p>
            <w:pPr>
              <w:spacing w:after="40" w:before="40" w:line="240" w:lineRule="auto"/>
            </w:pPr>
            <w:r>
              <w:rPr>
                <w:sz w:val="18"/>
              </w:rPr>
              <w:t>Percent of enrolled students who end 2027-28 missing fewer than 10 percent of enrolled days</w:t>
            </w:r>
          </w:p>
        </w:tc>
        <w:tc>
          <w:tcPr>
            <w:tcW w:type="dxa" w:w="1440"/>
          </w:tcPr>
          <w:p>
            <w:pPr>
              <w:spacing w:after="40" w:before="40" w:line="240" w:lineRule="auto"/>
            </w:pPr>
            <w:r>
              <w:rPr>
                <w:sz w:val="18"/>
              </w:rPr>
              <w:t>District attendance records, under the data-sharing agreement</w:t>
            </w:r>
          </w:p>
        </w:tc>
        <w:tc>
          <w:tcPr>
            <w:tcW w:type="dxa" w:w="1471"/>
          </w:tcPr>
          <w:p>
            <w:pPr>
              <w:spacing w:after="40" w:before="40" w:line="240" w:lineRule="auto"/>
            </w:pPr>
            <w:r>
              <w:rPr>
                <w:sz w:val="18"/>
              </w:rPr>
              <w:t>Every enrolled student was chronically absent in 2026-27 or on track to be by October 15, 2027. Pilot result: 55 percent</w:t>
            </w:r>
          </w:p>
        </w:tc>
        <w:tc>
          <w:tcPr>
            <w:tcW w:type="dxa" w:w="1471"/>
          </w:tcPr>
          <w:p>
            <w:pPr>
              <w:spacing w:after="40" w:before="40" w:line="240" w:lineRule="auto"/>
            </w:pPr>
            <w:r>
              <w:rPr>
                <w:sz w:val="18"/>
              </w:rPr>
              <w:t>55 percent (66 of 120)</w:t>
            </w:r>
          </w:p>
        </w:tc>
        <w:tc>
          <w:tcPr>
            <w:tcW w:type="dxa" w:w="1366"/>
          </w:tcPr>
          <w:p>
            <w:pPr>
              <w:spacing w:after="40" w:before="40" w:line="240" w:lineRule="auto"/>
            </w:pPr>
            <w:r>
              <w:rPr>
                <w:sz w:val="18"/>
              </w:rPr>
              <w:t>Monthly; final count when the district closes the year in June 2028</w:t>
            </w:r>
          </w:p>
        </w:tc>
      </w:tr>
      <w:tr>
        <w:trPr>
          <w:cantSplit w:val="true"/>
        </w:trPr>
        <w:tc>
          <w:tcPr>
            <w:tcW w:type="dxa" w:w="1421"/>
          </w:tcPr>
          <w:p>
            <w:pPr>
              <w:spacing w:after="40" w:before="40" w:line="240" w:lineRule="auto"/>
            </w:pPr>
            <w:r>
              <w:rPr>
                <w:sz w:val="18"/>
              </w:rPr>
              <w:t>Fewer days absent (Objective 2)</w:t>
            </w:r>
          </w:p>
        </w:tc>
        <w:tc>
          <w:tcPr>
            <w:tcW w:type="dxa" w:w="1471"/>
          </w:tcPr>
          <w:p>
            <w:pPr>
              <w:spacing w:after="40" w:before="40" w:line="240" w:lineRule="auto"/>
            </w:pPr>
            <w:r>
              <w:rPr>
                <w:sz w:val="18"/>
              </w:rPr>
              <w:t>Average change in days absent from 2026-27 to 2027-28 for the same students</w:t>
            </w:r>
          </w:p>
        </w:tc>
        <w:tc>
          <w:tcPr>
            <w:tcW w:type="dxa" w:w="1440"/>
          </w:tcPr>
          <w:p>
            <w:pPr>
              <w:spacing w:after="40" w:before="40" w:line="240" w:lineRule="auto"/>
            </w:pPr>
            <w:r>
              <w:rPr>
                <w:sz w:val="18"/>
              </w:rPr>
              <w:t>District attendance records</w:t>
            </w:r>
          </w:p>
        </w:tc>
        <w:tc>
          <w:tcPr>
            <w:tcW w:type="dxa" w:w="1471"/>
          </w:tcPr>
          <w:p>
            <w:pPr>
              <w:spacing w:after="40" w:before="40" w:line="240" w:lineRule="auto"/>
            </w:pPr>
            <w:r>
              <w:rPr>
                <w:sz w:val="18"/>
              </w:rPr>
              <w:t>2026-27 average days absent for enrolled students, calculated at enrollment. Pilot baseline: 24.6 days</w:t>
            </w:r>
          </w:p>
        </w:tc>
        <w:tc>
          <w:tcPr>
            <w:tcW w:type="dxa" w:w="1471"/>
          </w:tcPr>
          <w:p>
            <w:pPr>
              <w:spacing w:after="40" w:before="40" w:line="240" w:lineRule="auto"/>
            </w:pPr>
            <w:r>
              <w:rPr>
                <w:sz w:val="18"/>
              </w:rPr>
              <w:t>An average of at least 5 fewer days (pilot: 6.7 fewer)</w:t>
            </w:r>
          </w:p>
        </w:tc>
        <w:tc>
          <w:tcPr>
            <w:tcW w:type="dxa" w:w="1366"/>
          </w:tcPr>
          <w:p>
            <w:pPr>
              <w:spacing w:after="40" w:before="40" w:line="240" w:lineRule="auto"/>
            </w:pPr>
            <w:r>
              <w:rPr>
                <w:sz w:val="18"/>
              </w:rPr>
              <w:t>Midyear (January 2028) and year end (June 2028)</w:t>
            </w:r>
          </w:p>
        </w:tc>
      </w:tr>
      <w:tr>
        <w:trPr>
          <w:cantSplit w:val="true"/>
        </w:trPr>
        <w:tc>
          <w:tcPr>
            <w:tcW w:type="dxa" w:w="1421"/>
          </w:tcPr>
          <w:p>
            <w:pPr>
              <w:spacing w:after="40" w:before="40" w:line="240" w:lineRule="auto"/>
            </w:pPr>
            <w:r>
              <w:rPr>
                <w:sz w:val="18"/>
              </w:rPr>
              <w:t>Barriers addressed (Objective 3)</w:t>
            </w:r>
          </w:p>
        </w:tc>
        <w:tc>
          <w:tcPr>
            <w:tcW w:type="dxa" w:w="1471"/>
          </w:tcPr>
          <w:p>
            <w:pPr>
              <w:spacing w:after="40" w:before="40" w:line="240" w:lineRule="auto"/>
            </w:pPr>
            <w:r>
              <w:rPr>
                <w:sz w:val="18"/>
              </w:rPr>
              <w:t>Percent of families with a barrier on the intake screen who have at least one completed support or referral for it</w:t>
            </w:r>
          </w:p>
        </w:tc>
        <w:tc>
          <w:tcPr>
            <w:tcW w:type="dxa" w:w="1440"/>
          </w:tcPr>
          <w:p>
            <w:pPr>
              <w:spacing w:after="40" w:before="40" w:line="240" w:lineRule="auto"/>
            </w:pPr>
            <w:r>
              <w:rPr>
                <w:sz w:val="18"/>
              </w:rPr>
              <w:t>Coaching case log; referral confirmations from the clinic and the school nurse</w:t>
            </w:r>
          </w:p>
        </w:tc>
        <w:tc>
          <w:tcPr>
            <w:tcW w:type="dxa" w:w="1471"/>
          </w:tcPr>
          <w:p>
            <w:pPr>
              <w:spacing w:after="40" w:before="40" w:line="240" w:lineRule="auto"/>
            </w:pPr>
            <w:r>
              <w:rPr>
                <w:sz w:val="18"/>
              </w:rPr>
              <w:t>Intake barrier screen</w:t>
            </w:r>
          </w:p>
        </w:tc>
        <w:tc>
          <w:tcPr>
            <w:tcW w:type="dxa" w:w="1471"/>
          </w:tcPr>
          <w:p>
            <w:pPr>
              <w:spacing w:after="40" w:before="40" w:line="240" w:lineRule="auto"/>
            </w:pPr>
            <w:r>
              <w:rPr>
                <w:sz w:val="18"/>
              </w:rPr>
              <w:t>80 percent</w:t>
            </w:r>
          </w:p>
        </w:tc>
        <w:tc>
          <w:tcPr>
            <w:tcW w:type="dxa" w:w="1366"/>
          </w:tcPr>
          <w:p>
            <w:pPr>
              <w:spacing w:after="40" w:before="40" w:line="240" w:lineRule="auto"/>
            </w:pPr>
            <w:r>
              <w:rPr>
                <w:sz w:val="18"/>
              </w:rPr>
              <w:t>Monthly</w:t>
            </w:r>
          </w:p>
        </w:tc>
      </w:tr>
      <w:tr>
        <w:trPr>
          <w:cantSplit w:val="true"/>
        </w:trPr>
        <w:tc>
          <w:tcPr>
            <w:tcW w:type="dxa" w:w="1421"/>
          </w:tcPr>
          <w:p>
            <w:pPr>
              <w:spacing w:after="40" w:before="40" w:line="240" w:lineRule="auto"/>
            </w:pPr>
            <w:r>
              <w:rPr>
                <w:sz w:val="18"/>
              </w:rPr>
              <w:t>Families see the barrier shrink</w:t>
            </w:r>
          </w:p>
        </w:tc>
        <w:tc>
          <w:tcPr>
            <w:tcW w:type="dxa" w:w="1471"/>
          </w:tcPr>
          <w:p>
            <w:pPr>
              <w:spacing w:after="40" w:before="40" w:line="240" w:lineRule="auto"/>
            </w:pPr>
            <w:r>
              <w:rPr>
                <w:sz w:val="18"/>
              </w:rPr>
              <w:t>Percent of responding families who report their main barrier is smaller than at intake</w:t>
            </w:r>
          </w:p>
        </w:tc>
        <w:tc>
          <w:tcPr>
            <w:tcW w:type="dxa" w:w="1440"/>
          </w:tcPr>
          <w:p>
            <w:pPr>
              <w:spacing w:after="40" w:before="40" w:line="240" w:lineRule="auto"/>
            </w:pPr>
            <w:r>
              <w:rPr>
                <w:sz w:val="18"/>
              </w:rPr>
              <w:t>Spring family survey, 8 questions, English and Spanish</w:t>
            </w:r>
          </w:p>
        </w:tc>
        <w:tc>
          <w:tcPr>
            <w:tcW w:type="dxa" w:w="1471"/>
          </w:tcPr>
          <w:p>
            <w:pPr>
              <w:spacing w:after="40" w:before="40" w:line="240" w:lineRule="auto"/>
            </w:pPr>
            <w:r>
              <w:rPr>
                <w:sz w:val="18"/>
              </w:rPr>
              <w:t>Intake barrier screen</w:t>
            </w:r>
          </w:p>
        </w:tc>
        <w:tc>
          <w:tcPr>
            <w:tcW w:type="dxa" w:w="1471"/>
          </w:tcPr>
          <w:p>
            <w:pPr>
              <w:spacing w:after="40" w:before="40" w:line="240" w:lineRule="auto"/>
            </w:pPr>
            <w:r>
              <w:rPr>
                <w:sz w:val="18"/>
              </w:rPr>
              <w:t>70 percent of respondents, with a response rate of at least 60 percent</w:t>
            </w:r>
          </w:p>
        </w:tc>
        <w:tc>
          <w:tcPr>
            <w:tcW w:type="dxa" w:w="1366"/>
          </w:tcPr>
          <w:p>
            <w:pPr>
              <w:spacing w:after="40" w:before="40" w:line="240" w:lineRule="auto"/>
            </w:pPr>
            <w:r>
              <w:rPr>
                <w:sz w:val="18"/>
              </w:rPr>
              <w:t>Once, April to May 2028</w:t>
            </w:r>
          </w:p>
        </w:tc>
      </w:tr>
    </w:tbl>
    <w:p>
      <w:pPr>
        <w:spacing w:after="0" w:before="0" w:line="120" w:lineRule="exact"/>
      </w:pPr>
    </w:p>
    <w:p>
      <w:pPr>
        <w:pStyle w:val="Heading1"/>
      </w:pPr>
      <w:r>
        <w:t>3. Data collection methods</w:t>
      </w:r>
    </w:p>
    <w:p>
      <w:r>
        <w:t>Attendance comes from Sedgewater County Schools' student information system. Our data-sharing agreement, signed in August 2025 and renewed each July, gives the two coaches read access to daily attendance for enrolled students, and the district sends the Program Manager a monthly file for all K-3 students at the two schools, plus aggregate counts for chronically absent K-3 students at its four other elementary schools. Coaches record every contact, home visit, voucher and referral in the case log the same day. The barrier screen is completed with the parent or guardian at intake, in English or Spanish, and the spring survey uses the same eight barrier items so the two can be compared.</w:t>
      </w:r>
    </w:p>
    <w:p>
      <w:r>
        <w:t>Families give written consent at enrollment for the coach to see their child's attendance and to use it, without names, in reports. Student-level data stays in our restricted-access case management system and in the university's secure research drive; nothing that names a student leaves those two places. Every report to the Foundation, the board or the schools uses aggregate counts only, and any group smaller than 10 students is reported as "fewer than 10".</w:t>
      </w:r>
    </w:p>
    <w:p>
      <w:pPr>
        <w:pStyle w:val="Heading1"/>
      </w:pPr>
      <w:r>
        <w:t>4. Analysis &amp; benchmarks</w:t>
      </w:r>
    </w:p>
    <w:p>
      <w:r>
        <w:t>The North Basin State University Center for Community Research matches each enrolled student to their 2026-27 attendance record and compares the two years for each student. For about one in six students, mostly kindergartners, there is no prior-year record; for them the comparison uses the absence rate at enrollment. Because students who are chronically absent one year often miss fewer days the next even without help, the analysis also compares enrolled students with chronically absent K-3 students at the district's four other elementary schools, using the district's aggregate counts. The benchmark is the pilot: 55 percent below the threshold and 6.7 fewer days absent. This design is proportional to a one-year program grant. It cannot prove that coaching caused the change; the university is seeking separate research funding for a matched comparison study that could.</w:t>
      </w:r>
    </w:p>
    <w:p>
      <w:pPr>
        <w:pStyle w:val="Heading1"/>
      </w:pPr>
      <w:r>
        <w:t>5. Use &amp; reporting</w:t>
      </w:r>
    </w:p>
    <w:p>
      <w:r>
        <w:t>The Program Manager reviews attendance with the coaches every month and moves students between tiers: a student still missing more than two days a month after six weeks moves to weekly contact and a home visit. The attendance team at each school sees aggregate results every two weeks. The board receives a one-page dashboard each quarter. The Foundation receives a midyear progress report by January 31, 2028, with enrollment, delivery and midyear attendance, and a final report by August 31, 2028, with every indicator in the table above and an account of anything that fell short. The end-of-year outcome memo also goes to the district's 2028-29 budget discussion.</w:t>
      </w:r>
    </w:p>
    <w:p>
      <w:pPr>
        <w:pStyle w:val="Heading1"/>
      </w:pPr>
      <w:r>
        <w:t>6. Roles &amp; budget</w:t>
      </w:r>
    </w:p>
    <w:p>
      <w:r>
        <w:t>The Program Manager owns the evaluation, spending about a third of a 0.15 FTE position on data work. The two coaches collect the case log data and the barrier screens. The North Basin State University Center for Community Research does the data matching and analysis under a $7,000 contract (56 hours at $125 an hour), which is 5.2 percent of the $135,440 project total. With the Program Manager's data time ($3,200 in salary and $640 in fringe), evaluation comes to about $10,840, or 8 percent of the project total.</w:t>
      </w:r>
    </w:p>
    <w:sectPr w:rsidR="00FC693F" w:rsidRPr="0006063C" w:rsidSect="00034616">
      <w:footerReference w:type="default" r:id="rId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Worked example by GrantCue · free grant management software · grantcue.com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Grant Evaluation Plan, Worked Example</dc:title>
  <dc:subject/>
  <dc:creator>GrantCue Team</dc:creator>
  <cp:keywords/>
  <dc:description/>
  <cp:lastModifiedBy>GrantCue Team</cp:lastModifiedBy>
  <cp:revision>1</cp:revision>
  <dcterms:created xsi:type="dcterms:W3CDTF">2026-10-19T12:00:00Z</dcterms:created>
  <dcterms:modified xsi:type="dcterms:W3CDTF">2026-10-19T12:00:00Z</dcterms:modified>
  <cp:category/>
</cp:coreProperties>
</file>