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Formula vs. Discretionary Grants</w:t>
      </w:r>
    </w:p>
    <w:p>
      <w:pPr>
        <w:pStyle w:val="Subtitle"/>
      </w:pPr>
      <w:r>
        <w:t>A working one-pager: how each type is awarded, who is eligible, and how to pursue it</w:t>
      </w:r>
    </w:p>
    <w:p>
      <w:pPr>
        <w:spacing w:before="40" w:after="40"/>
        <w:pBdr>
          <w:bottom w:val="single" w:sz="6" w:space="1" w:color="C6D0DA"/>
        </w:pBdr>
      </w:pPr>
    </w:p>
    <w:p>
      <w:pPr>
        <w:spacing w:after="160"/>
      </w:pPr>
      <w:r>
        <w:t>A federal grant program either picks winners or it does not. That single distinction decides whether you write a persuasive proposal or file a compliance package, whether your organization can apply at all, and where the work lands in your calendar. This sheet gives you the comparison, verified examples of formula programs, a three-check classification method, and the practical route a nonprofit takes to reach formula dollars.</w:t>
      </w:r>
    </w:p>
    <w:tbl>
      <w:tblPr>
        <w:tblStyle w:val="TableGrid"/>
        <w:tblW w:type="auto" w:w="0"/>
        <w:tblLayout w:type="fixed"/>
        <w:tblLook w:firstColumn="1" w:firstRow="1" w:lastColumn="0" w:lastRow="0" w:noHBand="0" w:noVBand="1" w:val="04A0"/>
        <w:tblCellMar>
          <w:top w:w="120" w:type="dxa"/>
          <w:left w:w="140" w:type="dxa"/>
          <w:bottom w:w="120" w:type="dxa"/>
          <w:right w:w="140" w:type="dxa"/>
        </w:tblCellMar>
      </w:tblPr>
      <w:tblGrid>
        <w:gridCol w:w="10080"/>
      </w:tblGrid>
      <w:tr>
        <w:tc>
          <w:tcPr>
            <w:tcW w:type="dxa" w:w="10080"/>
            <w:shd w:val="clear" w:color="auto" w:fill="EDF2F7"/>
          </w:tcPr>
          <w:p>
            <w:pPr>
              <w:spacing w:after="60"/>
            </w:pPr>
            <w:r/>
            <w:r>
              <w:rPr>
                <w:b/>
                <w:color w:val="142E51"/>
                <w:sz w:val="20"/>
              </w:rPr>
              <w:t>The one-sentence difference</w:t>
            </w:r>
          </w:p>
          <w:p>
            <w:pPr>
              <w:spacing w:after="0"/>
            </w:pPr>
            <w:r>
              <w:rPr>
                <w:color w:val="1F252B"/>
                <w:sz w:val="19"/>
              </w:rPr>
              <w:t>A formula grant is allocated to states, territories, or units of local government by a distribution formula written into the authorizing statute, with no competition. A discretionary grant is awarded by a federal agency that selects recipients from among eligible applicants and decides the amount. Title I is a formula grant. An NIH research project award is discretionary.</w:t>
            </w:r>
          </w:p>
        </w:tc>
      </w:tr>
    </w:tbl>
    <w:p>
      <w:pPr>
        <w:spacing w:after="40"/>
      </w:pPr>
    </w:p>
    <w:p>
      <w:pPr>
        <w:pStyle w:val="Heading1"/>
      </w:pPr>
      <w:r>
        <w:t>1. Side-by-Side Comparison</w:t>
      </w:r>
    </w:p>
    <w:p>
      <w:pPr>
        <w:spacing w:after="120"/>
      </w:pPr>
      <w:r>
        <w:t>Formula and discretionary grants differ in who chooses the recipient, who is eligible, what an applicant submits, and where the workload sits in the year.</w:t>
      </w:r>
    </w:p>
    <w:tbl>
      <w:tblPr>
        <w:tblStyle w:val="TableGrid"/>
        <w:tblW w:type="auto" w:w="0"/>
        <w:jc w:val="center"/>
        <w:tblLayout w:type="fixed"/>
        <w:tblLook w:firstColumn="1" w:firstRow="1" w:lastColumn="0" w:lastRow="0" w:noHBand="0" w:noVBand="1" w:val="04A0"/>
        <w:tblCellMar>
          <w:top w:w="60" w:type="dxa"/>
          <w:left w:w="90" w:type="dxa"/>
          <w:bottom w:w="60" w:type="dxa"/>
          <w:right w:w="90" w:type="dxa"/>
        </w:tblCellMar>
      </w:tblPr>
      <w:tblGrid>
        <w:gridCol w:w="2520"/>
        <w:gridCol w:w="3672"/>
        <w:gridCol w:w="3888"/>
      </w:tblGrid>
      <w:tr>
        <w:trPr>
          <w:tblHeader w:val="true"/>
        </w:trPr>
        <w:tc>
          <w:tcPr>
            <w:tcW w:type="dxa" w:w="2520"/>
            <w:shd w:val="clear" w:color="auto" w:fill="142E51"/>
          </w:tcPr>
          <w:p>
            <w:pPr>
              <w:spacing w:after="0" w:before="0" w:line="240" w:lineRule="auto"/>
            </w:pPr>
            <w:r/>
            <w:r>
              <w:rPr>
                <w:rFonts w:ascii="Calibri" w:hAnsi="Calibri"/>
                <w:b/>
                <w:color w:val="FFFFFF"/>
                <w:sz w:val="19"/>
              </w:rPr>
              <w:t>Question</w:t>
            </w:r>
          </w:p>
        </w:tc>
        <w:tc>
          <w:tcPr>
            <w:tcW w:type="dxa" w:w="3672"/>
            <w:shd w:val="clear" w:color="auto" w:fill="142E51"/>
          </w:tcPr>
          <w:p>
            <w:pPr>
              <w:spacing w:after="0" w:before="0" w:line="240" w:lineRule="auto"/>
            </w:pPr>
            <w:r/>
            <w:r>
              <w:rPr>
                <w:rFonts w:ascii="Calibri" w:hAnsi="Calibri"/>
                <w:b/>
                <w:color w:val="FFFFFF"/>
                <w:sz w:val="19"/>
              </w:rPr>
              <w:t>Formula grant</w:t>
            </w:r>
          </w:p>
        </w:tc>
        <w:tc>
          <w:tcPr>
            <w:tcW w:type="dxa" w:w="3888"/>
            <w:shd w:val="clear" w:color="auto" w:fill="142E51"/>
          </w:tcPr>
          <w:p>
            <w:pPr>
              <w:spacing w:after="0" w:before="0" w:line="240" w:lineRule="auto"/>
            </w:pPr>
            <w:r/>
            <w:r>
              <w:rPr>
                <w:rFonts w:ascii="Calibri" w:hAnsi="Calibri"/>
                <w:b/>
                <w:color w:val="FFFFFF"/>
                <w:sz w:val="19"/>
              </w:rPr>
              <w:t>Discretionary grant</w:t>
            </w:r>
          </w:p>
        </w:tc>
      </w:tr>
      <w:tr>
        <w:tc>
          <w:tcPr>
            <w:tcW w:type="dxa" w:w="2520"/>
          </w:tcPr>
          <w:p>
            <w:pPr>
              <w:spacing w:after="0" w:before="0" w:line="240" w:lineRule="auto"/>
            </w:pPr>
            <w:r/>
            <w:r>
              <w:rPr>
                <w:rFonts w:ascii="Calibri" w:hAnsi="Calibri"/>
                <w:b/>
                <w:sz w:val="19"/>
              </w:rPr>
              <w:t>Who selects the recipient</w:t>
            </w:r>
          </w:p>
        </w:tc>
        <w:tc>
          <w:tcPr>
            <w:tcW w:type="dxa" w:w="3672"/>
          </w:tcPr>
          <w:p>
            <w:pPr>
              <w:spacing w:after="0" w:before="0" w:line="240" w:lineRule="auto"/>
            </w:pPr>
            <w:r/>
            <w:r>
              <w:rPr>
                <w:rFonts w:ascii="Calibri" w:hAnsi="Calibri"/>
                <w:b w:val="0"/>
                <w:sz w:val="19"/>
              </w:rPr>
              <w:t>The statute, through a formula</w:t>
            </w:r>
          </w:p>
        </w:tc>
        <w:tc>
          <w:tcPr>
            <w:tcW w:type="dxa" w:w="3888"/>
          </w:tcPr>
          <w:p>
            <w:pPr>
              <w:spacing w:after="0" w:before="0" w:line="240" w:lineRule="auto"/>
            </w:pPr>
            <w:r/>
            <w:r>
              <w:rPr>
                <w:rFonts w:ascii="Calibri" w:hAnsi="Calibri"/>
                <w:b w:val="0"/>
                <w:sz w:val="19"/>
              </w:rPr>
              <w:t>The federal agency, from among eligible applicants</w:t>
            </w:r>
          </w:p>
        </w:tc>
      </w:tr>
      <w:tr>
        <w:tc>
          <w:tcPr>
            <w:tcW w:type="dxa" w:w="2520"/>
            <w:shd w:val="clear" w:color="auto" w:fill="F2F5F8"/>
          </w:tcPr>
          <w:p>
            <w:pPr>
              <w:spacing w:after="0" w:before="0" w:line="240" w:lineRule="auto"/>
            </w:pPr>
            <w:r/>
            <w:r>
              <w:rPr>
                <w:rFonts w:ascii="Calibri" w:hAnsi="Calibri"/>
                <w:b/>
                <w:sz w:val="19"/>
              </w:rPr>
              <w:t>Who is usually eligible</w:t>
            </w:r>
          </w:p>
        </w:tc>
        <w:tc>
          <w:tcPr>
            <w:tcW w:type="dxa" w:w="3672"/>
            <w:shd w:val="clear" w:color="auto" w:fill="F2F5F8"/>
          </w:tcPr>
          <w:p>
            <w:pPr>
              <w:spacing w:after="0" w:before="0" w:line="240" w:lineRule="auto"/>
            </w:pPr>
            <w:r/>
            <w:r>
              <w:rPr>
                <w:rFonts w:ascii="Calibri" w:hAnsi="Calibri"/>
                <w:b w:val="0"/>
                <w:sz w:val="19"/>
              </w:rPr>
              <w:t>States, territories, units of local government</w:t>
            </w:r>
          </w:p>
        </w:tc>
        <w:tc>
          <w:tcPr>
            <w:tcW w:type="dxa" w:w="3888"/>
            <w:shd w:val="clear" w:color="auto" w:fill="F2F5F8"/>
          </w:tcPr>
          <w:p>
            <w:pPr>
              <w:spacing w:after="0" w:before="0" w:line="240" w:lineRule="auto"/>
            </w:pPr>
            <w:r/>
            <w:r>
              <w:rPr>
                <w:rFonts w:ascii="Calibri" w:hAnsi="Calibri"/>
                <w:b w:val="0"/>
                <w:sz w:val="19"/>
              </w:rPr>
              <w:t>Nonprofits, higher education institutions, tribes, businesses, governments</w:t>
            </w:r>
          </w:p>
        </w:tc>
      </w:tr>
      <w:tr>
        <w:tc>
          <w:tcPr>
            <w:tcW w:type="dxa" w:w="2520"/>
          </w:tcPr>
          <w:p>
            <w:pPr>
              <w:spacing w:after="0" w:before="0" w:line="240" w:lineRule="auto"/>
            </w:pPr>
            <w:r/>
            <w:r>
              <w:rPr>
                <w:rFonts w:ascii="Calibri" w:hAnsi="Calibri"/>
                <w:b/>
                <w:sz w:val="19"/>
              </w:rPr>
              <w:t>What you submit</w:t>
            </w:r>
          </w:p>
        </w:tc>
        <w:tc>
          <w:tcPr>
            <w:tcW w:type="dxa" w:w="3672"/>
          </w:tcPr>
          <w:p>
            <w:pPr>
              <w:spacing w:after="0" w:before="0" w:line="240" w:lineRule="auto"/>
            </w:pPr>
            <w:r/>
            <w:r>
              <w:rPr>
                <w:rFonts w:ascii="Calibri" w:hAnsi="Calibri"/>
                <w:b w:val="0"/>
                <w:sz w:val="19"/>
              </w:rPr>
              <w:t>An application confirming eligibility, plus a plan, certifications, and assurances</w:t>
            </w:r>
          </w:p>
        </w:tc>
        <w:tc>
          <w:tcPr>
            <w:tcW w:type="dxa" w:w="3888"/>
          </w:tcPr>
          <w:p>
            <w:pPr>
              <w:spacing w:after="0" w:before="0" w:line="240" w:lineRule="auto"/>
            </w:pPr>
            <w:r/>
            <w:r>
              <w:rPr>
                <w:rFonts w:ascii="Calibri" w:hAnsi="Calibri"/>
                <w:b w:val="0"/>
                <w:sz w:val="19"/>
              </w:rPr>
              <w:t>A competitive proposal scored against published review criteria</w:t>
            </w:r>
          </w:p>
        </w:tc>
      </w:tr>
      <w:tr>
        <w:tc>
          <w:tcPr>
            <w:tcW w:type="dxa" w:w="2520"/>
            <w:shd w:val="clear" w:color="auto" w:fill="F2F5F8"/>
          </w:tcPr>
          <w:p>
            <w:pPr>
              <w:spacing w:after="0" w:before="0" w:line="240" w:lineRule="auto"/>
            </w:pPr>
            <w:r/>
            <w:r>
              <w:rPr>
                <w:rFonts w:ascii="Calibri" w:hAnsi="Calibri"/>
                <w:b/>
                <w:sz w:val="19"/>
              </w:rPr>
              <w:t>What sets the amount</w:t>
            </w:r>
          </w:p>
        </w:tc>
        <w:tc>
          <w:tcPr>
            <w:tcW w:type="dxa" w:w="3672"/>
            <w:shd w:val="clear" w:color="auto" w:fill="F2F5F8"/>
          </w:tcPr>
          <w:p>
            <w:pPr>
              <w:spacing w:after="0" w:before="0" w:line="240" w:lineRule="auto"/>
            </w:pPr>
            <w:r/>
            <w:r>
              <w:rPr>
                <w:rFonts w:ascii="Calibri" w:hAnsi="Calibri"/>
                <w:b w:val="0"/>
                <w:sz w:val="19"/>
              </w:rPr>
              <w:t>Formula inputs such as population and poverty counts</w:t>
            </w:r>
          </w:p>
        </w:tc>
        <w:tc>
          <w:tcPr>
            <w:tcW w:type="dxa" w:w="3888"/>
            <w:shd w:val="clear" w:color="auto" w:fill="F2F5F8"/>
          </w:tcPr>
          <w:p>
            <w:pPr>
              <w:spacing w:after="0" w:before="0" w:line="240" w:lineRule="auto"/>
            </w:pPr>
            <w:r/>
            <w:r>
              <w:rPr>
                <w:rFonts w:ascii="Calibri" w:hAnsi="Calibri"/>
                <w:b w:val="0"/>
                <w:sz w:val="19"/>
              </w:rPr>
              <w:t>An agency decision within program limits</w:t>
            </w:r>
          </w:p>
        </w:tc>
      </w:tr>
      <w:tr>
        <w:tc>
          <w:tcPr>
            <w:tcW w:type="dxa" w:w="2520"/>
          </w:tcPr>
          <w:p>
            <w:pPr>
              <w:spacing w:after="0" w:before="0" w:line="240" w:lineRule="auto"/>
            </w:pPr>
            <w:r/>
            <w:r>
              <w:rPr>
                <w:rFonts w:ascii="Calibri" w:hAnsi="Calibri"/>
                <w:b/>
                <w:sz w:val="19"/>
              </w:rPr>
              <w:t>Typical shape</w:t>
            </w:r>
          </w:p>
        </w:tc>
        <w:tc>
          <w:tcPr>
            <w:tcW w:type="dxa" w:w="3672"/>
          </w:tcPr>
          <w:p>
            <w:pPr>
              <w:spacing w:after="0" w:before="0" w:line="240" w:lineRule="auto"/>
            </w:pPr>
            <w:r/>
            <w:r>
              <w:rPr>
                <w:rFonts w:ascii="Calibri" w:hAnsi="Calibri"/>
                <w:b w:val="0"/>
                <w:sz w:val="19"/>
              </w:rPr>
              <w:t>Continuing activity on an annual cycle</w:t>
            </w:r>
          </w:p>
        </w:tc>
        <w:tc>
          <w:tcPr>
            <w:tcW w:type="dxa" w:w="3888"/>
          </w:tcPr>
          <w:p>
            <w:pPr>
              <w:spacing w:after="0" w:before="0" w:line="240" w:lineRule="auto"/>
            </w:pPr>
            <w:r/>
            <w:r>
              <w:rPr>
                <w:rFonts w:ascii="Calibri" w:hAnsi="Calibri"/>
                <w:b w:val="0"/>
                <w:sz w:val="19"/>
              </w:rPr>
              <w:t>A fixed project period with a defined scope</w:t>
            </w:r>
          </w:p>
        </w:tc>
      </w:tr>
      <w:tr>
        <w:tc>
          <w:tcPr>
            <w:tcW w:type="dxa" w:w="2520"/>
            <w:shd w:val="clear" w:color="auto" w:fill="F2F5F8"/>
          </w:tcPr>
          <w:p>
            <w:pPr>
              <w:spacing w:after="0" w:before="0" w:line="240" w:lineRule="auto"/>
            </w:pPr>
            <w:r/>
            <w:r>
              <w:rPr>
                <w:rFonts w:ascii="Calibri" w:hAnsi="Calibri"/>
                <w:b/>
                <w:sz w:val="19"/>
              </w:rPr>
              <w:t>Where the effort concentrates</w:t>
            </w:r>
          </w:p>
        </w:tc>
        <w:tc>
          <w:tcPr>
            <w:tcW w:type="dxa" w:w="3672"/>
            <w:shd w:val="clear" w:color="auto" w:fill="F2F5F8"/>
          </w:tcPr>
          <w:p>
            <w:pPr>
              <w:spacing w:after="0" w:before="0" w:line="240" w:lineRule="auto"/>
            </w:pPr>
            <w:r/>
            <w:r>
              <w:rPr>
                <w:rFonts w:ascii="Calibri" w:hAnsi="Calibri"/>
                <w:b w:val="0"/>
                <w:sz w:val="19"/>
              </w:rPr>
              <w:t>Post-award: spending rules, reporting, audit</w:t>
            </w:r>
          </w:p>
        </w:tc>
        <w:tc>
          <w:tcPr>
            <w:tcW w:type="dxa" w:w="3888"/>
            <w:shd w:val="clear" w:color="auto" w:fill="F2F5F8"/>
          </w:tcPr>
          <w:p>
            <w:pPr>
              <w:spacing w:after="0" w:before="0" w:line="240" w:lineRule="auto"/>
            </w:pPr>
            <w:r/>
            <w:r>
              <w:rPr>
                <w:rFonts w:ascii="Calibri" w:hAnsi="Calibri"/>
                <w:b w:val="0"/>
                <w:sz w:val="19"/>
              </w:rPr>
              <w:t>Pre-award: narrative, budget, submission</w:t>
            </w:r>
          </w:p>
        </w:tc>
      </w:tr>
      <w:tr>
        <w:tc>
          <w:tcPr>
            <w:tcW w:type="dxa" w:w="2520"/>
          </w:tcPr>
          <w:p>
            <w:pPr>
              <w:spacing w:after="0" w:before="0" w:line="240" w:lineRule="auto"/>
            </w:pPr>
            <w:r/>
            <w:r>
              <w:rPr>
                <w:rFonts w:ascii="Calibri" w:hAnsi="Calibri"/>
                <w:b/>
                <w:sz w:val="19"/>
              </w:rPr>
              <w:t>Where a nonprofit usually fits</w:t>
            </w:r>
          </w:p>
        </w:tc>
        <w:tc>
          <w:tcPr>
            <w:tcW w:type="dxa" w:w="3672"/>
          </w:tcPr>
          <w:p>
            <w:pPr>
              <w:spacing w:after="0" w:before="0" w:line="240" w:lineRule="auto"/>
            </w:pPr>
            <w:r/>
            <w:r>
              <w:rPr>
                <w:rFonts w:ascii="Calibri" w:hAnsi="Calibri"/>
                <w:b w:val="0"/>
                <w:sz w:val="19"/>
              </w:rPr>
              <w:t>As a subrecipient of a state or local government</w:t>
            </w:r>
          </w:p>
        </w:tc>
        <w:tc>
          <w:tcPr>
            <w:tcW w:type="dxa" w:w="3888"/>
          </w:tcPr>
          <w:p>
            <w:pPr>
              <w:spacing w:after="0" w:before="0" w:line="240" w:lineRule="auto"/>
            </w:pPr>
            <w:r/>
            <w:r>
              <w:rPr>
                <w:rFonts w:ascii="Calibri" w:hAnsi="Calibri"/>
                <w:b w:val="0"/>
                <w:sz w:val="19"/>
              </w:rPr>
              <w:t>As a direct applicant</w:t>
            </w:r>
          </w:p>
        </w:tc>
      </w:tr>
      <w:tr>
        <w:tc>
          <w:tcPr>
            <w:tcW w:type="dxa" w:w="2520"/>
            <w:shd w:val="clear" w:color="auto" w:fill="F2F5F8"/>
          </w:tcPr>
          <w:p>
            <w:pPr>
              <w:spacing w:after="0" w:before="0" w:line="240" w:lineRule="auto"/>
            </w:pPr>
            <w:r/>
            <w:r>
              <w:rPr>
                <w:rFonts w:ascii="Calibri" w:hAnsi="Calibri"/>
                <w:b/>
                <w:sz w:val="19"/>
              </w:rPr>
              <w:t>Grants.gov opportunity category</w:t>
            </w:r>
          </w:p>
        </w:tc>
        <w:tc>
          <w:tcPr>
            <w:tcW w:type="dxa" w:w="3672"/>
            <w:shd w:val="clear" w:color="auto" w:fill="F2F5F8"/>
          </w:tcPr>
          <w:p>
            <w:pPr>
              <w:spacing w:after="0" w:before="0" w:line="240" w:lineRule="auto"/>
            </w:pPr>
            <w:r/>
            <w:r>
              <w:rPr>
                <w:rFonts w:ascii="Calibri" w:hAnsi="Calibri"/>
                <w:b w:val="0"/>
                <w:sz w:val="19"/>
              </w:rPr>
              <w:t>Mandatory</w:t>
            </w:r>
          </w:p>
        </w:tc>
        <w:tc>
          <w:tcPr>
            <w:tcW w:type="dxa" w:w="3888"/>
            <w:shd w:val="clear" w:color="auto" w:fill="F2F5F8"/>
          </w:tcPr>
          <w:p>
            <w:pPr>
              <w:spacing w:after="0" w:before="0" w:line="240" w:lineRule="auto"/>
            </w:pPr>
            <w:r/>
            <w:r>
              <w:rPr>
                <w:rFonts w:ascii="Calibri" w:hAnsi="Calibri"/>
                <w:b w:val="0"/>
                <w:sz w:val="19"/>
              </w:rPr>
              <w:t>Discretionary</w:t>
            </w:r>
          </w:p>
        </w:tc>
      </w:tr>
      <w:tr>
        <w:tc>
          <w:tcPr>
            <w:tcW w:type="dxa" w:w="2520"/>
          </w:tcPr>
          <w:p>
            <w:pPr>
              <w:spacing w:after="0" w:before="0" w:line="240" w:lineRule="auto"/>
            </w:pPr>
            <w:r/>
            <w:r>
              <w:rPr>
                <w:rFonts w:ascii="Calibri" w:hAnsi="Calibri"/>
                <w:b/>
                <w:sz w:val="19"/>
              </w:rPr>
              <w:t>Is there a deadline</w:t>
            </w:r>
          </w:p>
        </w:tc>
        <w:tc>
          <w:tcPr>
            <w:tcW w:type="dxa" w:w="3672"/>
          </w:tcPr>
          <w:p>
            <w:pPr>
              <w:spacing w:after="0" w:before="0" w:line="240" w:lineRule="auto"/>
            </w:pPr>
            <w:r/>
            <w:r>
              <w:rPr>
                <w:rFonts w:ascii="Calibri" w:hAnsi="Calibri"/>
                <w:b w:val="0"/>
                <w:sz w:val="19"/>
              </w:rPr>
              <w:t>Yes. The amount may be set in advance, but the application window still closes</w:t>
            </w:r>
          </w:p>
        </w:tc>
        <w:tc>
          <w:tcPr>
            <w:tcW w:type="dxa" w:w="3888"/>
          </w:tcPr>
          <w:p>
            <w:pPr>
              <w:spacing w:after="0" w:before="0" w:line="240" w:lineRule="auto"/>
            </w:pPr>
            <w:r/>
            <w:r>
              <w:rPr>
                <w:rFonts w:ascii="Calibri" w:hAnsi="Calibri"/>
                <w:b w:val="0"/>
                <w:sz w:val="19"/>
              </w:rPr>
              <w:t>Yes, and it is the whole game. Missing it ends the attempt</w:t>
            </w:r>
          </w:p>
        </w:tc>
      </w:tr>
    </w:tbl>
    <w:p>
      <w:pPr>
        <w:spacing w:after="40"/>
      </w:pPr>
    </w:p>
    <w:p>
      <w:pPr>
        <w:pStyle w:val="Heading1"/>
      </w:pPr>
      <w:r>
        <w:t>2. Formula Grant Examples</w:t>
      </w:r>
    </w:p>
    <w:p>
      <w:pPr>
        <w:spacing w:after="120"/>
      </w:pPr>
      <w:r>
        <w:t>Each of these is documented on the administering agency's own site. They are the programs most often mistaken for open competitions.</w:t>
      </w:r>
    </w:p>
    <w:tbl>
      <w:tblPr>
        <w:tblStyle w:val="TableGrid"/>
        <w:tblW w:type="auto" w:w="0"/>
        <w:jc w:val="center"/>
        <w:tblLayout w:type="fixed"/>
        <w:tblLook w:firstColumn="1" w:firstRow="1" w:lastColumn="0" w:lastRow="0" w:noHBand="0" w:noVBand="1" w:val="04A0"/>
        <w:tblCellMar>
          <w:top w:w="60" w:type="dxa"/>
          <w:left w:w="90" w:type="dxa"/>
          <w:bottom w:w="60" w:type="dxa"/>
          <w:right w:w="90" w:type="dxa"/>
        </w:tblCellMar>
      </w:tblPr>
      <w:tblGrid>
        <w:gridCol w:w="2160"/>
        <w:gridCol w:w="1800"/>
        <w:gridCol w:w="2664"/>
        <w:gridCol w:w="3456"/>
      </w:tblGrid>
      <w:tr>
        <w:trPr>
          <w:tblHeader w:val="true"/>
        </w:trPr>
        <w:tc>
          <w:tcPr>
            <w:tcW w:type="dxa" w:w="2160"/>
            <w:shd w:val="clear" w:color="auto" w:fill="142E51"/>
          </w:tcPr>
          <w:p>
            <w:pPr>
              <w:spacing w:after="0" w:before="0" w:line="240" w:lineRule="auto"/>
            </w:pPr>
            <w:r/>
            <w:r>
              <w:rPr>
                <w:rFonts w:ascii="Calibri" w:hAnsi="Calibri"/>
                <w:b/>
                <w:color w:val="FFFFFF"/>
                <w:sz w:val="19"/>
              </w:rPr>
              <w:t>Program</w:t>
            </w:r>
          </w:p>
        </w:tc>
        <w:tc>
          <w:tcPr>
            <w:tcW w:type="dxa" w:w="1800"/>
            <w:shd w:val="clear" w:color="auto" w:fill="142E51"/>
          </w:tcPr>
          <w:p>
            <w:pPr>
              <w:spacing w:after="0" w:before="0" w:line="240" w:lineRule="auto"/>
            </w:pPr>
            <w:r/>
            <w:r>
              <w:rPr>
                <w:rFonts w:ascii="Calibri" w:hAnsi="Calibri"/>
                <w:b/>
                <w:color w:val="FFFFFF"/>
                <w:sz w:val="19"/>
              </w:rPr>
              <w:t>Agency</w:t>
            </w:r>
          </w:p>
        </w:tc>
        <w:tc>
          <w:tcPr>
            <w:tcW w:type="dxa" w:w="2664"/>
            <w:shd w:val="clear" w:color="auto" w:fill="142E51"/>
          </w:tcPr>
          <w:p>
            <w:pPr>
              <w:spacing w:after="0" w:before="0" w:line="240" w:lineRule="auto"/>
            </w:pPr>
            <w:r/>
            <w:r>
              <w:rPr>
                <w:rFonts w:ascii="Calibri" w:hAnsi="Calibri"/>
                <w:b/>
                <w:color w:val="FFFFFF"/>
                <w:sz w:val="19"/>
              </w:rPr>
              <w:t>Who receives it</w:t>
            </w:r>
          </w:p>
        </w:tc>
        <w:tc>
          <w:tcPr>
            <w:tcW w:type="dxa" w:w="3456"/>
            <w:shd w:val="clear" w:color="auto" w:fill="142E51"/>
          </w:tcPr>
          <w:p>
            <w:pPr>
              <w:spacing w:after="0" w:before="0" w:line="240" w:lineRule="auto"/>
            </w:pPr>
            <w:r/>
            <w:r>
              <w:rPr>
                <w:rFonts w:ascii="Calibri" w:hAnsi="Calibri"/>
                <w:b/>
                <w:color w:val="FFFFFF"/>
                <w:sz w:val="19"/>
              </w:rPr>
              <w:t>What drives the allocation</w:t>
            </w:r>
          </w:p>
        </w:tc>
      </w:tr>
      <w:tr>
        <w:tc>
          <w:tcPr>
            <w:tcW w:type="dxa" w:w="2160"/>
          </w:tcPr>
          <w:p>
            <w:pPr>
              <w:spacing w:after="0" w:before="0" w:line="240" w:lineRule="auto"/>
            </w:pPr>
            <w:r/>
            <w:r>
              <w:rPr>
                <w:rFonts w:ascii="Calibri" w:hAnsi="Calibri"/>
                <w:b/>
                <w:sz w:val="18"/>
              </w:rPr>
              <w:t>Title I, Part A</w:t>
            </w:r>
          </w:p>
        </w:tc>
        <w:tc>
          <w:tcPr>
            <w:tcW w:type="dxa" w:w="1800"/>
          </w:tcPr>
          <w:p>
            <w:pPr>
              <w:spacing w:after="0" w:before="0" w:line="240" w:lineRule="auto"/>
            </w:pPr>
            <w:r/>
            <w:r>
              <w:rPr>
                <w:rFonts w:ascii="Calibri" w:hAnsi="Calibri"/>
                <w:b w:val="0"/>
                <w:sz w:val="18"/>
              </w:rPr>
              <w:t>U.S. Dept. of Education</w:t>
            </w:r>
          </w:p>
        </w:tc>
        <w:tc>
          <w:tcPr>
            <w:tcW w:type="dxa" w:w="2664"/>
          </w:tcPr>
          <w:p>
            <w:pPr>
              <w:spacing w:after="0" w:before="0" w:line="240" w:lineRule="auto"/>
            </w:pPr>
            <w:r/>
            <w:r>
              <w:rPr>
                <w:rFonts w:ascii="Calibri" w:hAnsi="Calibri"/>
                <w:b w:val="0"/>
                <w:sz w:val="18"/>
              </w:rPr>
              <w:t>State education agencies, then local education agencies</w:t>
            </w:r>
          </w:p>
        </w:tc>
        <w:tc>
          <w:tcPr>
            <w:tcW w:type="dxa" w:w="3456"/>
          </w:tcPr>
          <w:p>
            <w:pPr>
              <w:spacing w:after="0" w:before="0" w:line="240" w:lineRule="auto"/>
            </w:pPr>
            <w:r/>
            <w:r>
              <w:rPr>
                <w:rFonts w:ascii="Calibri" w:hAnsi="Calibri"/>
                <w:b w:val="0"/>
                <w:sz w:val="18"/>
              </w:rPr>
              <w:t>Four statutory formulas: Basic, Concentration, Targeted, and Education Finance Incentive Grants, built on annually updated census poverty data</w:t>
            </w:r>
          </w:p>
        </w:tc>
      </w:tr>
      <w:tr>
        <w:tc>
          <w:tcPr>
            <w:tcW w:type="dxa" w:w="2160"/>
            <w:shd w:val="clear" w:color="auto" w:fill="F2F5F8"/>
          </w:tcPr>
          <w:p>
            <w:pPr>
              <w:spacing w:after="0" w:before="0" w:line="240" w:lineRule="auto"/>
            </w:pPr>
            <w:r/>
            <w:r>
              <w:rPr>
                <w:rFonts w:ascii="Calibri" w:hAnsi="Calibri"/>
                <w:b/>
                <w:sz w:val="18"/>
              </w:rPr>
              <w:t>IDEA Grants to States, Part B Sec. 611</w:t>
            </w:r>
          </w:p>
        </w:tc>
        <w:tc>
          <w:tcPr>
            <w:tcW w:type="dxa" w:w="1800"/>
            <w:shd w:val="clear" w:color="auto" w:fill="F2F5F8"/>
          </w:tcPr>
          <w:p>
            <w:pPr>
              <w:spacing w:after="0" w:before="0" w:line="240" w:lineRule="auto"/>
            </w:pPr>
            <w:r/>
            <w:r>
              <w:rPr>
                <w:rFonts w:ascii="Calibri" w:hAnsi="Calibri"/>
                <w:b w:val="0"/>
                <w:sz w:val="18"/>
              </w:rPr>
              <w:t>U.S. Dept. of Education</w:t>
            </w:r>
          </w:p>
        </w:tc>
        <w:tc>
          <w:tcPr>
            <w:tcW w:type="dxa" w:w="2664"/>
            <w:shd w:val="clear" w:color="auto" w:fill="F2F5F8"/>
          </w:tcPr>
          <w:p>
            <w:pPr>
              <w:spacing w:after="0" w:before="0" w:line="240" w:lineRule="auto"/>
            </w:pPr>
            <w:r/>
            <w:r>
              <w:rPr>
                <w:rFonts w:ascii="Calibri" w:hAnsi="Calibri"/>
                <w:b w:val="0"/>
                <w:sz w:val="18"/>
              </w:rPr>
              <w:t>States, DC, Puerto Rico, outlying areas, Freely Associated States</w:t>
            </w:r>
          </w:p>
        </w:tc>
        <w:tc>
          <w:tcPr>
            <w:tcW w:type="dxa" w:w="3456"/>
            <w:shd w:val="clear" w:color="auto" w:fill="F2F5F8"/>
          </w:tcPr>
          <w:p>
            <w:pPr>
              <w:spacing w:after="0" w:before="0" w:line="240" w:lineRule="auto"/>
            </w:pPr>
            <w:r/>
            <w:r>
              <w:rPr>
                <w:rFonts w:ascii="Calibri" w:hAnsi="Calibri"/>
                <w:b w:val="0"/>
                <w:sz w:val="18"/>
              </w:rPr>
              <w:t>A base amount tied to fiscal year 1999, then population and poverty counts under Sec. 611(d)</w:t>
            </w:r>
          </w:p>
        </w:tc>
      </w:tr>
      <w:tr>
        <w:tc>
          <w:tcPr>
            <w:tcW w:type="dxa" w:w="2160"/>
          </w:tcPr>
          <w:p>
            <w:pPr>
              <w:spacing w:after="0" w:before="0" w:line="240" w:lineRule="auto"/>
            </w:pPr>
            <w:r/>
            <w:r>
              <w:rPr>
                <w:rFonts w:ascii="Calibri" w:hAnsi="Calibri"/>
                <w:b/>
                <w:sz w:val="18"/>
              </w:rPr>
              <w:t>Community Development Block Grant (CDBG)</w:t>
            </w:r>
          </w:p>
        </w:tc>
        <w:tc>
          <w:tcPr>
            <w:tcW w:type="dxa" w:w="1800"/>
          </w:tcPr>
          <w:p>
            <w:pPr>
              <w:spacing w:after="0" w:before="0" w:line="240" w:lineRule="auto"/>
            </w:pPr>
            <w:r/>
            <w:r>
              <w:rPr>
                <w:rFonts w:ascii="Calibri" w:hAnsi="Calibri"/>
                <w:b w:val="0"/>
                <w:sz w:val="18"/>
              </w:rPr>
              <w:t>HUD</w:t>
            </w:r>
          </w:p>
        </w:tc>
        <w:tc>
          <w:tcPr>
            <w:tcW w:type="dxa" w:w="2664"/>
          </w:tcPr>
          <w:p>
            <w:pPr>
              <w:spacing w:after="0" w:before="0" w:line="240" w:lineRule="auto"/>
            </w:pPr>
            <w:r/>
            <w:r>
              <w:rPr>
                <w:rFonts w:ascii="Calibri" w:hAnsi="Calibri"/>
                <w:b w:val="0"/>
                <w:sz w:val="18"/>
              </w:rPr>
              <w:t>Entitlement cities and counties, and states</w:t>
            </w:r>
          </w:p>
        </w:tc>
        <w:tc>
          <w:tcPr>
            <w:tcW w:type="dxa" w:w="3456"/>
          </w:tcPr>
          <w:p>
            <w:pPr>
              <w:spacing w:after="0" w:before="0" w:line="240" w:lineRule="auto"/>
            </w:pPr>
            <w:r/>
            <w:r>
              <w:rPr>
                <w:rFonts w:ascii="Calibri" w:hAnsi="Calibri"/>
                <w:b w:val="0"/>
                <w:sz w:val="18"/>
              </w:rPr>
              <w:t>A statutory dual formula using population, poverty, overcrowded housing, age of housing, and growth lag</w:t>
            </w:r>
          </w:p>
        </w:tc>
      </w:tr>
      <w:tr>
        <w:tc>
          <w:tcPr>
            <w:tcW w:type="dxa" w:w="2160"/>
            <w:shd w:val="clear" w:color="auto" w:fill="F2F5F8"/>
          </w:tcPr>
          <w:p>
            <w:pPr>
              <w:spacing w:after="0" w:before="0" w:line="240" w:lineRule="auto"/>
            </w:pPr>
            <w:r/>
            <w:r>
              <w:rPr>
                <w:rFonts w:ascii="Calibri" w:hAnsi="Calibri"/>
                <w:b/>
                <w:sz w:val="18"/>
              </w:rPr>
              <w:t>HOME Investment Partnerships</w:t>
            </w:r>
          </w:p>
        </w:tc>
        <w:tc>
          <w:tcPr>
            <w:tcW w:type="dxa" w:w="1800"/>
            <w:shd w:val="clear" w:color="auto" w:fill="F2F5F8"/>
          </w:tcPr>
          <w:p>
            <w:pPr>
              <w:spacing w:after="0" w:before="0" w:line="240" w:lineRule="auto"/>
            </w:pPr>
            <w:r/>
            <w:r>
              <w:rPr>
                <w:rFonts w:ascii="Calibri" w:hAnsi="Calibri"/>
                <w:b w:val="0"/>
                <w:sz w:val="18"/>
              </w:rPr>
              <w:t>HUD</w:t>
            </w:r>
          </w:p>
        </w:tc>
        <w:tc>
          <w:tcPr>
            <w:tcW w:type="dxa" w:w="2664"/>
            <w:shd w:val="clear" w:color="auto" w:fill="F2F5F8"/>
          </w:tcPr>
          <w:p>
            <w:pPr>
              <w:spacing w:after="0" w:before="0" w:line="240" w:lineRule="auto"/>
            </w:pPr>
            <w:r/>
            <w:r>
              <w:rPr>
                <w:rFonts w:ascii="Calibri" w:hAnsi="Calibri"/>
                <w:b w:val="0"/>
                <w:sz w:val="18"/>
              </w:rPr>
              <w:t>Participating jurisdictions and states</w:t>
            </w:r>
          </w:p>
        </w:tc>
        <w:tc>
          <w:tcPr>
            <w:tcW w:type="dxa" w:w="3456"/>
            <w:shd w:val="clear" w:color="auto" w:fill="F2F5F8"/>
          </w:tcPr>
          <w:p>
            <w:pPr>
              <w:spacing w:after="0" w:before="0" w:line="240" w:lineRule="auto"/>
            </w:pPr>
            <w:r/>
            <w:r>
              <w:rPr>
                <w:rFonts w:ascii="Calibri" w:hAnsi="Calibri"/>
                <w:b w:val="0"/>
                <w:sz w:val="18"/>
              </w:rPr>
              <w:t>Annual Community Planning and Development formula allocation</w:t>
            </w:r>
          </w:p>
        </w:tc>
      </w:tr>
      <w:tr>
        <w:tc>
          <w:tcPr>
            <w:tcW w:type="dxa" w:w="2160"/>
          </w:tcPr>
          <w:p>
            <w:pPr>
              <w:spacing w:after="0" w:before="0" w:line="240" w:lineRule="auto"/>
            </w:pPr>
            <w:r/>
            <w:r>
              <w:rPr>
                <w:rFonts w:ascii="Calibri" w:hAnsi="Calibri"/>
                <w:b/>
                <w:sz w:val="18"/>
              </w:rPr>
              <w:t>Emergency Solutions Grants</w:t>
            </w:r>
          </w:p>
        </w:tc>
        <w:tc>
          <w:tcPr>
            <w:tcW w:type="dxa" w:w="1800"/>
          </w:tcPr>
          <w:p>
            <w:pPr>
              <w:spacing w:after="0" w:before="0" w:line="240" w:lineRule="auto"/>
            </w:pPr>
            <w:r/>
            <w:r>
              <w:rPr>
                <w:rFonts w:ascii="Calibri" w:hAnsi="Calibri"/>
                <w:b w:val="0"/>
                <w:sz w:val="18"/>
              </w:rPr>
              <w:t>HUD</w:t>
            </w:r>
          </w:p>
        </w:tc>
        <w:tc>
          <w:tcPr>
            <w:tcW w:type="dxa" w:w="2664"/>
          </w:tcPr>
          <w:p>
            <w:pPr>
              <w:spacing w:after="0" w:before="0" w:line="240" w:lineRule="auto"/>
            </w:pPr>
            <w:r/>
            <w:r>
              <w:rPr>
                <w:rFonts w:ascii="Calibri" w:hAnsi="Calibri"/>
                <w:b w:val="0"/>
                <w:sz w:val="18"/>
              </w:rPr>
              <w:t>States, cities, and counties</w:t>
            </w:r>
          </w:p>
        </w:tc>
        <w:tc>
          <w:tcPr>
            <w:tcW w:type="dxa" w:w="3456"/>
          </w:tcPr>
          <w:p>
            <w:pPr>
              <w:spacing w:after="0" w:before="0" w:line="240" w:lineRule="auto"/>
            </w:pPr>
            <w:r/>
            <w:r>
              <w:rPr>
                <w:rFonts w:ascii="Calibri" w:hAnsi="Calibri"/>
                <w:b w:val="0"/>
                <w:sz w:val="18"/>
              </w:rPr>
              <w:t>Annual Community Planning and Development formula allocation</w:t>
            </w:r>
          </w:p>
        </w:tc>
      </w:tr>
      <w:tr>
        <w:tc>
          <w:tcPr>
            <w:tcW w:type="dxa" w:w="2160"/>
            <w:shd w:val="clear" w:color="auto" w:fill="F2F5F8"/>
          </w:tcPr>
          <w:p>
            <w:pPr>
              <w:spacing w:after="0" w:before="0" w:line="240" w:lineRule="auto"/>
            </w:pPr>
            <w:r/>
            <w:r>
              <w:rPr>
                <w:rFonts w:ascii="Calibri" w:hAnsi="Calibri"/>
                <w:b/>
                <w:sz w:val="18"/>
              </w:rPr>
              <w:t>Byrne JAG State Formula</w:t>
            </w:r>
          </w:p>
        </w:tc>
        <w:tc>
          <w:tcPr>
            <w:tcW w:type="dxa" w:w="1800"/>
            <w:shd w:val="clear" w:color="auto" w:fill="F2F5F8"/>
          </w:tcPr>
          <w:p>
            <w:pPr>
              <w:spacing w:after="0" w:before="0" w:line="240" w:lineRule="auto"/>
            </w:pPr>
            <w:r/>
            <w:r>
              <w:rPr>
                <w:rFonts w:ascii="Calibri" w:hAnsi="Calibri"/>
                <w:b w:val="0"/>
                <w:sz w:val="18"/>
              </w:rPr>
              <w:t>DOJ, Bureau of Justice Assistance</w:t>
            </w:r>
          </w:p>
        </w:tc>
        <w:tc>
          <w:tcPr>
            <w:tcW w:type="dxa" w:w="2664"/>
            <w:shd w:val="clear" w:color="auto" w:fill="F2F5F8"/>
          </w:tcPr>
          <w:p>
            <w:pPr>
              <w:spacing w:after="0" w:before="0" w:line="240" w:lineRule="auto"/>
            </w:pPr>
            <w:r/>
            <w:r>
              <w:rPr>
                <w:rFonts w:ascii="Calibri" w:hAnsi="Calibri"/>
                <w:b w:val="0"/>
                <w:sz w:val="18"/>
              </w:rPr>
              <w:t>Designated state administering agencies for the 56 states, territories, and DC</w:t>
            </w:r>
          </w:p>
        </w:tc>
        <w:tc>
          <w:tcPr>
            <w:tcW w:type="dxa" w:w="3456"/>
            <w:shd w:val="clear" w:color="auto" w:fill="F2F5F8"/>
          </w:tcPr>
          <w:p>
            <w:pPr>
              <w:spacing w:after="0" w:before="0" w:line="240" w:lineRule="auto"/>
            </w:pPr>
            <w:r/>
            <w:r>
              <w:rPr>
                <w:rFonts w:ascii="Calibri" w:hAnsi="Calibri"/>
                <w:b w:val="0"/>
                <w:sz w:val="18"/>
              </w:rPr>
              <w:t>The statutory JAG formula, with state allocations published in advance</w:t>
            </w:r>
          </w:p>
        </w:tc>
      </w:tr>
      <w:tr>
        <w:tc>
          <w:tcPr>
            <w:tcW w:type="dxa" w:w="2160"/>
          </w:tcPr>
          <w:p>
            <w:pPr>
              <w:spacing w:after="0" w:before="0" w:line="240" w:lineRule="auto"/>
            </w:pPr>
            <w:r/>
            <w:r>
              <w:rPr>
                <w:rFonts w:ascii="Calibri" w:hAnsi="Calibri"/>
                <w:b/>
                <w:sz w:val="18"/>
              </w:rPr>
              <w:t>Byrne JAG Local Formula</w:t>
            </w:r>
          </w:p>
        </w:tc>
        <w:tc>
          <w:tcPr>
            <w:tcW w:type="dxa" w:w="1800"/>
          </w:tcPr>
          <w:p>
            <w:pPr>
              <w:spacing w:after="0" w:before="0" w:line="240" w:lineRule="auto"/>
            </w:pPr>
            <w:r/>
            <w:r>
              <w:rPr>
                <w:rFonts w:ascii="Calibri" w:hAnsi="Calibri"/>
                <w:b w:val="0"/>
                <w:sz w:val="18"/>
              </w:rPr>
              <w:t>DOJ, Bureau of Justice Assistance</w:t>
            </w:r>
          </w:p>
        </w:tc>
        <w:tc>
          <w:tcPr>
            <w:tcW w:type="dxa" w:w="2664"/>
          </w:tcPr>
          <w:p>
            <w:pPr>
              <w:spacing w:after="0" w:before="0" w:line="240" w:lineRule="auto"/>
            </w:pPr>
            <w:r/>
            <w:r>
              <w:rPr>
                <w:rFonts w:ascii="Calibri" w:hAnsi="Calibri"/>
                <w:b w:val="0"/>
                <w:sz w:val="18"/>
              </w:rPr>
              <w:t>Specified units of local government and tribes</w:t>
            </w:r>
          </w:p>
        </w:tc>
        <w:tc>
          <w:tcPr>
            <w:tcW w:type="dxa" w:w="3456"/>
          </w:tcPr>
          <w:p>
            <w:pPr>
              <w:spacing w:after="0" w:before="0" w:line="240" w:lineRule="auto"/>
            </w:pPr>
            <w:r/>
            <w:r>
              <w:rPr>
                <w:rFonts w:ascii="Calibri" w:hAnsi="Calibri"/>
                <w:b w:val="0"/>
                <w:sz w:val="18"/>
              </w:rPr>
              <w:t>The same annual JAG formula, with per-jurisdiction allocations published in advance</w:t>
            </w:r>
          </w:p>
        </w:tc>
      </w:tr>
    </w:tbl>
    <w:p>
      <w:pPr>
        <w:spacing w:after="40"/>
      </w:pPr>
    </w:p>
    <w:p>
      <w:pPr>
        <w:pStyle w:val="Heading2"/>
      </w:pPr>
      <w:r>
        <w:t>Three details worth knowing before you cite these</w:t>
      </w:r>
    </w:p>
    <w:p>
      <w:pPr>
        <w:pStyle w:val="ListBullet"/>
      </w:pPr>
      <w:r>
        <w:rPr>
          <w:b/>
          <w:sz w:val="20"/>
        </w:rPr>
        <w:t xml:space="preserve">Title I. </w:t>
      </w:r>
      <w:r>
        <w:rPr>
          <w:sz w:val="20"/>
        </w:rPr>
        <w:t>Title I is not one formula. The Department of Education allocates Title I funds to state educational agencies through four statutory formulas, and a district's award is the sum of what it earns under each formula it qualifies for. Allocations are based primarily on annually updated census poverty data for each local educational agency, adjusted for the cost of education in each state.</w:t>
      </w:r>
    </w:p>
    <w:p>
      <w:pPr>
        <w:pStyle w:val="ListBullet"/>
      </w:pPr>
      <w:r>
        <w:rPr>
          <w:b/>
          <w:sz w:val="20"/>
        </w:rPr>
        <w:t xml:space="preserve">IDEA Part B. </w:t>
      </w:r>
      <w:r>
        <w:rPr>
          <w:sz w:val="20"/>
        </w:rPr>
        <w:t>Under section 611(d), each state first receives an amount equal to what it received for fiscal year 1999. When the appropriation grows, the remainder splits 85 percent by the number of children in the age range for which the state guarantees a free appropriate public education and 15 percent by the number of children living in poverty in that age range.</w:t>
      </w:r>
    </w:p>
    <w:p>
      <w:pPr>
        <w:pStyle w:val="ListBullet"/>
      </w:pPr>
      <w:r>
        <w:rPr>
          <w:b/>
          <w:sz w:val="20"/>
        </w:rPr>
        <w:t xml:space="preserve">HUD runs several at once. </w:t>
      </w:r>
      <w:r>
        <w:rPr>
          <w:sz w:val="20"/>
        </w:rPr>
        <w:t>HUD's Office of Community Planning and Development publishes annual formula allocations covering CDBG, HOME, Emergency Solutions Grants, Housing Opportunities for Persons With AIDS, the Housing Trust Fund, and the Recovery Housing Program. A single city can appear on several of those lines in the same year.</w:t>
      </w:r>
    </w:p>
    <w:p>
      <w:pPr>
        <w:spacing w:after="160"/>
      </w:pPr>
      <w:r>
        <w:t>Agencies also call this category mandatory funding: the authorizing statute requires the agency head to make an award to each eligible entity in the amount, or based on the formula, the statute specifies. Formula describes how the amount is computed. Mandatory describes the agency's obligation to pay it.</w:t>
      </w:r>
    </w:p>
    <w:p>
      <w:pPr>
        <w:pStyle w:val="Heading1"/>
      </w:pPr>
      <w:r>
        <w:t>3. What a Discretionary Grant Is, and How It Announces Itself</w:t>
      </w:r>
    </w:p>
    <w:p>
      <w:pPr>
        <w:spacing w:after="120"/>
      </w:pPr>
      <w:r>
        <w:t>A discretionary grant is an award for which the federal awarding agency generally may select the recipient from among all eligible recipients, may decide whether to make an award based on the programmatic, technical, or scientific content of an application, and can decide the amount of funding.</w:t>
      </w:r>
    </w:p>
    <w:p>
      <w:pPr>
        <w:spacing w:after="120"/>
      </w:pPr>
      <w:r>
        <w:t>You can spot one from its funding notice. A notice of funding opportunity that carries review criteria and a scoring rubric is discretionary money. Nonprofits, universities, tribes, and small businesses apply directly. Most of what surfaces in a Grants.gov keyword search falls here. The application is a persuasion document, so the work sits before the award rather than after it.</w:t>
      </w:r>
    </w:p>
    <w:p>
      <w:pPr>
        <w:spacing w:after="160"/>
      </w:pPr>
      <w:r>
        <w:t>Grants.gov records one Opportunity Category on every posted opportunity. The values are Discretionary, Mandatory, Earmark, and Continuation. Continuation covers renewal of an existing multi-year discretionary project. Earmarks are awards Congress writes directly into legislation with the recipient named.</w:t>
      </w:r>
    </w:p>
    <w:p>
      <w:pPr>
        <w:pStyle w:val="Heading1"/>
      </w:pPr>
      <w:r>
        <w:t>4. How to Classify Any Opportunity in Three Checks</w:t>
      </w:r>
    </w:p>
    <w:p>
      <w:pPr>
        <w:pStyle w:val="ListNumber"/>
      </w:pPr>
      <w:r>
        <w:rPr>
          <w:b/>
          <w:sz w:val="20"/>
        </w:rPr>
        <w:t xml:space="preserve">Check the opportunity category. </w:t>
      </w:r>
      <w:r>
        <w:rPr>
          <w:sz w:val="20"/>
        </w:rPr>
        <w:t>Grants.gov records one on each posted opportunity. Mandatory means a formula program. Discretionary means a competition. If the category answers your question, stop here.</w:t>
      </w:r>
    </w:p>
    <w:p>
      <w:pPr>
        <w:pStyle w:val="ListNumber"/>
      </w:pPr>
      <w:r>
        <w:rPr>
          <w:b/>
          <w:sz w:val="20"/>
        </w:rPr>
        <w:t xml:space="preserve">Look up the Assistance Listing. </w:t>
      </w:r>
      <w:r>
        <w:rPr>
          <w:sz w:val="20"/>
        </w:rPr>
        <w:t>Most federal assistance programs have an Assistance Listing on SAM.gov, identified by an Assistance Listing Number, formerly the CFDA number. The listing states the types of assistance the program offers and who is eligible, which is faster than reading a full notice to find out you cannot apply. Use this when you are researching a program before any notice is posted.</w:t>
      </w:r>
    </w:p>
    <w:p>
      <w:pPr>
        <w:pStyle w:val="ListNumber"/>
      </w:pPr>
      <w:r>
        <w:rPr>
          <w:b/>
          <w:sz w:val="20"/>
        </w:rPr>
        <w:t xml:space="preserve">Read the eligible applicants section of the notice. </w:t>
      </w:r>
      <w:r>
        <w:rPr>
          <w:sz w:val="20"/>
        </w:rPr>
        <w:t>A list containing only states, territories, and units of local government means the program is formula or passed through, and your route is a subaward. A list that also includes nonprofits, higher education institutions, or small businesses means a competition, and your route is a proposal.</w:t>
      </w:r>
    </w:p>
    <w:tbl>
      <w:tblPr>
        <w:tblStyle w:val="TableGrid"/>
        <w:tblW w:type="auto" w:w="0"/>
        <w:tblLayout w:type="fixed"/>
        <w:tblLook w:firstColumn="1" w:firstRow="1" w:lastColumn="0" w:lastRow="0" w:noHBand="0" w:noVBand="1" w:val="04A0"/>
        <w:tblCellMar>
          <w:top w:w="120" w:type="dxa"/>
          <w:left w:w="140" w:type="dxa"/>
          <w:bottom w:w="120" w:type="dxa"/>
          <w:right w:w="140" w:type="dxa"/>
        </w:tblCellMar>
      </w:tblPr>
      <w:tblGrid>
        <w:gridCol w:w="10080"/>
      </w:tblGrid>
      <w:tr>
        <w:tc>
          <w:tcPr>
            <w:tcW w:type="dxa" w:w="10080"/>
            <w:shd w:val="clear" w:color="auto" w:fill="EDF2F7"/>
          </w:tcPr>
          <w:p>
            <w:pPr>
              <w:spacing w:after="60"/>
            </w:pPr>
            <w:r/>
            <w:r>
              <w:rPr>
                <w:b/>
                <w:color w:val="142E51"/>
                <w:sz w:val="20"/>
              </w:rPr>
              <w:t>The eligibility trap</w:t>
            </w:r>
          </w:p>
          <w:p>
            <w:pPr>
              <w:spacing w:after="0"/>
            </w:pPr>
            <w:r>
              <w:rPr>
                <w:color w:val="1F252B"/>
                <w:sz w:val="19"/>
              </w:rPr>
              <w:t>A nonprofit searching for Title I or CDBG funding finds the program, recognizes its own work in the purpose statement, then reaches an eligibility list containing only public agencies. The money is real and the fit may be genuine. The application route simply runs through the jurisdiction that received the allocation, not through the federal agency.</w:t>
            </w:r>
          </w:p>
        </w:tc>
      </w:tr>
    </w:tbl>
    <w:p>
      <w:pPr>
        <w:spacing w:after="40"/>
      </w:pPr>
    </w:p>
    <w:p>
      <w:pPr>
        <w:pStyle w:val="Heading1"/>
      </w:pPr>
      <w:r>
        <w:t>5. How to Pursue Formula Money as a Nonprofit</w:t>
      </w:r>
    </w:p>
    <w:p>
      <w:pPr>
        <w:spacing w:after="120"/>
      </w:pPr>
      <w:r>
        <w:t>Pass-through funding is federal money issued to a state agency or institution that is then transferred to other state agencies, units of local government, or other eligible groups under the award eligibility terms. You do not apply to the federal agency for a formula program. You apply as a subrecipient to whichever agency received the allocation. Seven steps:</w:t>
      </w:r>
    </w:p>
    <w:p>
      <w:pPr>
        <w:pStyle w:val="ListNumber"/>
      </w:pPr>
      <w:r>
        <w:rPr>
          <w:b/>
          <w:sz w:val="20"/>
        </w:rPr>
        <w:t xml:space="preserve">Name the prime recipient, not the federal agency. </w:t>
      </w:r>
      <w:r>
        <w:rPr>
          <w:sz w:val="20"/>
        </w:rPr>
        <w:t>The relevant funder is the state or county agency, not the federal department. Watch the state education agency, the state criminal justice planning office, or the city community development department that administers the money locally.</w:t>
      </w:r>
    </w:p>
    <w:p>
      <w:pPr>
        <w:pStyle w:val="ListNumber"/>
      </w:pPr>
      <w:r>
        <w:rPr>
          <w:b/>
          <w:sz w:val="20"/>
        </w:rPr>
        <w:t xml:space="preserve">Read the published allocation table for your jurisdiction. </w:t>
      </w:r>
      <w:r>
        <w:rPr>
          <w:sz w:val="20"/>
        </w:rPr>
        <w:t>Allocation tables are usually published before subaward opportunities open. Reading them early tells you whether local money grew or shrank this year, which shapes how much is realistically available to re-grant.</w:t>
      </w:r>
    </w:p>
    <w:p>
      <w:pPr>
        <w:pStyle w:val="ListNumber"/>
      </w:pPr>
      <w:r>
        <w:rPr>
          <w:b/>
          <w:sz w:val="20"/>
        </w:rPr>
        <w:t xml:space="preserve">Track the administering office directly. </w:t>
      </w:r>
      <w:r>
        <w:rPr>
          <w:sz w:val="20"/>
        </w:rPr>
        <w:t>Most subaward competitions never appear on Grants.gov. They surface on state and municipal portals, each running its own software and its own account system. A single federal search misses this entire layer.</w:t>
      </w:r>
    </w:p>
    <w:p>
      <w:pPr>
        <w:pStyle w:val="ListNumber"/>
      </w:pPr>
      <w:r>
        <w:rPr>
          <w:b/>
          <w:sz w:val="20"/>
        </w:rPr>
        <w:t xml:space="preserve">Register on the portal in advance. </w:t>
      </w:r>
      <w:r>
        <w:rPr>
          <w:sz w:val="20"/>
        </w:rPr>
        <w:t>Portal registration, vendor or supplier numbers, and document uploads take longer than the subaward window usually allows. Do this before a solicitation is live, not during it.</w:t>
      </w:r>
    </w:p>
    <w:p>
      <w:pPr>
        <w:pStyle w:val="ListNumber"/>
      </w:pPr>
      <w:r>
        <w:rPr>
          <w:b/>
          <w:sz w:val="20"/>
        </w:rPr>
        <w:t xml:space="preserve">Expect the timing to be inherited. </w:t>
      </w:r>
      <w:r>
        <w:rPr>
          <w:sz w:val="20"/>
        </w:rPr>
        <w:t>The subaward cycle sits downstream of the federal appropriation, so the timing is inherited. When Congress is late, state solicitations are late. Do not read a quiet portal as a canceled program.</w:t>
      </w:r>
    </w:p>
    <w:p>
      <w:pPr>
        <w:pStyle w:val="ListNumber"/>
      </w:pPr>
      <w:r>
        <w:rPr>
          <w:b/>
          <w:sz w:val="20"/>
        </w:rPr>
        <w:t xml:space="preserve">Ask whether the subaward is competed. </w:t>
      </w:r>
      <w:r>
        <w:rPr>
          <w:sz w:val="20"/>
        </w:rPr>
        <w:t>Some subawards are competed and some are not, depending on the prime award terms and the authorizing legislation. Ask the administering office directly, because the answer changes what you prepare.</w:t>
      </w:r>
    </w:p>
    <w:p>
      <w:pPr>
        <w:pStyle w:val="ListNumber"/>
      </w:pPr>
      <w:r>
        <w:rPr>
          <w:b/>
          <w:sz w:val="20"/>
        </w:rPr>
        <w:t xml:space="preserve">Plan for the compliance flowdown. </w:t>
      </w:r>
      <w:r>
        <w:rPr>
          <w:sz w:val="20"/>
        </w:rPr>
        <w:t>A formula award is still an award with terms attached. Recipients sign an agreement, follow federal cost rules, report on a set schedule, and sit for audits, and prime recipients pass those obligations down. Budget staff time for compliance, not just for the application.</w:t>
      </w:r>
    </w:p>
    <w:p>
      <w:pPr>
        <w:pStyle w:val="Heading1"/>
      </w:pPr>
      <w:r>
        <w:t>6. How to Pursue Discretionary Money</w:t>
      </w:r>
    </w:p>
    <w:p>
      <w:pPr>
        <w:pStyle w:val="ListNumber"/>
      </w:pPr>
      <w:r>
        <w:rPr>
          <w:b/>
          <w:sz w:val="20"/>
        </w:rPr>
        <w:t xml:space="preserve">Read the review criteria before the narrative. </w:t>
      </w:r>
      <w:r>
        <w:rPr>
          <w:sz w:val="20"/>
        </w:rPr>
        <w:t>The review criteria and point weights tell you what the reviewers are scoring. Everything you write should map to a scored element. If a section earns no points, it earns no length.</w:t>
      </w:r>
    </w:p>
    <w:p>
      <w:pPr>
        <w:pStyle w:val="ListNumber"/>
      </w:pPr>
      <w:r>
        <w:rPr>
          <w:b/>
          <w:sz w:val="20"/>
        </w:rPr>
        <w:t xml:space="preserve">Confirm eligibility and registrations first. </w:t>
      </w:r>
      <w:r>
        <w:rPr>
          <w:sz w:val="20"/>
        </w:rPr>
        <w:t>Confirm your organization type appears in the eligible applicants list, and confirm any registration prerequisites are current. Expired registrations disqualify otherwise fundable applications.</w:t>
      </w:r>
    </w:p>
    <w:p>
      <w:pPr>
        <w:pStyle w:val="ListNumber"/>
      </w:pPr>
      <w:r>
        <w:rPr>
          <w:b/>
          <w:sz w:val="20"/>
        </w:rPr>
        <w:t xml:space="preserve">Map every deadline, including separate system deadlines. </w:t>
      </w:r>
      <w:r>
        <w:rPr>
          <w:sz w:val="20"/>
        </w:rPr>
        <w:t>Federal notices routinely set separate deadlines for different systems. Put each system deadline on the calendar as its own dated item with its own owner, not as one blurred submission date.</w:t>
      </w:r>
    </w:p>
    <w:p>
      <w:pPr>
        <w:pStyle w:val="ListNumber"/>
      </w:pPr>
      <w:r>
        <w:rPr>
          <w:b/>
          <w:sz w:val="20"/>
        </w:rPr>
        <w:t xml:space="preserve">Work backward from submission. </w:t>
      </w:r>
      <w:r>
        <w:rPr>
          <w:sz w:val="20"/>
        </w:rPr>
        <w:t>Set an internal draft deadline well ahead of the portal cutoff, then a finance review of the budget, then the collection of letters and attachments. The portal date is the last of four dates, not the only one.</w:t>
      </w:r>
    </w:p>
    <w:p>
      <w:pPr>
        <w:pStyle w:val="Heading1"/>
      </w:pPr>
      <w:r>
        <w:t>7. Worked Example: A Formula Grant That Still Requires an Application</w:t>
      </w:r>
    </w:p>
    <w:p>
      <w:pPr>
        <w:spacing w:after="120"/>
      </w:pPr>
      <w:r>
        <w:t>The Edward Byrne Memorial Justice Assistance Grant is a formula award with a real application, which makes it the clearest walkthrough of how formula money actually moves. A city or county applies under the Local Formula solicitation. States apply under a separate State Formula solicitation.</w:t>
      </w:r>
    </w:p>
    <w:p>
      <w:pPr>
        <w:spacing w:after="120"/>
      </w:pPr>
      <w:r>
        <w:t>The Bureau of Justice Assistance publishes each jurisdiction's allocation on its JAG allocations page before the application opens, with one document for state allocations and separate local allocation documents for each of the 50 states. A unit of local government checks whether it appears on the local list for its state. Eligibility for units of local government and tribes changes year to year because the formula is recalculated annually. If a jurisdiction is not listed, no proposal changes that. If it is listed, the dollar amount is already set.</w:t>
      </w:r>
    </w:p>
    <w:p>
      <w:pPr>
        <w:spacing w:after="120"/>
      </w:pPr>
      <w:r>
        <w:t>The application window is still real, and the two solicitations close on different dates. For FY 2026, the Local Formula solicitation, open to specified units of local government and tribes, carries a Grants.gov deadline of October 9, 2026 and a JustGrants deadline of October 16, 2026. The State Formula solicitation closes first: a Grants.gov deadline of September 18, 2026 and a JustGrants deadline of September 25, 2026. Only the designated state administering agencies for the 56 states, territories, and the District of Columbia may apply under it. Dates are current as of publication; confirm them on the BJA opportunity page. Both solicitations sit under Assistance Listing Number 16.738 on SAM.gov.</w:t>
      </w:r>
    </w:p>
    <w:p>
      <w:pPr>
        <w:spacing w:after="80"/>
      </w:pPr>
      <w:r>
        <w:t>The sequence: BJA publishes the allocation, the jurisdiction confirms it is on the list, the jurisdiction submits its application by its own deadline, and BJA makes the award in the published amount. There is no score and no competitor, but there is a due date a jurisdiction can miss, and missing it forfeits an allocation the jurisdiction was already entitled to.</w:t>
      </w:r>
    </w:p>
    <w:p>
      <w:pPr>
        <w:spacing w:after="160"/>
      </w:pPr>
      <w:r>
        <w:rPr>
          <w:i/>
          <w:color w:val="606B77"/>
          <w:sz w:val="18"/>
        </w:rPr>
        <w:t>Dates above were verified in September 2026 against the BJA opportunity pages. Confirm the current fiscal year's dates on the solicitation before you rely on them.</w:t>
      </w:r>
    </w:p>
    <w:p>
      <w:pPr>
        <w:pStyle w:val="Heading1"/>
      </w:pPr>
      <w:r>
        <w:t>8. What Each Type Puts on Your Calendar</w:t>
      </w:r>
    </w:p>
    <w:p>
      <w:pPr>
        <w:spacing w:after="120"/>
      </w:pPr>
      <w:r>
        <w:t>Formula awards load your calendar after the money arrives. Discretionary awards load it before. Both belong on one calendar with one owner per date.</w:t>
      </w:r>
    </w:p>
    <w:p>
      <w:pPr>
        <w:pStyle w:val="Heading2"/>
      </w:pPr>
      <w:r>
        <w:t>Formula and pass-through money: recurring dates after the award</w:t>
      </w:r>
    </w:p>
    <w:p>
      <w:pPr>
        <w:pStyle w:val="ListBullet"/>
      </w:pPr>
      <w:r>
        <w:rPr>
          <w:sz w:val="20"/>
        </w:rPr>
        <w:t>Financial and performance reports on the schedule set in the award terms.</w:t>
      </w:r>
    </w:p>
    <w:p>
      <w:pPr>
        <w:pStyle w:val="ListBullet"/>
      </w:pPr>
      <w:r>
        <w:rPr>
          <w:sz w:val="20"/>
        </w:rPr>
        <w:t>Spend-down checkpoints against the approved budget.</w:t>
      </w:r>
    </w:p>
    <w:p>
      <w:pPr>
        <w:pStyle w:val="ListBullet"/>
      </w:pPr>
      <w:r>
        <w:rPr>
          <w:sz w:val="20"/>
        </w:rPr>
        <w:t>Any maintenance of effort requirement written into the program.</w:t>
      </w:r>
    </w:p>
    <w:p>
      <w:pPr>
        <w:pStyle w:val="ListBullet"/>
      </w:pPr>
      <w:r>
        <w:rPr>
          <w:sz w:val="20"/>
        </w:rPr>
        <w:t>The audit window, and the document gathering that precedes it.</w:t>
      </w:r>
    </w:p>
    <w:p>
      <w:pPr>
        <w:pStyle w:val="ListBullet"/>
      </w:pPr>
      <w:r>
        <w:rPr>
          <w:sz w:val="20"/>
        </w:rPr>
        <w:t>Next-cycle allocation publication, which signals whether local money grew or shrank.</w:t>
      </w:r>
    </w:p>
    <w:p>
      <w:pPr>
        <w:spacing w:after="120"/>
      </w:pPr>
      <w:r>
        <w:t>A missed report can cost a jurisdiction its next allocation, which is why this is the calendar teams most often forget to build.</w:t>
      </w:r>
    </w:p>
    <w:p>
      <w:pPr>
        <w:pStyle w:val="Heading2"/>
      </w:pPr>
      <w:r>
        <w:t>Discretionary money: clustered dates before submission</w:t>
      </w:r>
    </w:p>
    <w:p>
      <w:pPr>
        <w:pStyle w:val="ListBullet"/>
      </w:pPr>
      <w:r>
        <w:rPr>
          <w:sz w:val="20"/>
        </w:rPr>
        <w:t>Internal draft deadline, set well ahead of the external one.</w:t>
      </w:r>
    </w:p>
    <w:p>
      <w:pPr>
        <w:pStyle w:val="ListBullet"/>
      </w:pPr>
      <w:r>
        <w:rPr>
          <w:sz w:val="20"/>
        </w:rPr>
        <w:t>Finance review of the budget and budget narrative.</w:t>
      </w:r>
    </w:p>
    <w:p>
      <w:pPr>
        <w:pStyle w:val="ListBullet"/>
      </w:pPr>
      <w:r>
        <w:rPr>
          <w:sz w:val="20"/>
        </w:rPr>
        <w:t>Letters of support, attachments, and anything requiring a third party's signature.</w:t>
      </w:r>
    </w:p>
    <w:p>
      <w:pPr>
        <w:pStyle w:val="ListBullet"/>
      </w:pPr>
      <w:r>
        <w:rPr>
          <w:sz w:val="20"/>
        </w:rPr>
        <w:t>Registration renewals that must be current at submission.</w:t>
      </w:r>
    </w:p>
    <w:p>
      <w:pPr>
        <w:pStyle w:val="ListBullet"/>
      </w:pPr>
      <w:r>
        <w:rPr>
          <w:sz w:val="20"/>
        </w:rPr>
        <w:t>The portal cutoff, plus any second system deadline the notice sets separately.</w:t>
      </w:r>
    </w:p>
    <w:p>
      <w:pPr>
        <w:pStyle w:val="Heading1"/>
      </w:pPr>
      <w:r>
        <w:t>9. A Composite Example</w:t>
      </w:r>
    </w:p>
    <w:p>
      <w:pPr>
        <w:spacing w:after="80"/>
      </w:pPr>
      <w:r>
        <w:rPr>
          <w:i/>
          <w:color w:val="606B77"/>
          <w:sz w:val="18"/>
        </w:rPr>
        <w:t>The organization below is a composite created for illustration. It is not a real nonprofit.</w:t>
      </w:r>
    </w:p>
    <w:p>
      <w:pPr>
        <w:spacing w:after="120"/>
      </w:pPr>
      <w:r>
        <w:t>Riverbend Youth Coalition, an example after-school provider in a mid-sized city, searches federal listings and finds the Community Development Block Grant. The purpose language fits its neighborhood work, so the team starts drafting. Then it reaches the eligible applicants section: entitlement cities and counties, and states. No nonprofit route.</w:t>
      </w:r>
    </w:p>
    <w:p>
      <w:pPr>
        <w:spacing w:after="160"/>
      </w:pPr>
      <w:r>
        <w:t>The correct move is not to abandon the program. It is to change the target. The city, an entitlement jurisdiction, appears in HUD's published formula allocations. The coalition contacts the city's community development department, learns the department runs an annual public services subaward round on its own municipal portal, registers on that portal months before the round opens, and reviews the prior year's allocation table to size what is realistically available. The federal program stayed the same. The applicant, the portal, the deadline, and the document set all changed.</w:t>
      </w:r>
    </w:p>
    <w:p>
      <w:pPr>
        <w:pStyle w:val="Heading1"/>
      </w:pPr>
      <w:r>
        <w:t>10. Quick Answers to Common Misreads</w:t>
      </w:r>
    </w:p>
    <w:tbl>
      <w:tblPr>
        <w:tblStyle w:val="TableGrid"/>
        <w:tblW w:type="auto" w:w="0"/>
        <w:jc w:val="center"/>
        <w:tblLayout w:type="fixed"/>
        <w:tblLook w:firstColumn="1" w:firstRow="1" w:lastColumn="0" w:lastRow="0" w:noHBand="0" w:noVBand="1" w:val="04A0"/>
        <w:tblCellMar>
          <w:top w:w="60" w:type="dxa"/>
          <w:left w:w="90" w:type="dxa"/>
          <w:bottom w:w="60" w:type="dxa"/>
          <w:right w:w="90" w:type="dxa"/>
        </w:tblCellMar>
      </w:tblPr>
      <w:tblGrid>
        <w:gridCol w:w="3096"/>
        <w:gridCol w:w="6984"/>
      </w:tblGrid>
      <w:tr>
        <w:trPr>
          <w:tblHeader w:val="true"/>
        </w:trPr>
        <w:tc>
          <w:tcPr>
            <w:tcW w:type="dxa" w:w="3096"/>
            <w:shd w:val="clear" w:color="auto" w:fill="142E51"/>
          </w:tcPr>
          <w:p>
            <w:pPr>
              <w:spacing w:after="0" w:before="0" w:line="240" w:lineRule="auto"/>
            </w:pPr>
            <w:r/>
            <w:r>
              <w:rPr>
                <w:rFonts w:ascii="Calibri" w:hAnsi="Calibri"/>
                <w:b/>
                <w:color w:val="FFFFFF"/>
                <w:sz w:val="19"/>
              </w:rPr>
              <w:t>Question</w:t>
            </w:r>
          </w:p>
        </w:tc>
        <w:tc>
          <w:tcPr>
            <w:tcW w:type="dxa" w:w="6984"/>
            <w:shd w:val="clear" w:color="auto" w:fill="142E51"/>
          </w:tcPr>
          <w:p>
            <w:pPr>
              <w:spacing w:after="0" w:before="0" w:line="240" w:lineRule="auto"/>
            </w:pPr>
            <w:r/>
            <w:r>
              <w:rPr>
                <w:rFonts w:ascii="Calibri" w:hAnsi="Calibri"/>
                <w:b/>
                <w:color w:val="FFFFFF"/>
                <w:sz w:val="19"/>
              </w:rPr>
              <w:t>Answer</w:t>
            </w:r>
          </w:p>
        </w:tc>
      </w:tr>
      <w:tr>
        <w:tc>
          <w:tcPr>
            <w:tcW w:type="dxa" w:w="3096"/>
          </w:tcPr>
          <w:p>
            <w:pPr>
              <w:spacing w:after="0" w:before="0" w:line="240" w:lineRule="auto"/>
            </w:pPr>
            <w:r/>
            <w:r>
              <w:rPr>
                <w:rFonts w:ascii="Calibri" w:hAnsi="Calibri"/>
                <w:b w:val="0"/>
                <w:sz w:val="19"/>
              </w:rPr>
              <w:t>Are formula grants competitive?</w:t>
            </w:r>
          </w:p>
        </w:tc>
        <w:tc>
          <w:tcPr>
            <w:tcW w:type="dxa" w:w="6984"/>
          </w:tcPr>
          <w:p>
            <w:pPr>
              <w:spacing w:after="0" w:before="0" w:line="240" w:lineRule="auto"/>
            </w:pPr>
            <w:r/>
            <w:r>
              <w:rPr>
                <w:rFonts w:ascii="Calibri" w:hAnsi="Calibri"/>
                <w:b w:val="0"/>
                <w:sz w:val="19"/>
              </w:rPr>
              <w:t>No. A formula grant is an allocation determined by distribution formulas in the authorizing legislation and regulations, so there is no review panel and no score. An eligible jurisdiction receives its computed amount. Many formula programs still require an application by a published deadline, so noncompetitive does not mean automatic.</w:t>
            </w:r>
          </w:p>
        </w:tc>
      </w:tr>
      <w:tr>
        <w:tc>
          <w:tcPr>
            <w:tcW w:type="dxa" w:w="3096"/>
            <w:shd w:val="clear" w:color="auto" w:fill="F2F5F8"/>
          </w:tcPr>
          <w:p>
            <w:pPr>
              <w:spacing w:after="0" w:before="0" w:line="240" w:lineRule="auto"/>
            </w:pPr>
            <w:r/>
            <w:r>
              <w:rPr>
                <w:rFonts w:ascii="Calibri" w:hAnsi="Calibri"/>
                <w:b w:val="0"/>
                <w:sz w:val="19"/>
              </w:rPr>
              <w:t>Can a nonprofit apply for a formula grant?</w:t>
            </w:r>
          </w:p>
        </w:tc>
        <w:tc>
          <w:tcPr>
            <w:tcW w:type="dxa" w:w="6984"/>
            <w:shd w:val="clear" w:color="auto" w:fill="F2F5F8"/>
          </w:tcPr>
          <w:p>
            <w:pPr>
              <w:spacing w:after="0" w:before="0" w:line="240" w:lineRule="auto"/>
            </w:pPr>
            <w:r/>
            <w:r>
              <w:rPr>
                <w:rFonts w:ascii="Calibri" w:hAnsi="Calibri"/>
                <w:b w:val="0"/>
                <w:sz w:val="19"/>
              </w:rPr>
              <w:t>Usually not directly. Formula allocations go to states, territories, and units of local government. Nonprofits typically access the same funding as subrecipients, through subawards the prime recipient issues after it receives its allocation. Some of those subawards are competed and some are not.</w:t>
            </w:r>
          </w:p>
        </w:tc>
      </w:tr>
      <w:tr>
        <w:tc>
          <w:tcPr>
            <w:tcW w:type="dxa" w:w="3096"/>
          </w:tcPr>
          <w:p>
            <w:pPr>
              <w:spacing w:after="0" w:before="0" w:line="240" w:lineRule="auto"/>
            </w:pPr>
            <w:r/>
            <w:r>
              <w:rPr>
                <w:rFonts w:ascii="Calibri" w:hAnsi="Calibri"/>
                <w:b w:val="0"/>
                <w:sz w:val="19"/>
              </w:rPr>
              <w:t>What is the difference between a formula grant and a block grant?</w:t>
            </w:r>
          </w:p>
        </w:tc>
        <w:tc>
          <w:tcPr>
            <w:tcW w:type="dxa" w:w="6984"/>
          </w:tcPr>
          <w:p>
            <w:pPr>
              <w:spacing w:after="0" w:before="0" w:line="240" w:lineRule="auto"/>
            </w:pPr>
            <w:r/>
            <w:r>
              <w:rPr>
                <w:rFonts w:ascii="Calibri" w:hAnsi="Calibri"/>
                <w:b w:val="0"/>
                <w:sz w:val="19"/>
              </w:rPr>
              <w:t>Block grant is a common label for a formula grant that gives the recipient wide latitude over how funds are used inside a broad purpose area. HUD describes CDBG as providing annual grants on a formula basis to states, cities, and counties, which makes it both.</w:t>
            </w:r>
          </w:p>
        </w:tc>
      </w:tr>
      <w:tr>
        <w:tc>
          <w:tcPr>
            <w:tcW w:type="dxa" w:w="3096"/>
            <w:shd w:val="clear" w:color="auto" w:fill="F2F5F8"/>
          </w:tcPr>
          <w:p>
            <w:pPr>
              <w:spacing w:after="0" w:before="0" w:line="240" w:lineRule="auto"/>
            </w:pPr>
            <w:r/>
            <w:r>
              <w:rPr>
                <w:rFonts w:ascii="Calibri" w:hAnsi="Calibri"/>
                <w:b w:val="0"/>
                <w:sz w:val="19"/>
              </w:rPr>
              <w:t>How do I find formula grants on Grants.gov?</w:t>
            </w:r>
          </w:p>
        </w:tc>
        <w:tc>
          <w:tcPr>
            <w:tcW w:type="dxa" w:w="6984"/>
            <w:shd w:val="clear" w:color="auto" w:fill="F2F5F8"/>
          </w:tcPr>
          <w:p>
            <w:pPr>
              <w:spacing w:after="0" w:before="0" w:line="240" w:lineRule="auto"/>
            </w:pPr>
            <w:r/>
            <w:r>
              <w:rPr>
                <w:rFonts w:ascii="Calibri" w:hAnsi="Calibri"/>
                <w:b w:val="0"/>
                <w:sz w:val="19"/>
              </w:rPr>
              <w:t>Filter by opportunity category. Formula programs sit under Mandatory. To research a program before any notice is posted, look up its Assistance Listing on SAM.gov, which states the types of assistance offered and who is eligible.</w:t>
            </w:r>
          </w:p>
        </w:tc>
      </w:tr>
      <w:tr>
        <w:tc>
          <w:tcPr>
            <w:tcW w:type="dxa" w:w="3096"/>
          </w:tcPr>
          <w:p>
            <w:pPr>
              <w:spacing w:after="0" w:before="0" w:line="240" w:lineRule="auto"/>
            </w:pPr>
            <w:r/>
            <w:r>
              <w:rPr>
                <w:rFonts w:ascii="Calibri" w:hAnsi="Calibri"/>
                <w:b w:val="0"/>
                <w:sz w:val="19"/>
              </w:rPr>
              <w:t>Do formula grants have deadlines?</w:t>
            </w:r>
          </w:p>
        </w:tc>
        <w:tc>
          <w:tcPr>
            <w:tcW w:type="dxa" w:w="6984"/>
          </w:tcPr>
          <w:p>
            <w:pPr>
              <w:spacing w:after="0" w:before="0" w:line="240" w:lineRule="auto"/>
            </w:pPr>
            <w:r/>
            <w:r>
              <w:rPr>
                <w:rFonts w:ascii="Calibri" w:hAnsi="Calibri"/>
                <w:b w:val="0"/>
                <w:sz w:val="19"/>
              </w:rPr>
              <w:t>Yes. The amount may be predetermined, but the application window is not open forever. A jurisdiction that misses a formula deadline can lose an allocation it was already entitled to.</w:t>
            </w:r>
          </w:p>
        </w:tc>
      </w:tr>
      <w:tr>
        <w:tc>
          <w:tcPr>
            <w:tcW w:type="dxa" w:w="3096"/>
            <w:shd w:val="clear" w:color="auto" w:fill="F2F5F8"/>
          </w:tcPr>
          <w:p>
            <w:pPr>
              <w:spacing w:after="0" w:before="0" w:line="240" w:lineRule="auto"/>
            </w:pPr>
            <w:r/>
            <w:r>
              <w:rPr>
                <w:rFonts w:ascii="Calibri" w:hAnsi="Calibri"/>
                <w:b w:val="0"/>
                <w:sz w:val="19"/>
              </w:rPr>
              <w:t>Does a formula award mean less compliance work?</w:t>
            </w:r>
          </w:p>
        </w:tc>
        <w:tc>
          <w:tcPr>
            <w:tcW w:type="dxa" w:w="6984"/>
            <w:shd w:val="clear" w:color="auto" w:fill="F2F5F8"/>
          </w:tcPr>
          <w:p>
            <w:pPr>
              <w:spacing w:after="0" w:before="0" w:line="240" w:lineRule="auto"/>
            </w:pPr>
            <w:r/>
            <w:r>
              <w:rPr>
                <w:rFonts w:ascii="Calibri" w:hAnsi="Calibri"/>
                <w:b w:val="0"/>
                <w:sz w:val="19"/>
              </w:rPr>
              <w:t>No. Formula recipients carry the same compliance obligations as competitive grantees. They sign an agreement, follow federal cost rules, report on a set schedule, and sit for audits. They skip the competition, not the rules.</w:t>
            </w:r>
          </w:p>
        </w:tc>
      </w:tr>
    </w:tbl>
    <w:p>
      <w:pPr>
        <w:spacing w:after="40"/>
      </w:pPr>
    </w:p>
    <w:p>
      <w:pPr>
        <w:pStyle w:val="Heading1"/>
      </w:pPr>
      <w:r>
        <w:t>11. Worksheet: Sort Your Prospect List by Award Type</w:t>
      </w:r>
    </w:p>
    <w:p>
      <w:pPr>
        <w:spacing w:after="120"/>
      </w:pPr>
      <w:r>
        <w:t>Sort your prospect list into these columns before you write anything. If the program is discretionary, you are writing to be chosen. If it is formula, you are either the named recipient managing an obligation, or you are hunting for the agency that received the allocation and the subaward competition it will run. Print this page or copy the table into your tracker.</w:t>
      </w:r>
    </w:p>
    <w:tbl>
      <w:tblPr>
        <w:tblStyle w:val="TableGrid"/>
        <w:tblW w:type="auto" w:w="0"/>
        <w:jc w:val="center"/>
        <w:tblLayout w:type="fixed"/>
        <w:tblLook w:firstColumn="1" w:firstRow="1" w:lastColumn="0" w:lastRow="0" w:noHBand="0" w:noVBand="1" w:val="04A0"/>
        <w:tblCellMar>
          <w:top w:w="60" w:type="dxa"/>
          <w:left w:w="90" w:type="dxa"/>
          <w:bottom w:w="60" w:type="dxa"/>
          <w:right w:w="90" w:type="dxa"/>
        </w:tblCellMar>
      </w:tblPr>
      <w:tblGrid>
        <w:gridCol w:w="2304"/>
        <w:gridCol w:w="1944"/>
        <w:gridCol w:w="2016"/>
        <w:gridCol w:w="1944"/>
        <w:gridCol w:w="1872"/>
      </w:tblGrid>
      <w:tr>
        <w:trPr>
          <w:tblHeader w:val="true"/>
        </w:trPr>
        <w:tc>
          <w:tcPr>
            <w:tcW w:type="dxa" w:w="2304"/>
            <w:shd w:val="clear" w:color="auto" w:fill="142E51"/>
          </w:tcPr>
          <w:p>
            <w:pPr>
              <w:spacing w:after="0" w:before="0" w:line="240" w:lineRule="auto"/>
            </w:pPr>
            <w:r/>
            <w:r>
              <w:rPr>
                <w:rFonts w:ascii="Calibri" w:hAnsi="Calibri"/>
                <w:b/>
                <w:color w:val="FFFFFF"/>
                <w:sz w:val="19"/>
              </w:rPr>
              <w:t>Program</w:t>
            </w:r>
          </w:p>
        </w:tc>
        <w:tc>
          <w:tcPr>
            <w:tcW w:type="dxa" w:w="1944"/>
            <w:shd w:val="clear" w:color="auto" w:fill="142E51"/>
          </w:tcPr>
          <w:p>
            <w:pPr>
              <w:spacing w:after="0" w:before="0" w:line="240" w:lineRule="auto"/>
            </w:pPr>
            <w:r/>
            <w:r>
              <w:rPr>
                <w:rFonts w:ascii="Calibri" w:hAnsi="Calibri"/>
                <w:b/>
                <w:color w:val="FFFFFF"/>
                <w:sz w:val="19"/>
              </w:rPr>
              <w:t>Type (formula / discretionary)</w:t>
            </w:r>
          </w:p>
        </w:tc>
        <w:tc>
          <w:tcPr>
            <w:tcW w:type="dxa" w:w="2016"/>
            <w:shd w:val="clear" w:color="auto" w:fill="142E51"/>
          </w:tcPr>
          <w:p>
            <w:pPr>
              <w:spacing w:after="0" w:before="0" w:line="240" w:lineRule="auto"/>
            </w:pPr>
            <w:r/>
            <w:r>
              <w:rPr>
                <w:rFonts w:ascii="Calibri" w:hAnsi="Calibri"/>
                <w:b/>
                <w:color w:val="FFFFFF"/>
                <w:sz w:val="19"/>
              </w:rPr>
              <w:t>Who holds the money</w:t>
            </w:r>
          </w:p>
        </w:tc>
        <w:tc>
          <w:tcPr>
            <w:tcW w:type="dxa" w:w="1944"/>
            <w:shd w:val="clear" w:color="auto" w:fill="142E51"/>
          </w:tcPr>
          <w:p>
            <w:pPr>
              <w:spacing w:after="0" w:before="0" w:line="240" w:lineRule="auto"/>
            </w:pPr>
            <w:r/>
            <w:r>
              <w:rPr>
                <w:rFonts w:ascii="Calibri" w:hAnsi="Calibri"/>
                <w:b/>
                <w:color w:val="FFFFFF"/>
                <w:sz w:val="19"/>
              </w:rPr>
              <w:t>Our route (direct / subaward)</w:t>
            </w:r>
          </w:p>
        </w:tc>
        <w:tc>
          <w:tcPr>
            <w:tcW w:type="dxa" w:w="1872"/>
            <w:shd w:val="clear" w:color="auto" w:fill="142E51"/>
          </w:tcPr>
          <w:p>
            <w:pPr>
              <w:spacing w:after="0" w:before="0" w:line="240" w:lineRule="auto"/>
            </w:pPr>
            <w:r/>
            <w:r>
              <w:rPr>
                <w:rFonts w:ascii="Calibri" w:hAnsi="Calibri"/>
                <w:b/>
                <w:color w:val="FFFFFF"/>
                <w:sz w:val="19"/>
              </w:rPr>
              <w:t>Next date and owner</w:t>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r>
        <w:tc>
          <w:tcPr>
            <w:tcW w:type="dxa" w:w="2304"/>
          </w:tcPr>
          <w:p>
            <w:pPr>
              <w:spacing w:after="0" w:before="0" w:line="240" w:lineRule="auto"/>
            </w:pPr>
            <w:r/>
            <w:r>
              <w:rPr>
                <w:rFonts w:ascii="Calibri" w:hAnsi="Calibri"/>
                <w:b/>
                <w:sz w:val="19"/>
              </w:rPr>
            </w:r>
          </w:p>
        </w:tc>
        <w:tc>
          <w:tcPr>
            <w:tcW w:type="dxa" w:w="1944"/>
          </w:tcPr>
          <w:p>
            <w:pPr>
              <w:spacing w:after="0" w:before="0" w:line="240" w:lineRule="auto"/>
            </w:pPr>
            <w:r/>
            <w:r>
              <w:rPr>
                <w:rFonts w:ascii="Calibri" w:hAnsi="Calibri"/>
                <w:b w:val="0"/>
                <w:sz w:val="19"/>
              </w:rPr>
            </w:r>
          </w:p>
        </w:tc>
        <w:tc>
          <w:tcPr>
            <w:tcW w:type="dxa" w:w="2016"/>
          </w:tcPr>
          <w:p>
            <w:pPr>
              <w:spacing w:after="0" w:before="0" w:line="240" w:lineRule="auto"/>
            </w:pPr>
            <w:r/>
            <w:r>
              <w:rPr>
                <w:rFonts w:ascii="Calibri" w:hAnsi="Calibri"/>
                <w:b w:val="0"/>
                <w:sz w:val="19"/>
              </w:rPr>
            </w:r>
          </w:p>
        </w:tc>
        <w:tc>
          <w:tcPr>
            <w:tcW w:type="dxa" w:w="1944"/>
          </w:tcPr>
          <w:p>
            <w:pPr>
              <w:spacing w:after="0" w:before="0" w:line="240" w:lineRule="auto"/>
            </w:pPr>
            <w:r/>
            <w:r>
              <w:rPr>
                <w:rFonts w:ascii="Calibri" w:hAnsi="Calibri"/>
                <w:b w:val="0"/>
                <w:sz w:val="19"/>
              </w:rPr>
            </w:r>
          </w:p>
        </w:tc>
        <w:tc>
          <w:tcPr>
            <w:tcW w:type="dxa" w:w="1872"/>
          </w:tcPr>
          <w:p>
            <w:pPr>
              <w:spacing w:after="0" w:before="0" w:line="240" w:lineRule="auto"/>
            </w:pPr>
            <w:r/>
            <w:r>
              <w:rPr>
                <w:rFonts w:ascii="Calibri" w:hAnsi="Calibri"/>
                <w:b w:val="0"/>
                <w:sz w:val="19"/>
              </w:rPr>
            </w:r>
          </w:p>
        </w:tc>
      </w:tr>
    </w:tbl>
    <w:p>
      <w:pPr>
        <w:spacing w:after="40"/>
      </w:pPr>
    </w:p>
    <w:p>
      <w:pPr>
        <w:pStyle w:val="Heading1"/>
      </w:pPr>
      <w:r>
        <w:t>12. Where These Facts Come From</w:t>
      </w:r>
    </w:p>
    <w:p>
      <w:pPr>
        <w:spacing w:after="120"/>
      </w:pPr>
      <w:r>
        <w:t>Every definition and program detail on this sheet traces to a primary source. Verified September 2026; re-check current-year figures and deadlines before relying on them.</w:t>
      </w:r>
    </w:p>
    <w:p>
      <w:pPr>
        <w:pStyle w:val="ListBullet"/>
      </w:pPr>
      <w:r>
        <w:rPr>
          <w:sz w:val="20"/>
        </w:rPr>
        <w:t>Grants.gov grant terminology glossary: grants.gov/learn-grants/grant-terminology (definitions of formula grant, mandatory grant, discretionary grant, funding opportunity announcement, pass-through funding, and opportunity category).</w:t>
      </w:r>
    </w:p>
    <w:p>
      <w:pPr>
        <w:pStyle w:val="ListBullet"/>
      </w:pPr>
      <w:r>
        <w:rPr>
          <w:sz w:val="20"/>
        </w:rPr>
        <w:t>U.S. Department of Education formula grants pages: ed.gov (Title I Part A allocation formulas; IDEA Grants to States, Part B Sec. 611).</w:t>
      </w:r>
    </w:p>
    <w:p>
      <w:pPr>
        <w:pStyle w:val="ListBullet"/>
      </w:pPr>
      <w:r>
        <w:rPr>
          <w:sz w:val="20"/>
        </w:rPr>
        <w:t>HUD Office of Community Planning and Development formula allocations: hud.gov (CDBG, HOME, Emergency Solutions Grants, HOPWA, Housing Trust Fund, Recovery Housing Program).</w:t>
      </w:r>
    </w:p>
    <w:p>
      <w:pPr>
        <w:pStyle w:val="ListBullet"/>
      </w:pPr>
      <w:r>
        <w:rPr>
          <w:sz w:val="20"/>
        </w:rPr>
        <w:t>Bureau of Justice Assistance JAG program overview, allocations page, and FY 2026 State and Local Formula solicitations: bja.ojp.gov.</w:t>
      </w:r>
    </w:p>
    <w:p>
      <w:pPr>
        <w:pStyle w:val="ListBullet"/>
      </w:pPr>
      <w:r>
        <w:rPr>
          <w:sz w:val="20"/>
        </w:rPr>
        <w:t>SAM.gov Assistance Listings: sam.gov/content/assistance-listings (Assistance Listing Number 16.738 for Byrne JAG).</w:t>
      </w:r>
    </w:p>
    <w:p>
      <w:pPr>
        <w:spacing w:before="40" w:after="40"/>
        <w:pBdr>
          <w:bottom w:val="single" w:sz="6" w:space="1" w:color="C6D0DA"/>
        </w:pBdr>
      </w:pPr>
    </w:p>
    <w:p>
      <w:pPr>
        <w:jc w:val="center"/>
      </w:pPr>
      <w:r>
        <w:rPr>
          <w:color w:val="3D4F63"/>
          <w:sz w:val="19"/>
        </w:rPr>
        <w:t>Track formula reporting dates and discretionary deadlines on one calendar, with one owner per date.</w:t>
      </w:r>
    </w:p>
    <w:p>
      <w:pPr>
        <w:spacing w:after="0"/>
        <w:jc w:val="center"/>
      </w:pPr>
      <w:r>
        <w:rPr>
          <w:b/>
          <w:color w:val="142E51"/>
          <w:sz w:val="19"/>
        </w:rPr>
        <w:t>GrantCue - grantcue.com/blog/formula-grants-vs-discretionary</w:t>
      </w:r>
    </w:p>
    <w:sectPr w:rsidR="00FC693F" w:rsidRPr="0006063C" w:rsidSect="00034616">
      <w:footerReference w:type="default" r:id="rId9"/>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606B77"/>
        <w:sz w:val="17"/>
      </w:rPr>
      <w:t>GrantCue - grantcue.com/blog/formula-grants-vs-discretionary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59" w:lineRule="auto"/>
    </w:pPr>
    <w:rPr>
      <w:rFonts w:ascii="Calibri" w:hAnsi="Calibri" w:eastAsia="Calibri"/>
      <w:color w:val="1F25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142E51"/>
      <w:sz w:val="28"/>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Theme="majorHAnsi" w:eastAsiaTheme="majorEastAsia" w:hAnsiTheme="majorHAnsi" w:cstheme="majorBidi" w:ascii="Calibri" w:hAnsi="Calibri"/>
      <w:b/>
      <w:bCs/>
      <w:color w:val="3D4F63"/>
      <w:sz w:val="23"/>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ascii="Calibri" w:hAnsi="Calibri"/>
      <w:b/>
      <w:bCs/>
      <w:color w:val="3D4F6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ascii="Calibri" w:hAnsi="Calibri"/>
      <w:b/>
      <w:color w:val="142E5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b w:val="0"/>
      <w:i w:val="0"/>
      <w:iCs/>
      <w:color w:val="606B77"/>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Calibri" w:hAnsi="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contextualSpacing/>
    </w:pPr>
    <w:rPr>
      <w:rFonts w:ascii="Calibri" w:hAnsi="Calibri"/>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val="0"/>
      <w:iCs/>
      <w:color w:val="3D4F63"/>
      <w:sz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 vs. Discretionary Grants: A Working One-Pager</dc:title>
  <dc:subject>How formula and discretionary federal grants are awarded, who is eligible, and how to pursue each</dc:subject>
  <dc:creator>GrantCue</dc:creator>
  <cp:keywords>formula grants, discretionary grants, pass-through funding, grant eligibility, federal grants</cp:keywords>
  <dc:description>GrantCue - grantcue.com/blog/formula-grants-vs-discretionary</dc:description>
  <cp:lastModifiedBy/>
  <cp:revision>1</cp:revision>
  <dcterms:created xsi:type="dcterms:W3CDTF">2013-12-23T23:15:00Z</dcterms:created>
  <dcterms:modified xsi:type="dcterms:W3CDTF">2013-12-23T23:15:00Z</dcterms:modified>
  <cp:category>Federal Grants</cp:category>
</cp:coreProperties>
</file>