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Federal Grant Compliance Checklist</w:t>
      </w:r>
    </w:p>
    <w:p>
      <w:pPr>
        <w:pStyle w:val="GCSubtitle"/>
      </w:pPr>
      <w:r>
        <w:t>Award-phase checks under 2 CFR part 200, with the thresholds that apply to awards made on or after October 1, 2024</w:t>
      </w:r>
    </w:p>
    <w:p>
      <w:pPr>
        <w:pStyle w:val="GCMeta"/>
      </w:pPr>
      <w:r>
        <w:t>Version 1.0  |  October 2026  |  Published by GrantCue  |  Free to copy, edit and share</w:t>
      </w:r>
    </w:p>
    <w:p>
      <w:pPr/>
      <w:r>
        <w:t>This is a working checklist for one federal award at a time. It follows the award from registration to the last record you may destroy, in the order the work happens: before the award, financial management, procurement, allowable costs, time and effort, subrecipients, records, reporting and audit readiness. Each row names the evidence to keep and the section of 2 CFR part 200, the Uniform Guidance, that the row comes from, with a box to tick and a cell for the status, the owner and the date it was last verified.</w:t>
      </w:r>
    </w:p>
    <w:p>
      <w:pPr/>
      <w:r>
        <w:t>Treat this file as a starting point to adapt, not as legal or accounting advice. The notice of funding opportunity, the award terms and your auditor decide what applies to a given award, and award terms can be stricter than the baseline in 2 CFR part 200. Citations are to 2 CFR part 200 as in force on October 1, 2026 (eCFR, read October 6, 2026) unless another source is named.</w:t>
      </w:r>
    </w:p>
    <w:p>
      <w:pPr/>
      <w:r>
        <w:t>The thresholds in this file come from OMB's 2024 revision, Guidance for Federal Financial Assistance (89 FR 30046, April 22, 2024), effective October 1, 2024. Agencies could choose to apply it to awards issued before that date but did not have to. HHS replaced its own rules at 45 CFR part 75 with 2 CFR part 200 effective October 1, 2025 (89 FR 80055, October 2, 2024). Before you rely on a threshold, check which version the award terms invoke.</w:t>
      </w:r>
    </w:p>
    <w:p>
      <w:pPr>
        <w:pStyle w:val="Heading1"/>
      </w:pPr>
      <w:r>
        <w:t>How to use this checklist</w:t>
      </w:r>
    </w:p>
    <w:p>
      <w:pPr/>
      <w:r>
        <w:t>Fill the award cover block first. Most of it is on the notice of award, and the rest are decisions you will need again at every report and at the audit.</w:t>
      </w:r>
    </w:p>
    <w:p>
      <w:pPr/>
      <w:r>
        <w:t>Then work the phase tables in order. Use four status values and nothing else, so the file can be scanned: In place, Needs work, Missing, or Not applicable. Anything other than In place needs an owner and a date. Where a row does not apply, mark it Not applicable and say why in the same cell.</w:t>
      </w:r>
    </w:p>
    <w:p>
      <w:pPr/>
      <w:r>
        <w:t>Write the date a row was last verified, not the date the document was created. A procurement policy adopted three years ago and checked against the current rule last month is current. A policy written last month and never approved is not.</w:t>
      </w:r>
    </w:p>
    <w:p>
      <w:pPr/>
      <w:r>
        <w:t>The recurring checks near the end (at award acceptance, monthly, quarterly, at closeout) are the part you repeat. Keep one copy of this file per award and keep the completed copies; together they show an auditor that the controls ran during the year, not only on the day of the audit.</w:t>
      </w:r>
    </w:p>
    <w:p>
      <w:pPr>
        <w:pStyle w:val="Heading1"/>
      </w:pPr>
      <w:r>
        <w:t>Award cover block</w:t>
      </w:r>
    </w:p>
    <w:p>
      <w:pPr>
        <w:pStyle w:val="GCFill"/>
      </w:pPr>
      <w:r>
        <w:t>Fill this in once per award and update it when the award is amended.</w:t>
      </w:r>
    </w:p>
    <w:tbl>
      <w:tblPr>
        <w:tblStyle w:val="TableGrid"/>
        <w:tblW w:type="dxa" w:w="10080"/>
        <w:tblLook w:firstColumn="1" w:firstRow="1" w:lastColumn="0" w:lastRow="0" w:noHBand="0" w:noVBand="1" w:val="04A0"/>
        <w:jc w:val="center"/>
        <w:tblLayout w:type="fixed"/>
      </w:tblPr>
      <w:tblGrid>
        <w:gridCol w:w="2700"/>
        <w:gridCol w:w="2340"/>
        <w:gridCol w:w="2700"/>
        <w:gridCol w:w="2340"/>
      </w:tblGrid>
      <w:tr>
        <w:trPr>
          <w:tblHeader w:val="true"/>
        </w:trPr>
        <w:tc>
          <w:tcPr>
            <w:tcW w:type="dxa" w:w="2700"/>
            <w:shd w:val="clear" w:color="auto" w:fill="1F3556"/>
          </w:tcPr>
          <w:p>
            <w:pPr>
              <w:keepNext/>
              <w:spacing w:before="40" w:after="40"/>
            </w:pPr>
            <w:r>
              <w:rPr>
                <w:b/>
                <w:color w:val="FFFFFF"/>
                <w:sz w:val="18"/>
              </w:rPr>
              <w:t>Field</w:t>
            </w:r>
          </w:p>
        </w:tc>
        <w:tc>
          <w:tcPr>
            <w:tcW w:type="dxa" w:w="2340"/>
            <w:shd w:val="clear" w:color="auto" w:fill="1F3556"/>
          </w:tcPr>
          <w:p>
            <w:pPr>
              <w:keepNext/>
              <w:spacing w:before="40" w:after="40"/>
            </w:pPr>
            <w:r>
              <w:rPr>
                <w:b/>
                <w:color w:val="FFFFFF"/>
                <w:sz w:val="18"/>
              </w:rPr>
              <w:t>Entry</w:t>
            </w:r>
          </w:p>
        </w:tc>
        <w:tc>
          <w:tcPr>
            <w:tcW w:type="dxa" w:w="2700"/>
            <w:shd w:val="clear" w:color="auto" w:fill="1F3556"/>
          </w:tcPr>
          <w:p>
            <w:pPr>
              <w:keepNext/>
              <w:spacing w:before="40" w:after="40"/>
            </w:pPr>
            <w:r>
              <w:rPr>
                <w:b/>
                <w:color w:val="FFFFFF"/>
                <w:sz w:val="18"/>
              </w:rPr>
              <w:t>Field</w:t>
            </w:r>
          </w:p>
        </w:tc>
        <w:tc>
          <w:tcPr>
            <w:tcW w:type="dxa" w:w="2340"/>
            <w:shd w:val="clear" w:color="auto" w:fill="1F3556"/>
          </w:tcPr>
          <w:p>
            <w:pPr>
              <w:keepNext/>
              <w:spacing w:before="40" w:after="40"/>
            </w:pPr>
            <w:r>
              <w:rPr>
                <w:b/>
                <w:color w:val="FFFFFF"/>
                <w:sz w:val="18"/>
              </w:rPr>
              <w:t>Entry</w:t>
            </w:r>
          </w:p>
        </w:tc>
      </w:tr>
      <w:tr>
        <w:trPr>
          <w:cantSplit w:val="true"/>
        </w:trPr>
        <w:tc>
          <w:tcPr>
            <w:tcW w:type="dxa" w:w="2700"/>
          </w:tcPr>
          <w:p>
            <w:pPr>
              <w:spacing w:before="40" w:after="40"/>
            </w:pPr>
            <w:r>
              <w:rPr>
                <w:b/>
                <w:sz w:val="19"/>
              </w:rPr>
              <w:t>Award title</w:t>
            </w:r>
          </w:p>
        </w:tc>
        <w:tc>
          <w:tcPr>
            <w:tcW w:type="dxa" w:w="2340"/>
            <w:shd w:val="clear" w:color="auto" w:fill="FFF6E0"/>
          </w:tcPr>
          <w:p>
            <w:pPr>
              <w:spacing w:before="40" w:after="40"/>
            </w:pPr>
            <w:r>
              <w:rPr>
                <w:b w:val="0"/>
                <w:color w:val="808080"/>
                <w:sz w:val="19"/>
              </w:rPr>
              <w:t>__________</w:t>
            </w:r>
          </w:p>
        </w:tc>
        <w:tc>
          <w:tcPr>
            <w:tcW w:type="dxa" w:w="2700"/>
          </w:tcPr>
          <w:p>
            <w:pPr>
              <w:spacing w:before="40" w:after="40"/>
            </w:pPr>
            <w:r>
              <w:rPr>
                <w:b/>
                <w:sz w:val="19"/>
              </w:rPr>
              <w:t>Federal agency</w:t>
            </w:r>
          </w:p>
        </w:tc>
        <w:tc>
          <w:tcPr>
            <w:tcW w:type="dxa" w:w="2340"/>
            <w:shd w:val="clear" w:color="auto" w:fill="FFF6E0"/>
          </w:tcPr>
          <w:p>
            <w:pPr>
              <w:spacing w:before="40" w:after="40"/>
            </w:pPr>
            <w:r>
              <w:rPr>
                <w:b w:val="0"/>
                <w:color w:val="808080"/>
                <w:sz w:val="19"/>
              </w:rPr>
              <w:t>__________</w:t>
            </w:r>
          </w:p>
        </w:tc>
      </w:tr>
      <w:tr>
        <w:trPr>
          <w:cantSplit w:val="true"/>
        </w:trPr>
        <w:tc>
          <w:tcPr>
            <w:tcW w:type="dxa" w:w="2700"/>
          </w:tcPr>
          <w:p>
            <w:pPr>
              <w:spacing w:before="40" w:after="40"/>
            </w:pPr>
            <w:r>
              <w:rPr>
                <w:b/>
                <w:sz w:val="19"/>
              </w:rPr>
              <w:t>Federal Award Identification Number (FAIN)</w:t>
            </w:r>
          </w:p>
        </w:tc>
        <w:tc>
          <w:tcPr>
            <w:tcW w:type="dxa" w:w="2340"/>
            <w:shd w:val="clear" w:color="auto" w:fill="FFF6E0"/>
          </w:tcPr>
          <w:p>
            <w:pPr>
              <w:spacing w:before="40" w:after="40"/>
            </w:pPr>
            <w:r>
              <w:rPr>
                <w:b w:val="0"/>
                <w:color w:val="808080"/>
                <w:sz w:val="19"/>
              </w:rPr>
              <w:t>__________</w:t>
            </w:r>
          </w:p>
        </w:tc>
        <w:tc>
          <w:tcPr>
            <w:tcW w:type="dxa" w:w="2700"/>
          </w:tcPr>
          <w:p>
            <w:pPr>
              <w:spacing w:before="40" w:after="40"/>
            </w:pPr>
            <w:r>
              <w:rPr>
                <w:b/>
                <w:sz w:val="19"/>
              </w:rPr>
              <w:t>Assistance Listing number</w:t>
            </w:r>
          </w:p>
        </w:tc>
        <w:tc>
          <w:tcPr>
            <w:tcW w:type="dxa" w:w="2340"/>
            <w:shd w:val="clear" w:color="auto" w:fill="FFF6E0"/>
          </w:tcPr>
          <w:p>
            <w:pPr>
              <w:spacing w:before="40" w:after="40"/>
            </w:pPr>
            <w:r>
              <w:rPr>
                <w:b w:val="0"/>
                <w:color w:val="808080"/>
                <w:sz w:val="19"/>
              </w:rPr>
              <w:t>__________</w:t>
            </w:r>
          </w:p>
        </w:tc>
      </w:tr>
      <w:tr>
        <w:trPr>
          <w:cantSplit w:val="true"/>
        </w:trPr>
        <w:tc>
          <w:tcPr>
            <w:tcW w:type="dxa" w:w="2700"/>
          </w:tcPr>
          <w:p>
            <w:pPr>
              <w:spacing w:before="40" w:after="40"/>
            </w:pPr>
            <w:r>
              <w:rPr>
                <w:b/>
                <w:sz w:val="19"/>
              </w:rPr>
              <w:t>Pass-through entity, if this is a subaward</w:t>
            </w:r>
          </w:p>
        </w:tc>
        <w:tc>
          <w:tcPr>
            <w:tcW w:type="dxa" w:w="2340"/>
            <w:shd w:val="clear" w:color="auto" w:fill="FFF6E0"/>
          </w:tcPr>
          <w:p>
            <w:pPr>
              <w:spacing w:before="40" w:after="40"/>
            </w:pPr>
            <w:r>
              <w:rPr>
                <w:b w:val="0"/>
                <w:color w:val="808080"/>
                <w:sz w:val="19"/>
              </w:rPr>
              <w:t>__________</w:t>
            </w:r>
          </w:p>
        </w:tc>
        <w:tc>
          <w:tcPr>
            <w:tcW w:type="dxa" w:w="2700"/>
          </w:tcPr>
          <w:p>
            <w:pPr>
              <w:spacing w:before="40" w:after="40"/>
            </w:pPr>
            <w:r>
              <w:rPr>
                <w:b/>
                <w:sz w:val="19"/>
              </w:rPr>
              <w:t>Pass-through identifying number</w:t>
            </w:r>
          </w:p>
        </w:tc>
        <w:tc>
          <w:tcPr>
            <w:tcW w:type="dxa" w:w="2340"/>
            <w:shd w:val="clear" w:color="auto" w:fill="FFF6E0"/>
          </w:tcPr>
          <w:p>
            <w:pPr>
              <w:spacing w:before="40" w:after="40"/>
            </w:pPr>
            <w:r>
              <w:rPr>
                <w:b w:val="0"/>
                <w:color w:val="808080"/>
                <w:sz w:val="19"/>
              </w:rPr>
              <w:t>__________</w:t>
            </w:r>
          </w:p>
        </w:tc>
      </w:tr>
      <w:tr>
        <w:trPr>
          <w:cantSplit w:val="true"/>
        </w:trPr>
        <w:tc>
          <w:tcPr>
            <w:tcW w:type="dxa" w:w="2700"/>
          </w:tcPr>
          <w:p>
            <w:pPr>
              <w:spacing w:before="40" w:after="40"/>
            </w:pPr>
            <w:r>
              <w:rPr>
                <w:b/>
                <w:sz w:val="19"/>
              </w:rPr>
              <w:t>Period of performance start</w:t>
            </w:r>
          </w:p>
        </w:tc>
        <w:tc>
          <w:tcPr>
            <w:tcW w:type="dxa" w:w="2340"/>
            <w:shd w:val="clear" w:color="auto" w:fill="FFF6E0"/>
          </w:tcPr>
          <w:p>
            <w:pPr>
              <w:spacing w:before="40" w:after="40"/>
            </w:pPr>
            <w:r>
              <w:rPr>
                <w:b w:val="0"/>
                <w:color w:val="808080"/>
                <w:sz w:val="19"/>
              </w:rPr>
              <w:t>__________</w:t>
            </w:r>
          </w:p>
        </w:tc>
        <w:tc>
          <w:tcPr>
            <w:tcW w:type="dxa" w:w="2700"/>
          </w:tcPr>
          <w:p>
            <w:pPr>
              <w:spacing w:before="40" w:after="40"/>
            </w:pPr>
            <w:r>
              <w:rPr>
                <w:b/>
                <w:sz w:val="19"/>
              </w:rPr>
              <w:t>Period of performance end</w:t>
            </w:r>
          </w:p>
        </w:tc>
        <w:tc>
          <w:tcPr>
            <w:tcW w:type="dxa" w:w="2340"/>
            <w:shd w:val="clear" w:color="auto" w:fill="FFF6E0"/>
          </w:tcPr>
          <w:p>
            <w:pPr>
              <w:spacing w:before="40" w:after="40"/>
            </w:pPr>
            <w:r>
              <w:rPr>
                <w:b w:val="0"/>
                <w:color w:val="808080"/>
                <w:sz w:val="19"/>
              </w:rPr>
              <w:t>__________</w:t>
            </w:r>
          </w:p>
        </w:tc>
      </w:tr>
      <w:tr>
        <w:trPr>
          <w:cantSplit w:val="true"/>
        </w:trPr>
        <w:tc>
          <w:tcPr>
            <w:tcW w:type="dxa" w:w="2700"/>
          </w:tcPr>
          <w:p>
            <w:pPr>
              <w:spacing w:before="40" w:after="40"/>
            </w:pPr>
            <w:r>
              <w:rPr>
                <w:b/>
                <w:sz w:val="19"/>
              </w:rPr>
              <w:t>Budget period start</w:t>
            </w:r>
          </w:p>
        </w:tc>
        <w:tc>
          <w:tcPr>
            <w:tcW w:type="dxa" w:w="2340"/>
            <w:shd w:val="clear" w:color="auto" w:fill="FFF6E0"/>
          </w:tcPr>
          <w:p>
            <w:pPr>
              <w:spacing w:before="40" w:after="40"/>
            </w:pPr>
            <w:r>
              <w:rPr>
                <w:b w:val="0"/>
                <w:color w:val="808080"/>
                <w:sz w:val="19"/>
              </w:rPr>
              <w:t>__________</w:t>
            </w:r>
          </w:p>
        </w:tc>
        <w:tc>
          <w:tcPr>
            <w:tcW w:type="dxa" w:w="2700"/>
          </w:tcPr>
          <w:p>
            <w:pPr>
              <w:spacing w:before="40" w:after="40"/>
            </w:pPr>
            <w:r>
              <w:rPr>
                <w:b/>
                <w:sz w:val="19"/>
              </w:rPr>
              <w:t>Budget period end</w:t>
            </w:r>
          </w:p>
        </w:tc>
        <w:tc>
          <w:tcPr>
            <w:tcW w:type="dxa" w:w="2340"/>
            <w:shd w:val="clear" w:color="auto" w:fill="FFF6E0"/>
          </w:tcPr>
          <w:p>
            <w:pPr>
              <w:spacing w:before="40" w:after="40"/>
            </w:pPr>
            <w:r>
              <w:rPr>
                <w:b w:val="0"/>
                <w:color w:val="808080"/>
                <w:sz w:val="19"/>
              </w:rPr>
              <w:t>__________</w:t>
            </w:r>
          </w:p>
        </w:tc>
      </w:tr>
      <w:tr>
        <w:trPr>
          <w:cantSplit w:val="true"/>
        </w:trPr>
        <w:tc>
          <w:tcPr>
            <w:tcW w:type="dxa" w:w="2700"/>
          </w:tcPr>
          <w:p>
            <w:pPr>
              <w:spacing w:before="40" w:after="40"/>
            </w:pPr>
            <w:r>
              <w:rPr>
                <w:b/>
                <w:sz w:val="19"/>
              </w:rPr>
              <w:t>Uniform Guidance version the award terms invoke</w:t>
            </w:r>
          </w:p>
        </w:tc>
        <w:tc>
          <w:tcPr>
            <w:tcW w:type="dxa" w:w="2340"/>
            <w:shd w:val="clear" w:color="auto" w:fill="FFF6E0"/>
          </w:tcPr>
          <w:p>
            <w:pPr>
              <w:spacing w:before="40" w:after="40"/>
            </w:pPr>
            <w:r>
              <w:rPr>
                <w:b w:val="0"/>
                <w:color w:val="808080"/>
                <w:sz w:val="19"/>
              </w:rPr>
              <w:t>__________</w:t>
            </w:r>
          </w:p>
        </w:tc>
        <w:tc>
          <w:tcPr>
            <w:tcW w:type="dxa" w:w="2700"/>
          </w:tcPr>
          <w:p>
            <w:pPr>
              <w:spacing w:before="40" w:after="40"/>
            </w:pPr>
            <w:r>
              <w:rPr>
                <w:b/>
                <w:sz w:val="19"/>
              </w:rPr>
              <w:t>Indirect cost rate and its base</w:t>
            </w:r>
          </w:p>
        </w:tc>
        <w:tc>
          <w:tcPr>
            <w:tcW w:type="dxa" w:w="2340"/>
            <w:shd w:val="clear" w:color="auto" w:fill="FFF6E0"/>
          </w:tcPr>
          <w:p>
            <w:pPr>
              <w:spacing w:before="40" w:after="40"/>
            </w:pPr>
            <w:r>
              <w:rPr>
                <w:b w:val="0"/>
                <w:color w:val="808080"/>
                <w:sz w:val="19"/>
              </w:rPr>
              <w:t>__________</w:t>
            </w:r>
          </w:p>
        </w:tc>
      </w:tr>
      <w:tr>
        <w:trPr>
          <w:cantSplit w:val="true"/>
        </w:trPr>
        <w:tc>
          <w:tcPr>
            <w:tcW w:type="dxa" w:w="2700"/>
          </w:tcPr>
          <w:p>
            <w:pPr>
              <w:spacing w:before="40" w:after="40"/>
            </w:pPr>
            <w:r>
              <w:rPr>
                <w:b/>
                <w:sz w:val="19"/>
              </w:rPr>
              <w:t>Award owner (role)</w:t>
            </w:r>
          </w:p>
        </w:tc>
        <w:tc>
          <w:tcPr>
            <w:tcW w:type="dxa" w:w="2340"/>
            <w:shd w:val="clear" w:color="auto" w:fill="FFF6E0"/>
          </w:tcPr>
          <w:p>
            <w:pPr>
              <w:spacing w:before="40" w:after="40"/>
            </w:pPr>
            <w:r>
              <w:rPr>
                <w:b w:val="0"/>
                <w:color w:val="808080"/>
                <w:sz w:val="19"/>
              </w:rPr>
              <w:t>__________</w:t>
            </w:r>
          </w:p>
        </w:tc>
        <w:tc>
          <w:tcPr>
            <w:tcW w:type="dxa" w:w="2700"/>
          </w:tcPr>
          <w:p>
            <w:pPr>
              <w:spacing w:before="40" w:after="40"/>
            </w:pPr>
            <w:r>
              <w:rPr>
                <w:b/>
                <w:sz w:val="19"/>
              </w:rPr>
              <w:t>Backup owner (role)</w:t>
            </w:r>
          </w:p>
        </w:tc>
        <w:tc>
          <w:tcPr>
            <w:tcW w:type="dxa" w:w="2340"/>
            <w:shd w:val="clear" w:color="auto" w:fill="FFF6E0"/>
          </w:tcPr>
          <w:p>
            <w:pPr>
              <w:spacing w:before="40" w:after="40"/>
            </w:pPr>
            <w:r>
              <w:rPr>
                <w:b w:val="0"/>
                <w:color w:val="808080"/>
                <w:sz w:val="19"/>
              </w:rPr>
              <w:t>__________</w:t>
            </w:r>
          </w:p>
        </w:tc>
      </w:tr>
      <w:tr>
        <w:trPr>
          <w:cantSplit w:val="true"/>
        </w:trPr>
        <w:tc>
          <w:tcPr>
            <w:tcW w:type="dxa" w:w="2700"/>
          </w:tcPr>
          <w:p>
            <w:pPr>
              <w:spacing w:before="40" w:after="40"/>
            </w:pPr>
            <w:r>
              <w:rPr>
                <w:b/>
                <w:sz w:val="19"/>
              </w:rPr>
              <w:t>Your fiscal year end</w:t>
            </w:r>
          </w:p>
        </w:tc>
        <w:tc>
          <w:tcPr>
            <w:tcW w:type="dxa" w:w="2340"/>
            <w:shd w:val="clear" w:color="auto" w:fill="FFF6E0"/>
          </w:tcPr>
          <w:p>
            <w:pPr>
              <w:spacing w:before="40" w:after="40"/>
            </w:pPr>
            <w:r>
              <w:rPr>
                <w:b w:val="0"/>
                <w:color w:val="808080"/>
                <w:sz w:val="19"/>
              </w:rPr>
              <w:t>__________</w:t>
            </w:r>
          </w:p>
        </w:tc>
        <w:tc>
          <w:tcPr>
            <w:tcW w:type="dxa" w:w="2700"/>
          </w:tcPr>
          <w:p>
            <w:pPr>
              <w:spacing w:before="40" w:after="40"/>
            </w:pPr>
            <w:r>
              <w:rPr>
                <w:b/>
                <w:sz w:val="19"/>
              </w:rPr>
              <w:t>SAM.gov registration renewal date</w:t>
            </w:r>
          </w:p>
        </w:tc>
        <w:tc>
          <w:tcPr>
            <w:tcW w:type="dxa" w:w="2340"/>
            <w:shd w:val="clear" w:color="auto" w:fill="FFF6E0"/>
          </w:tcPr>
          <w:p>
            <w:pPr>
              <w:spacing w:before="40" w:after="40"/>
            </w:pPr>
            <w:r>
              <w:rPr>
                <w:b w:val="0"/>
                <w:color w:val="808080"/>
                <w:sz w:val="19"/>
              </w:rPr>
              <w:t>__________</w:t>
            </w:r>
          </w:p>
        </w:tc>
      </w:tr>
    </w:tbl>
    <w:p>
      <w:pPr>
        <w:pStyle w:val="GCCaption"/>
      </w:pPr>
    </w:p>
    <w:p>
      <w:pPr>
        <w:pStyle w:val="Heading1"/>
      </w:pPr>
      <w:r>
        <w:t>Thresholds in force</w:t>
      </w:r>
    </w:p>
    <w:p>
      <w:pPr/>
      <w:r>
        <w:t>Seven figures moved in 2024 and 2025. Record retention did not move: it is still three years. Five of the seven come from 2 CFR part 200 as revised effective October 1, 2024; the two procurement figures come from the Federal Acquisition Regulation, raised by FAR Case 2024-001 (90 FR 41872, August 27, 2025), effective October 1, 2025.</w:t>
      </w:r>
    </w:p>
    <w:tbl>
      <w:tblPr>
        <w:tblStyle w:val="TableGrid"/>
        <w:tblW w:type="dxa" w:w="10080"/>
        <w:tblLook w:firstColumn="1" w:firstRow="1" w:lastColumn="0" w:lastRow="0" w:noHBand="0" w:noVBand="1" w:val="04A0"/>
        <w:jc w:val="center"/>
        <w:tblLayout w:type="fixed"/>
      </w:tblPr>
      <w:tblGrid>
        <w:gridCol w:w="2300"/>
        <w:gridCol w:w="3880"/>
        <w:gridCol w:w="1900"/>
        <w:gridCol w:w="2000"/>
      </w:tblGrid>
      <w:tr>
        <w:trPr>
          <w:tblHeader w:val="true"/>
        </w:trPr>
        <w:tc>
          <w:tcPr>
            <w:tcW w:type="dxa" w:w="2300"/>
            <w:shd w:val="clear" w:color="auto" w:fill="1F3556"/>
          </w:tcPr>
          <w:p>
            <w:pPr>
              <w:keepNext/>
              <w:spacing w:before="40" w:after="40"/>
            </w:pPr>
            <w:r>
              <w:rPr>
                <w:b/>
                <w:color w:val="FFFFFF"/>
                <w:sz w:val="18"/>
              </w:rPr>
              <w:t>Item</w:t>
            </w:r>
          </w:p>
        </w:tc>
        <w:tc>
          <w:tcPr>
            <w:tcW w:type="dxa" w:w="3880"/>
            <w:shd w:val="clear" w:color="auto" w:fill="1F3556"/>
          </w:tcPr>
          <w:p>
            <w:pPr>
              <w:keepNext/>
              <w:spacing w:before="40" w:after="40"/>
            </w:pPr>
            <w:r>
              <w:rPr>
                <w:b/>
                <w:color w:val="FFFFFF"/>
                <w:sz w:val="18"/>
              </w:rPr>
              <w:t>Current value</w:t>
            </w:r>
          </w:p>
        </w:tc>
        <w:tc>
          <w:tcPr>
            <w:tcW w:type="dxa" w:w="1900"/>
            <w:shd w:val="clear" w:color="auto" w:fill="1F3556"/>
          </w:tcPr>
          <w:p>
            <w:pPr>
              <w:keepNext/>
              <w:spacing w:before="40" w:after="40"/>
            </w:pPr>
            <w:r>
              <w:rPr>
                <w:b/>
                <w:color w:val="FFFFFF"/>
                <w:sz w:val="18"/>
              </w:rPr>
              <w:t>Previous value</w:t>
            </w:r>
          </w:p>
        </w:tc>
        <w:tc>
          <w:tcPr>
            <w:tcW w:type="dxa" w:w="2000"/>
            <w:shd w:val="clear" w:color="auto" w:fill="1F3556"/>
          </w:tcPr>
          <w:p>
            <w:pPr>
              <w:keepNext/>
              <w:spacing w:before="40" w:after="40"/>
            </w:pPr>
            <w:r>
              <w:rPr>
                <w:b/>
                <w:color w:val="FFFFFF"/>
                <w:sz w:val="18"/>
              </w:rPr>
              <w:t>Citation</w:t>
            </w:r>
          </w:p>
        </w:tc>
      </w:tr>
      <w:tr>
        <w:trPr>
          <w:cantSplit w:val="true"/>
        </w:trPr>
        <w:tc>
          <w:tcPr>
            <w:tcW w:type="dxa" w:w="2300"/>
          </w:tcPr>
          <w:p>
            <w:pPr>
              <w:spacing w:before="40" w:after="40"/>
            </w:pPr>
            <w:r>
              <w:rPr>
                <w:b/>
                <w:sz w:val="19"/>
              </w:rPr>
              <w:t>Single Audit threshold</w:t>
            </w:r>
          </w:p>
        </w:tc>
        <w:tc>
          <w:tcPr>
            <w:tcW w:type="dxa" w:w="3880"/>
          </w:tcPr>
          <w:p>
            <w:pPr>
              <w:spacing w:before="40" w:after="40"/>
            </w:pPr>
            <w:r>
              <w:rPr>
                <w:b w:val="0"/>
                <w:sz w:val="19"/>
              </w:rPr>
              <w:t>$1,000,000 or more expended in your fiscal year</w:t>
            </w:r>
          </w:p>
        </w:tc>
        <w:tc>
          <w:tcPr>
            <w:tcW w:type="dxa" w:w="1900"/>
          </w:tcPr>
          <w:p>
            <w:pPr>
              <w:spacing w:before="40" w:after="40"/>
            </w:pPr>
            <w:r>
              <w:rPr>
                <w:b w:val="0"/>
                <w:sz w:val="19"/>
              </w:rPr>
              <w:t>$750,000</w:t>
            </w:r>
          </w:p>
        </w:tc>
        <w:tc>
          <w:tcPr>
            <w:tcW w:type="dxa" w:w="2000"/>
          </w:tcPr>
          <w:p>
            <w:pPr>
              <w:spacing w:before="40" w:after="40"/>
            </w:pPr>
            <w:r>
              <w:rPr>
                <w:b w:val="0"/>
                <w:sz w:val="19"/>
              </w:rPr>
              <w:t>2 CFR 200.501(a)</w:t>
            </w:r>
          </w:p>
        </w:tc>
      </w:tr>
      <w:tr>
        <w:trPr>
          <w:cantSplit w:val="true"/>
        </w:trPr>
        <w:tc>
          <w:tcPr>
            <w:tcW w:type="dxa" w:w="2300"/>
          </w:tcPr>
          <w:p>
            <w:pPr>
              <w:spacing w:before="40" w:after="40"/>
            </w:pPr>
            <w:r>
              <w:rPr>
                <w:b/>
                <w:sz w:val="19"/>
              </w:rPr>
              <w:t>Equipment</w:t>
            </w:r>
          </w:p>
        </w:tc>
        <w:tc>
          <w:tcPr>
            <w:tcW w:type="dxa" w:w="3880"/>
          </w:tcPr>
          <w:p>
            <w:pPr>
              <w:spacing w:before="40" w:after="40"/>
            </w:pPr>
            <w:r>
              <w:rPr>
                <w:b w:val="0"/>
                <w:sz w:val="19"/>
              </w:rPr>
              <w:t>Per-unit acquisition cost at or above the lesser of your capitalization level or $10,000</w:t>
            </w:r>
          </w:p>
        </w:tc>
        <w:tc>
          <w:tcPr>
            <w:tcW w:type="dxa" w:w="1900"/>
          </w:tcPr>
          <w:p>
            <w:pPr>
              <w:spacing w:before="40" w:after="40"/>
            </w:pPr>
            <w:r>
              <w:rPr>
                <w:b w:val="0"/>
                <w:sz w:val="19"/>
              </w:rPr>
              <w:t>$5,000</w:t>
            </w:r>
          </w:p>
        </w:tc>
        <w:tc>
          <w:tcPr>
            <w:tcW w:type="dxa" w:w="2000"/>
          </w:tcPr>
          <w:p>
            <w:pPr>
              <w:spacing w:before="40" w:after="40"/>
            </w:pPr>
            <w:r>
              <w:rPr>
                <w:b w:val="0"/>
                <w:sz w:val="19"/>
              </w:rPr>
              <w:t>2 CFR 200.1, definition of equipment</w:t>
            </w:r>
          </w:p>
        </w:tc>
      </w:tr>
      <w:tr>
        <w:trPr>
          <w:cantSplit w:val="true"/>
        </w:trPr>
        <w:tc>
          <w:tcPr>
            <w:tcW w:type="dxa" w:w="2300"/>
          </w:tcPr>
          <w:p>
            <w:pPr>
              <w:spacing w:before="40" w:after="40"/>
            </w:pPr>
            <w:r>
              <w:rPr>
                <w:b/>
                <w:sz w:val="19"/>
              </w:rPr>
              <w:t>Residual unused supplies</w:t>
            </w:r>
          </w:p>
        </w:tc>
        <w:tc>
          <w:tcPr>
            <w:tcW w:type="dxa" w:w="3880"/>
          </w:tcPr>
          <w:p>
            <w:pPr>
              <w:spacing w:before="40" w:after="40"/>
            </w:pPr>
            <w:r>
              <w:rPr>
                <w:b w:val="0"/>
                <w:sz w:val="19"/>
              </w:rPr>
              <w:t>Aggregate value over $10,000 at the end of the period of performance</w:t>
            </w:r>
          </w:p>
        </w:tc>
        <w:tc>
          <w:tcPr>
            <w:tcW w:type="dxa" w:w="1900"/>
          </w:tcPr>
          <w:p>
            <w:pPr>
              <w:spacing w:before="40" w:after="40"/>
            </w:pPr>
            <w:r>
              <w:rPr>
                <w:b w:val="0"/>
                <w:sz w:val="19"/>
              </w:rPr>
              <w:t>$5,000</w:t>
            </w:r>
          </w:p>
        </w:tc>
        <w:tc>
          <w:tcPr>
            <w:tcW w:type="dxa" w:w="2000"/>
          </w:tcPr>
          <w:p>
            <w:pPr>
              <w:spacing w:before="40" w:after="40"/>
            </w:pPr>
            <w:r>
              <w:rPr>
                <w:b w:val="0"/>
                <w:sz w:val="19"/>
              </w:rPr>
              <w:t>2 CFR 200.314(a)</w:t>
            </w:r>
          </w:p>
        </w:tc>
      </w:tr>
      <w:tr>
        <w:trPr>
          <w:cantSplit w:val="true"/>
        </w:trPr>
        <w:tc>
          <w:tcPr>
            <w:tcW w:type="dxa" w:w="2300"/>
          </w:tcPr>
          <w:p>
            <w:pPr>
              <w:spacing w:before="40" w:after="40"/>
            </w:pPr>
            <w:r>
              <w:rPr>
                <w:b/>
                <w:sz w:val="19"/>
              </w:rPr>
              <w:t>De minimis indirect cost rate</w:t>
            </w:r>
          </w:p>
        </w:tc>
        <w:tc>
          <w:tcPr>
            <w:tcW w:type="dxa" w:w="3880"/>
          </w:tcPr>
          <w:p>
            <w:pPr>
              <w:spacing w:before="40" w:after="40"/>
            </w:pPr>
            <w:r>
              <w:rPr>
                <w:b w:val="0"/>
                <w:sz w:val="19"/>
              </w:rPr>
              <w:t>Up to 15 percent of modified total direct costs</w:t>
            </w:r>
          </w:p>
        </w:tc>
        <w:tc>
          <w:tcPr>
            <w:tcW w:type="dxa" w:w="1900"/>
          </w:tcPr>
          <w:p>
            <w:pPr>
              <w:spacing w:before="40" w:after="40"/>
            </w:pPr>
            <w:r>
              <w:rPr>
                <w:b w:val="0"/>
                <w:sz w:val="19"/>
              </w:rPr>
              <w:t>10 percent</w:t>
            </w:r>
          </w:p>
        </w:tc>
        <w:tc>
          <w:tcPr>
            <w:tcW w:type="dxa" w:w="2000"/>
          </w:tcPr>
          <w:p>
            <w:pPr>
              <w:spacing w:before="40" w:after="40"/>
            </w:pPr>
            <w:r>
              <w:rPr>
                <w:b w:val="0"/>
                <w:sz w:val="19"/>
              </w:rPr>
              <w:t>2 CFR 200.414(f)</w:t>
            </w:r>
          </w:p>
        </w:tc>
      </w:tr>
      <w:tr>
        <w:trPr>
          <w:cantSplit w:val="true"/>
        </w:trPr>
        <w:tc>
          <w:tcPr>
            <w:tcW w:type="dxa" w:w="2300"/>
          </w:tcPr>
          <w:p>
            <w:pPr>
              <w:spacing w:before="40" w:after="40"/>
            </w:pPr>
            <w:r>
              <w:rPr>
                <w:b/>
                <w:sz w:val="19"/>
              </w:rPr>
              <w:t>Fixed amount subawards</w:t>
            </w:r>
          </w:p>
        </w:tc>
        <w:tc>
          <w:tcPr>
            <w:tcW w:type="dxa" w:w="3880"/>
          </w:tcPr>
          <w:p>
            <w:pPr>
              <w:spacing w:before="40" w:after="40"/>
            </w:pPr>
            <w:r>
              <w:rPr>
                <w:b w:val="0"/>
                <w:sz w:val="19"/>
              </w:rPr>
              <w:t>Up to $500,000, with prior written approval from the Federal agency</w:t>
            </w:r>
          </w:p>
        </w:tc>
        <w:tc>
          <w:tcPr>
            <w:tcW w:type="dxa" w:w="1900"/>
          </w:tcPr>
          <w:p>
            <w:pPr>
              <w:spacing w:before="40" w:after="40"/>
            </w:pPr>
            <w:r>
              <w:rPr>
                <w:b w:val="0"/>
                <w:sz w:val="19"/>
              </w:rPr>
              <w:t>The simplified acquisition threshold, then $250,000</w:t>
            </w:r>
          </w:p>
        </w:tc>
        <w:tc>
          <w:tcPr>
            <w:tcW w:type="dxa" w:w="2000"/>
          </w:tcPr>
          <w:p>
            <w:pPr>
              <w:spacing w:before="40" w:after="40"/>
            </w:pPr>
            <w:r>
              <w:rPr>
                <w:b w:val="0"/>
                <w:sz w:val="19"/>
              </w:rPr>
              <w:t>2 CFR 200.333</w:t>
            </w:r>
          </w:p>
        </w:tc>
      </w:tr>
      <w:tr>
        <w:trPr>
          <w:cantSplit w:val="true"/>
        </w:trPr>
        <w:tc>
          <w:tcPr>
            <w:tcW w:type="dxa" w:w="2300"/>
          </w:tcPr>
          <w:p>
            <w:pPr>
              <w:spacing w:before="40" w:after="40"/>
            </w:pPr>
            <w:r>
              <w:rPr>
                <w:b/>
                <w:sz w:val="19"/>
              </w:rPr>
              <w:t>Micro-purchase threshold</w:t>
            </w:r>
          </w:p>
        </w:tc>
        <w:tc>
          <w:tcPr>
            <w:tcW w:type="dxa" w:w="3880"/>
          </w:tcPr>
          <w:p>
            <w:pPr>
              <w:spacing w:before="40" w:after="40"/>
            </w:pPr>
            <w:r>
              <w:rPr>
                <w:b w:val="0"/>
                <w:sz w:val="19"/>
              </w:rPr>
              <w:t>$15,000</w:t>
            </w:r>
          </w:p>
        </w:tc>
        <w:tc>
          <w:tcPr>
            <w:tcW w:type="dxa" w:w="1900"/>
          </w:tcPr>
          <w:p>
            <w:pPr>
              <w:spacing w:before="40" w:after="40"/>
            </w:pPr>
            <w:r>
              <w:rPr>
                <w:b w:val="0"/>
                <w:sz w:val="19"/>
              </w:rPr>
              <w:t>$10,000</w:t>
            </w:r>
          </w:p>
        </w:tc>
        <w:tc>
          <w:tcPr>
            <w:tcW w:type="dxa" w:w="2000"/>
          </w:tcPr>
          <w:p>
            <w:pPr>
              <w:spacing w:before="40" w:after="40"/>
            </w:pPr>
            <w:r>
              <w:rPr>
                <w:b w:val="0"/>
                <w:sz w:val="19"/>
              </w:rPr>
              <w:t>48 CFR 2.101</w:t>
            </w:r>
          </w:p>
        </w:tc>
      </w:tr>
      <w:tr>
        <w:trPr>
          <w:cantSplit w:val="true"/>
        </w:trPr>
        <w:tc>
          <w:tcPr>
            <w:tcW w:type="dxa" w:w="2300"/>
          </w:tcPr>
          <w:p>
            <w:pPr>
              <w:spacing w:before="40" w:after="40"/>
            </w:pPr>
            <w:r>
              <w:rPr>
                <w:b/>
                <w:sz w:val="19"/>
              </w:rPr>
              <w:t>Simplified acquisition threshold</w:t>
            </w:r>
          </w:p>
        </w:tc>
        <w:tc>
          <w:tcPr>
            <w:tcW w:type="dxa" w:w="3880"/>
          </w:tcPr>
          <w:p>
            <w:pPr>
              <w:spacing w:before="40" w:after="40"/>
            </w:pPr>
            <w:r>
              <w:rPr>
                <w:b w:val="0"/>
                <w:sz w:val="19"/>
              </w:rPr>
              <w:t>$350,000</w:t>
            </w:r>
          </w:p>
        </w:tc>
        <w:tc>
          <w:tcPr>
            <w:tcW w:type="dxa" w:w="1900"/>
          </w:tcPr>
          <w:p>
            <w:pPr>
              <w:spacing w:before="40" w:after="40"/>
            </w:pPr>
            <w:r>
              <w:rPr>
                <w:b w:val="0"/>
                <w:sz w:val="19"/>
              </w:rPr>
              <w:t>$250,000</w:t>
            </w:r>
          </w:p>
        </w:tc>
        <w:tc>
          <w:tcPr>
            <w:tcW w:type="dxa" w:w="2000"/>
          </w:tcPr>
          <w:p>
            <w:pPr>
              <w:spacing w:before="40" w:after="40"/>
            </w:pPr>
            <w:r>
              <w:rPr>
                <w:b w:val="0"/>
                <w:sz w:val="19"/>
              </w:rPr>
              <w:t>48 CFR 2.101</w:t>
            </w:r>
          </w:p>
        </w:tc>
      </w:tr>
      <w:tr>
        <w:trPr>
          <w:cantSplit w:val="true"/>
        </w:trPr>
        <w:tc>
          <w:tcPr>
            <w:tcW w:type="dxa" w:w="2300"/>
          </w:tcPr>
          <w:p>
            <w:pPr>
              <w:spacing w:before="40" w:after="40"/>
            </w:pPr>
            <w:r>
              <w:rPr>
                <w:b/>
                <w:sz w:val="19"/>
              </w:rPr>
              <w:t>Record retention</w:t>
            </w:r>
          </w:p>
        </w:tc>
        <w:tc>
          <w:tcPr>
            <w:tcW w:type="dxa" w:w="3880"/>
          </w:tcPr>
          <w:p>
            <w:pPr>
              <w:spacing w:before="40" w:after="40"/>
            </w:pPr>
            <w:r>
              <w:rPr>
                <w:b w:val="0"/>
                <w:sz w:val="19"/>
              </w:rPr>
              <w:t>Three years from the date the final financial report is submitted</w:t>
            </w:r>
          </w:p>
        </w:tc>
        <w:tc>
          <w:tcPr>
            <w:tcW w:type="dxa" w:w="1900"/>
          </w:tcPr>
          <w:p>
            <w:pPr>
              <w:spacing w:before="40" w:after="40"/>
            </w:pPr>
            <w:r>
              <w:rPr>
                <w:b w:val="0"/>
                <w:sz w:val="19"/>
              </w:rPr>
              <w:t>Unchanged</w:t>
            </w:r>
          </w:p>
        </w:tc>
        <w:tc>
          <w:tcPr>
            <w:tcW w:type="dxa" w:w="2000"/>
          </w:tcPr>
          <w:p>
            <w:pPr>
              <w:spacing w:before="40" w:after="40"/>
            </w:pPr>
            <w:r>
              <w:rPr>
                <w:b w:val="0"/>
                <w:sz w:val="19"/>
              </w:rPr>
              <w:t>2 CFR 200.334</w:t>
            </w:r>
          </w:p>
        </w:tc>
      </w:tr>
    </w:tbl>
    <w:p>
      <w:pPr>
        <w:pStyle w:val="GCCaption"/>
      </w:pPr>
    </w:p>
    <w:p>
      <w:pPr>
        <w:pStyle w:val="Heading1"/>
      </w:pPr>
      <w:r>
        <w:t>Section 1. Before the award and at registration</w:t>
      </w:r>
    </w:p>
    <w:p>
      <w:pPr/>
      <w:r>
        <w:t>These rows decide whether Federal money can reach you at all. A recipient must keep a current, active SAM.gov registration at all times while it holds an active Federal award, and review and update it every year (2 CFR 25.200(b)(2)), so the renewal date belongs on the same calendar as your reports.</w:t>
      </w:r>
    </w:p>
    <w:tbl>
      <w:tblPr>
        <w:tblStyle w:val="TableGrid"/>
        <w:tblW w:type="dxa" w:w="10080"/>
        <w:tblLook w:firstColumn="1" w:firstRow="1" w:lastColumn="0" w:lastRow="0" w:noHBand="0" w:noVBand="1" w:val="04A0"/>
        <w:jc w:val="center"/>
        <w:tblLayout w:type="fixed"/>
      </w:tblPr>
      <w:tblGrid>
        <w:gridCol w:w="487"/>
        <w:gridCol w:w="3100"/>
        <w:gridCol w:w="3143"/>
        <w:gridCol w:w="1650"/>
        <w:gridCol w:w="1700"/>
      </w:tblGrid>
      <w:tr>
        <w:trPr>
          <w:tblHeader w:val="true"/>
        </w:trPr>
        <w:tc>
          <w:tcPr>
            <w:tcW w:type="dxa" w:w="487"/>
            <w:shd w:val="clear" w:color="auto" w:fill="1F3556"/>
          </w:tcPr>
          <w:p>
            <w:pPr>
              <w:keepNext/>
              <w:spacing w:before="40" w:after="40"/>
            </w:pPr>
            <w:r>
              <w:rPr>
                <w:b/>
                <w:color w:val="FFFFFF"/>
                <w:sz w:val="18"/>
              </w:rPr>
            </w:r>
          </w:p>
        </w:tc>
        <w:tc>
          <w:tcPr>
            <w:tcW w:type="dxa" w:w="3100"/>
            <w:shd w:val="clear" w:color="auto" w:fill="1F3556"/>
          </w:tcPr>
          <w:p>
            <w:pPr>
              <w:keepNext/>
              <w:spacing w:before="40" w:after="40"/>
            </w:pPr>
            <w:r>
              <w:rPr>
                <w:b/>
                <w:color w:val="FFFFFF"/>
                <w:sz w:val="18"/>
              </w:rPr>
              <w:t>Requirement</w:t>
            </w:r>
          </w:p>
        </w:tc>
        <w:tc>
          <w:tcPr>
            <w:tcW w:type="dxa" w:w="3143"/>
            <w:shd w:val="clear" w:color="auto" w:fill="1F3556"/>
          </w:tcPr>
          <w:p>
            <w:pPr>
              <w:keepNext/>
              <w:spacing w:before="40" w:after="40"/>
            </w:pPr>
            <w:r>
              <w:rPr>
                <w:b/>
                <w:color w:val="FFFFFF"/>
                <w:sz w:val="18"/>
              </w:rPr>
              <w:t>Evidence to keep</w:t>
            </w:r>
          </w:p>
        </w:tc>
        <w:tc>
          <w:tcPr>
            <w:tcW w:type="dxa" w:w="1650"/>
            <w:shd w:val="clear" w:color="auto" w:fill="1F3556"/>
          </w:tcPr>
          <w:p>
            <w:pPr>
              <w:keepNext/>
              <w:spacing w:before="40" w:after="40"/>
            </w:pPr>
            <w:r>
              <w:rPr>
                <w:b/>
                <w:color w:val="FFFFFF"/>
                <w:sz w:val="18"/>
              </w:rPr>
              <w:t>Citation</w:t>
            </w:r>
          </w:p>
        </w:tc>
        <w:tc>
          <w:tcPr>
            <w:tcW w:type="dxa" w:w="1700"/>
            <w:shd w:val="clear" w:color="auto" w:fill="1F3556"/>
          </w:tcPr>
          <w:p>
            <w:pPr>
              <w:keepNext/>
              <w:spacing w:before="40" w:after="40"/>
            </w:pPr>
            <w:r>
              <w:rPr>
                <w:b/>
                <w:color w:val="FFFFFF"/>
                <w:sz w:val="18"/>
              </w:rPr>
              <w:t>Status, owner, date verified</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Active SAM.gov registration, Unique Entity ID recorded</w:t>
            </w:r>
          </w:p>
        </w:tc>
        <w:tc>
          <w:tcPr>
            <w:tcW w:type="dxa" w:w="3143"/>
          </w:tcPr>
          <w:p>
            <w:pPr>
              <w:spacing w:before="40" w:after="40"/>
            </w:pPr>
            <w:r>
              <w:rPr>
                <w:b w:val="0"/>
                <w:sz w:val="19"/>
              </w:rPr>
              <w:t>Registration confirmation; renewal date on the calendar, since SAM.gov registration is renewed every 365 days</w:t>
            </w:r>
          </w:p>
        </w:tc>
        <w:tc>
          <w:tcPr>
            <w:tcW w:type="dxa" w:w="1650"/>
          </w:tcPr>
          <w:p>
            <w:pPr>
              <w:spacing w:before="40" w:after="40"/>
            </w:pPr>
            <w:r>
              <w:rPr>
                <w:b w:val="0"/>
                <w:sz w:val="19"/>
              </w:rPr>
              <w:t>SAM.gov</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Not suspended or debarred</w:t>
            </w:r>
          </w:p>
        </w:tc>
        <w:tc>
          <w:tcPr>
            <w:tcW w:type="dxa" w:w="3143"/>
          </w:tcPr>
          <w:p>
            <w:pPr>
              <w:spacing w:before="40" w:after="40"/>
            </w:pPr>
            <w:r>
              <w:rPr>
                <w:b w:val="0"/>
                <w:sz w:val="19"/>
              </w:rPr>
              <w:t>Dated SAM.gov exclusion check</w:t>
            </w:r>
          </w:p>
        </w:tc>
        <w:tc>
          <w:tcPr>
            <w:tcW w:type="dxa" w:w="1650"/>
          </w:tcPr>
          <w:p>
            <w:pPr>
              <w:spacing w:before="40" w:after="40"/>
            </w:pPr>
            <w:r>
              <w:rPr>
                <w:b w:val="0"/>
                <w:sz w:val="19"/>
              </w:rPr>
              <w:t>2 CFR part 180</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Cost share commitment approved</w:t>
            </w:r>
          </w:p>
        </w:tc>
        <w:tc>
          <w:tcPr>
            <w:tcW w:type="dxa" w:w="3143"/>
          </w:tcPr>
          <w:p>
            <w:pPr>
              <w:spacing w:before="40" w:after="40"/>
            </w:pPr>
            <w:r>
              <w:rPr>
                <w:b w:val="0"/>
                <w:sz w:val="19"/>
              </w:rPr>
              <w:t>Executive approval of the match; the funds are verifiable in your records</w:t>
            </w:r>
          </w:p>
        </w:tc>
        <w:tc>
          <w:tcPr>
            <w:tcW w:type="dxa" w:w="1650"/>
          </w:tcPr>
          <w:p>
            <w:pPr>
              <w:spacing w:before="40" w:after="40"/>
            </w:pPr>
            <w:r>
              <w:rPr>
                <w:b w:val="0"/>
                <w:sz w:val="19"/>
              </w:rPr>
              <w:t>2 CFR 200.306</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Mandatory disclosure procedure</w:t>
            </w:r>
          </w:p>
        </w:tc>
        <w:tc>
          <w:tcPr>
            <w:tcW w:type="dxa" w:w="3143"/>
          </w:tcPr>
          <w:p>
            <w:pPr>
              <w:spacing w:before="40" w:after="40"/>
            </w:pPr>
            <w:r>
              <w:rPr>
                <w:b w:val="0"/>
                <w:sz w:val="19"/>
              </w:rPr>
              <w:t>Written procedure naming who discloses, in writing, credible evidence of a Title 18 fraud, conflict of interest, bribery or gratuity violation, or a civil False Claims Act violation, to the Federal agency, its Office of Inspector General and any pass-through entity</w:t>
            </w:r>
          </w:p>
        </w:tc>
        <w:tc>
          <w:tcPr>
            <w:tcW w:type="dxa" w:w="1650"/>
          </w:tcPr>
          <w:p>
            <w:pPr>
              <w:spacing w:before="40" w:after="40"/>
            </w:pPr>
            <w:r>
              <w:rPr>
                <w:b w:val="0"/>
                <w:sz w:val="19"/>
              </w:rPr>
              <w:t>2 CFR 200.113</w:t>
            </w:r>
          </w:p>
        </w:tc>
        <w:tc>
          <w:tcPr>
            <w:tcW w:type="dxa" w:w="1700"/>
            <w:shd w:val="clear" w:color="auto" w:fill="FFF6E0"/>
          </w:tcPr>
          <w:p>
            <w:pPr>
              <w:spacing w:before="40" w:after="40"/>
            </w:pPr>
            <w:r>
              <w:rPr>
                <w:b w:val="0"/>
                <w:color w:val="808080"/>
                <w:sz w:val="19"/>
              </w:rPr>
              <w:t>__________</w:t>
            </w:r>
          </w:p>
        </w:tc>
      </w:tr>
    </w:tbl>
    <w:p>
      <w:pPr>
        <w:pStyle w:val="GCCaption"/>
      </w:pPr>
    </w:p>
    <w:p>
      <w:pPr>
        <w:pStyle w:val="Heading1"/>
      </w:pPr>
      <w:r>
        <w:t>Section 2. Financial management and internal controls</w:t>
      </w:r>
    </w:p>
    <w:tbl>
      <w:tblPr>
        <w:tblStyle w:val="TableGrid"/>
        <w:tblW w:type="dxa" w:w="10080"/>
        <w:tblLook w:firstColumn="1" w:firstRow="1" w:lastColumn="0" w:lastRow="0" w:noHBand="0" w:noVBand="1" w:val="04A0"/>
        <w:jc w:val="center"/>
        <w:tblLayout w:type="fixed"/>
      </w:tblPr>
      <w:tblGrid>
        <w:gridCol w:w="487"/>
        <w:gridCol w:w="3100"/>
        <w:gridCol w:w="3143"/>
        <w:gridCol w:w="1650"/>
        <w:gridCol w:w="1700"/>
      </w:tblGrid>
      <w:tr>
        <w:trPr>
          <w:tblHeader w:val="true"/>
        </w:trPr>
        <w:tc>
          <w:tcPr>
            <w:tcW w:type="dxa" w:w="487"/>
            <w:shd w:val="clear" w:color="auto" w:fill="1F3556"/>
          </w:tcPr>
          <w:p>
            <w:pPr>
              <w:keepNext/>
              <w:spacing w:before="40" w:after="40"/>
            </w:pPr>
            <w:r>
              <w:rPr>
                <w:b/>
                <w:color w:val="FFFFFF"/>
                <w:sz w:val="18"/>
              </w:rPr>
            </w:r>
          </w:p>
        </w:tc>
        <w:tc>
          <w:tcPr>
            <w:tcW w:type="dxa" w:w="3100"/>
            <w:shd w:val="clear" w:color="auto" w:fill="1F3556"/>
          </w:tcPr>
          <w:p>
            <w:pPr>
              <w:keepNext/>
              <w:spacing w:before="40" w:after="40"/>
            </w:pPr>
            <w:r>
              <w:rPr>
                <w:b/>
                <w:color w:val="FFFFFF"/>
                <w:sz w:val="18"/>
              </w:rPr>
              <w:t>Requirement</w:t>
            </w:r>
          </w:p>
        </w:tc>
        <w:tc>
          <w:tcPr>
            <w:tcW w:type="dxa" w:w="3143"/>
            <w:shd w:val="clear" w:color="auto" w:fill="1F3556"/>
          </w:tcPr>
          <w:p>
            <w:pPr>
              <w:keepNext/>
              <w:spacing w:before="40" w:after="40"/>
            </w:pPr>
            <w:r>
              <w:rPr>
                <w:b/>
                <w:color w:val="FFFFFF"/>
                <w:sz w:val="18"/>
              </w:rPr>
              <w:t>Evidence to keep</w:t>
            </w:r>
          </w:p>
        </w:tc>
        <w:tc>
          <w:tcPr>
            <w:tcW w:type="dxa" w:w="1650"/>
            <w:shd w:val="clear" w:color="auto" w:fill="1F3556"/>
          </w:tcPr>
          <w:p>
            <w:pPr>
              <w:keepNext/>
              <w:spacing w:before="40" w:after="40"/>
            </w:pPr>
            <w:r>
              <w:rPr>
                <w:b/>
                <w:color w:val="FFFFFF"/>
                <w:sz w:val="18"/>
              </w:rPr>
              <w:t>Citation</w:t>
            </w:r>
          </w:p>
        </w:tc>
        <w:tc>
          <w:tcPr>
            <w:tcW w:type="dxa" w:w="1700"/>
            <w:shd w:val="clear" w:color="auto" w:fill="1F3556"/>
          </w:tcPr>
          <w:p>
            <w:pPr>
              <w:keepNext/>
              <w:spacing w:before="40" w:after="40"/>
            </w:pPr>
            <w:r>
              <w:rPr>
                <w:b/>
                <w:color w:val="FFFFFF"/>
                <w:sz w:val="18"/>
              </w:rPr>
              <w:t>Status, owner, date verified</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Every Federal award received and expended is identified</w:t>
            </w:r>
          </w:p>
        </w:tc>
        <w:tc>
          <w:tcPr>
            <w:tcW w:type="dxa" w:w="3143"/>
          </w:tcPr>
          <w:p>
            <w:pPr>
              <w:spacing w:before="40" w:after="40"/>
            </w:pPr>
            <w:r>
              <w:rPr>
                <w:b w:val="0"/>
                <w:sz w:val="19"/>
              </w:rPr>
              <w:t>Assistance Listings title and number, FAIN, year the award was issued, and the Federal agency or pass-through entity</w:t>
            </w:r>
          </w:p>
        </w:tc>
        <w:tc>
          <w:tcPr>
            <w:tcW w:type="dxa" w:w="1650"/>
          </w:tcPr>
          <w:p>
            <w:pPr>
              <w:spacing w:before="40" w:after="40"/>
            </w:pPr>
            <w:r>
              <w:rPr>
                <w:b w:val="0"/>
                <w:sz w:val="19"/>
              </w:rPr>
              <w:t>200.302(b)(1)</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Records identify the amount, source and expenditure of Federal funds</w:t>
            </w:r>
          </w:p>
        </w:tc>
        <w:tc>
          <w:tcPr>
            <w:tcW w:type="dxa" w:w="3143"/>
          </w:tcPr>
          <w:p>
            <w:pPr>
              <w:spacing w:before="40" w:after="40"/>
            </w:pPr>
            <w:r>
              <w:rPr>
                <w:b w:val="0"/>
                <w:sz w:val="19"/>
              </w:rPr>
              <w:t>Source documentation for every charge: invoices, receipts, payroll records</w:t>
            </w:r>
          </w:p>
        </w:tc>
        <w:tc>
          <w:tcPr>
            <w:tcW w:type="dxa" w:w="1650"/>
          </w:tcPr>
          <w:p>
            <w:pPr>
              <w:spacing w:before="40" w:after="40"/>
            </w:pPr>
            <w:r>
              <w:rPr>
                <w:b w:val="0"/>
                <w:sz w:val="19"/>
              </w:rPr>
              <w:t>200.302(b)(3)</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Expenditures compared with the budget for each award</w:t>
            </w:r>
          </w:p>
        </w:tc>
        <w:tc>
          <w:tcPr>
            <w:tcW w:type="dxa" w:w="3143"/>
          </w:tcPr>
          <w:p>
            <w:pPr>
              <w:spacing w:before="40" w:after="40"/>
            </w:pPr>
            <w:r>
              <w:rPr>
                <w:b w:val="0"/>
                <w:sz w:val="19"/>
              </w:rPr>
              <w:t>Budget-to-actual report by line</w:t>
            </w:r>
          </w:p>
        </w:tc>
        <w:tc>
          <w:tcPr>
            <w:tcW w:type="dxa" w:w="1650"/>
          </w:tcPr>
          <w:p>
            <w:pPr>
              <w:spacing w:before="40" w:after="40"/>
            </w:pPr>
            <w:r>
              <w:rPr>
                <w:b w:val="0"/>
                <w:sz w:val="19"/>
              </w:rPr>
              <w:t>200.302(b)(5)</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Written procedures for deciding whether a cost is allowable</w:t>
            </w:r>
          </w:p>
        </w:tc>
        <w:tc>
          <w:tcPr>
            <w:tcW w:type="dxa" w:w="3143"/>
          </w:tcPr>
          <w:p>
            <w:pPr>
              <w:spacing w:before="40" w:after="40"/>
            </w:pPr>
            <w:r>
              <w:rPr>
                <w:b w:val="0"/>
                <w:sz w:val="19"/>
              </w:rPr>
              <w:t>The procedure, approved and dated</w:t>
            </w:r>
          </w:p>
        </w:tc>
        <w:tc>
          <w:tcPr>
            <w:tcW w:type="dxa" w:w="1650"/>
          </w:tcPr>
          <w:p>
            <w:pPr>
              <w:spacing w:before="40" w:after="40"/>
            </w:pPr>
            <w:r>
              <w:rPr>
                <w:b w:val="0"/>
                <w:sz w:val="19"/>
              </w:rPr>
              <w:t>200.302(b)(7)</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Documented internal control over the award</w:t>
            </w:r>
          </w:p>
        </w:tc>
        <w:tc>
          <w:tcPr>
            <w:tcW w:type="dxa" w:w="3143"/>
          </w:tcPr>
          <w:p>
            <w:pPr>
              <w:spacing w:before="40" w:after="40"/>
            </w:pPr>
            <w:r>
              <w:rPr>
                <w:b w:val="0"/>
                <w:sz w:val="19"/>
              </w:rPr>
              <w:t>Written control narrative aligned with the Green Book (Standards for Internal Control in the Federal Government) or COSO</w:t>
            </w:r>
          </w:p>
        </w:tc>
        <w:tc>
          <w:tcPr>
            <w:tcW w:type="dxa" w:w="1650"/>
          </w:tcPr>
          <w:p>
            <w:pPr>
              <w:spacing w:before="40" w:after="40"/>
            </w:pPr>
            <w:r>
              <w:rPr>
                <w:b w:val="0"/>
                <w:sz w:val="19"/>
              </w:rPr>
              <w:t>200.303(a)</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Safeguards for personally identifiable information</w:t>
            </w:r>
          </w:p>
        </w:tc>
        <w:tc>
          <w:tcPr>
            <w:tcW w:type="dxa" w:w="3143"/>
          </w:tcPr>
          <w:p>
            <w:pPr>
              <w:spacing w:before="40" w:after="40"/>
            </w:pPr>
            <w:r>
              <w:rPr>
                <w:b w:val="0"/>
                <w:sz w:val="19"/>
              </w:rPr>
              <w:t>Access controls and a written policy</w:t>
            </w:r>
          </w:p>
        </w:tc>
        <w:tc>
          <w:tcPr>
            <w:tcW w:type="dxa" w:w="1650"/>
          </w:tcPr>
          <w:p>
            <w:pPr>
              <w:spacing w:before="40" w:after="40"/>
            </w:pPr>
            <w:r>
              <w:rPr>
                <w:b w:val="0"/>
                <w:sz w:val="19"/>
              </w:rPr>
              <w:t>200.303(e)</w:t>
            </w:r>
          </w:p>
        </w:tc>
        <w:tc>
          <w:tcPr>
            <w:tcW w:type="dxa" w:w="1700"/>
            <w:shd w:val="clear" w:color="auto" w:fill="FFF6E0"/>
          </w:tcPr>
          <w:p>
            <w:pPr>
              <w:spacing w:before="40" w:after="40"/>
            </w:pPr>
            <w:r>
              <w:rPr>
                <w:b w:val="0"/>
                <w:color w:val="808080"/>
                <w:sz w:val="19"/>
              </w:rPr>
              <w:t>__________</w:t>
            </w:r>
          </w:p>
        </w:tc>
      </w:tr>
    </w:tbl>
    <w:p>
      <w:pPr>
        <w:pStyle w:val="GCCaption"/>
      </w:pPr>
    </w:p>
    <w:p>
      <w:pPr>
        <w:pStyle w:val="Heading1"/>
      </w:pPr>
      <w:r>
        <w:t>Section 3. Procurement</w:t>
      </w:r>
    </w:p>
    <w:tbl>
      <w:tblPr>
        <w:tblStyle w:val="TableGrid"/>
        <w:tblW w:type="dxa" w:w="10080"/>
        <w:tblLook w:firstColumn="1" w:firstRow="1" w:lastColumn="0" w:lastRow="0" w:noHBand="0" w:noVBand="1" w:val="04A0"/>
        <w:jc w:val="center"/>
        <w:tblLayout w:type="fixed"/>
      </w:tblPr>
      <w:tblGrid>
        <w:gridCol w:w="487"/>
        <w:gridCol w:w="3100"/>
        <w:gridCol w:w="3143"/>
        <w:gridCol w:w="1650"/>
        <w:gridCol w:w="1700"/>
      </w:tblGrid>
      <w:tr>
        <w:trPr>
          <w:tblHeader w:val="true"/>
        </w:trPr>
        <w:tc>
          <w:tcPr>
            <w:tcW w:type="dxa" w:w="487"/>
            <w:shd w:val="clear" w:color="auto" w:fill="1F3556"/>
          </w:tcPr>
          <w:p>
            <w:pPr>
              <w:keepNext/>
              <w:spacing w:before="40" w:after="40"/>
            </w:pPr>
            <w:r>
              <w:rPr>
                <w:b/>
                <w:color w:val="FFFFFF"/>
                <w:sz w:val="18"/>
              </w:rPr>
            </w:r>
          </w:p>
        </w:tc>
        <w:tc>
          <w:tcPr>
            <w:tcW w:type="dxa" w:w="3100"/>
            <w:shd w:val="clear" w:color="auto" w:fill="1F3556"/>
          </w:tcPr>
          <w:p>
            <w:pPr>
              <w:keepNext/>
              <w:spacing w:before="40" w:after="40"/>
            </w:pPr>
            <w:r>
              <w:rPr>
                <w:b/>
                <w:color w:val="FFFFFF"/>
                <w:sz w:val="18"/>
              </w:rPr>
              <w:t>Requirement</w:t>
            </w:r>
          </w:p>
        </w:tc>
        <w:tc>
          <w:tcPr>
            <w:tcW w:type="dxa" w:w="3143"/>
            <w:shd w:val="clear" w:color="auto" w:fill="1F3556"/>
          </w:tcPr>
          <w:p>
            <w:pPr>
              <w:keepNext/>
              <w:spacing w:before="40" w:after="40"/>
            </w:pPr>
            <w:r>
              <w:rPr>
                <w:b/>
                <w:color w:val="FFFFFF"/>
                <w:sz w:val="18"/>
              </w:rPr>
              <w:t>Evidence to keep</w:t>
            </w:r>
          </w:p>
        </w:tc>
        <w:tc>
          <w:tcPr>
            <w:tcW w:type="dxa" w:w="1650"/>
            <w:shd w:val="clear" w:color="auto" w:fill="1F3556"/>
          </w:tcPr>
          <w:p>
            <w:pPr>
              <w:keepNext/>
              <w:spacing w:before="40" w:after="40"/>
            </w:pPr>
            <w:r>
              <w:rPr>
                <w:b/>
                <w:color w:val="FFFFFF"/>
                <w:sz w:val="18"/>
              </w:rPr>
              <w:t>Citation</w:t>
            </w:r>
          </w:p>
        </w:tc>
        <w:tc>
          <w:tcPr>
            <w:tcW w:type="dxa" w:w="1700"/>
            <w:shd w:val="clear" w:color="auto" w:fill="1F3556"/>
          </w:tcPr>
          <w:p>
            <w:pPr>
              <w:keepNext/>
              <w:spacing w:before="40" w:after="40"/>
            </w:pPr>
            <w:r>
              <w:rPr>
                <w:b/>
                <w:color w:val="FFFFFF"/>
                <w:sz w:val="18"/>
              </w:rPr>
              <w:t>Status, owner, date verified</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Written procurement procedures</w:t>
            </w:r>
          </w:p>
        </w:tc>
        <w:tc>
          <w:tcPr>
            <w:tcW w:type="dxa" w:w="3143"/>
          </w:tcPr>
          <w:p>
            <w:pPr>
              <w:spacing w:before="40" w:after="40"/>
            </w:pPr>
            <w:r>
              <w:rPr>
                <w:b w:val="0"/>
                <w:sz w:val="19"/>
              </w:rPr>
              <w:t>The document, approved and dated</w:t>
            </w:r>
          </w:p>
        </w:tc>
        <w:tc>
          <w:tcPr>
            <w:tcW w:type="dxa" w:w="1650"/>
          </w:tcPr>
          <w:p>
            <w:pPr>
              <w:spacing w:before="40" w:after="40"/>
            </w:pPr>
            <w:r>
              <w:rPr>
                <w:b w:val="0"/>
                <w:sz w:val="19"/>
              </w:rPr>
              <w:t>200.318(a)</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Written standards of conduct covering conflicts of interest</w:t>
            </w:r>
          </w:p>
        </w:tc>
        <w:tc>
          <w:tcPr>
            <w:tcW w:type="dxa" w:w="3143"/>
          </w:tcPr>
          <w:p>
            <w:pPr>
              <w:spacing w:before="40" w:after="40"/>
            </w:pPr>
            <w:r>
              <w:rPr>
                <w:b w:val="0"/>
                <w:sz w:val="19"/>
              </w:rPr>
              <w:t>Policy for everyone who selects, awards or administers contracts, plus signed annual disclosures</w:t>
            </w:r>
          </w:p>
        </w:tc>
        <w:tc>
          <w:tcPr>
            <w:tcW w:type="dxa" w:w="1650"/>
          </w:tcPr>
          <w:p>
            <w:pPr>
              <w:spacing w:before="40" w:after="40"/>
            </w:pPr>
            <w:r>
              <w:rPr>
                <w:b w:val="0"/>
                <w:sz w:val="19"/>
              </w:rPr>
              <w:t>200.318(c)(1)</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Your micro-purchase threshold, decided and documented</w:t>
            </w:r>
          </w:p>
        </w:tc>
        <w:tc>
          <w:tcPr>
            <w:tcW w:type="dxa" w:w="3143"/>
          </w:tcPr>
          <w:p>
            <w:pPr>
              <w:spacing w:before="40" w:after="40"/>
            </w:pPr>
            <w:r>
              <w:rPr>
                <w:b w:val="0"/>
                <w:sz w:val="19"/>
              </w:rPr>
              <w:t>Threshold decision on file. Up to $50,000 may be self-certified each year with a justification and support such as low-risk auditee status or an annual internal risk assessment; above $50,000 needs approval from the cognizant agency for indirect costs</w:t>
            </w:r>
          </w:p>
        </w:tc>
        <w:tc>
          <w:tcPr>
            <w:tcW w:type="dxa" w:w="1650"/>
          </w:tcPr>
          <w:p>
            <w:pPr>
              <w:spacing w:before="40" w:after="40"/>
            </w:pPr>
            <w:r>
              <w:rPr>
                <w:b w:val="0"/>
                <w:sz w:val="19"/>
              </w:rPr>
              <w:t>200.320(a)(1)(iii) to (v)</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Price reasonableness for each micro-purchase</w:t>
            </w:r>
          </w:p>
        </w:tc>
        <w:tc>
          <w:tcPr>
            <w:tcW w:type="dxa" w:w="3143"/>
          </w:tcPr>
          <w:p>
            <w:pPr>
              <w:spacing w:before="40" w:after="40"/>
            </w:pPr>
            <w:r>
              <w:rPr>
                <w:b w:val="0"/>
                <w:sz w:val="19"/>
              </w:rPr>
              <w:t>File note on how the price was judged reasonable</w:t>
            </w:r>
          </w:p>
        </w:tc>
        <w:tc>
          <w:tcPr>
            <w:tcW w:type="dxa" w:w="1650"/>
          </w:tcPr>
          <w:p>
            <w:pPr>
              <w:spacing w:before="40" w:after="40"/>
            </w:pPr>
            <w:r>
              <w:rPr>
                <w:b w:val="0"/>
                <w:sz w:val="19"/>
              </w:rPr>
              <w:t>200.320(a)(1)(ii)</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Quotes for purchases above the micro-purchase threshold and up to the simplified acquisition threshold</w:t>
            </w:r>
          </w:p>
        </w:tc>
        <w:tc>
          <w:tcPr>
            <w:tcW w:type="dxa" w:w="3143"/>
          </w:tcPr>
          <w:p>
            <w:pPr>
              <w:spacing w:before="40" w:after="40"/>
            </w:pPr>
            <w:r>
              <w:rPr>
                <w:b w:val="0"/>
                <w:sz w:val="19"/>
              </w:rPr>
              <w:t>Price or rate quotations from an adequate number of qualified sources, and the selection rationale</w:t>
            </w:r>
          </w:p>
        </w:tc>
        <w:tc>
          <w:tcPr>
            <w:tcW w:type="dxa" w:w="1650"/>
          </w:tcPr>
          <w:p>
            <w:pPr>
              <w:spacing w:before="40" w:after="40"/>
            </w:pPr>
            <w:r>
              <w:rPr>
                <w:b w:val="0"/>
                <w:sz w:val="19"/>
              </w:rPr>
              <w:t>200.320(a)(2)(i)</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Formal, competitive procurement with public notice above your simplified acquisition threshold</w:t>
            </w:r>
          </w:p>
        </w:tc>
        <w:tc>
          <w:tcPr>
            <w:tcW w:type="dxa" w:w="3143"/>
          </w:tcPr>
          <w:p>
            <w:pPr>
              <w:spacing w:before="40" w:after="40"/>
            </w:pPr>
            <w:r>
              <w:rPr>
                <w:b w:val="0"/>
                <w:sz w:val="19"/>
              </w:rPr>
              <w:t>Solicitation and award memo</w:t>
            </w:r>
          </w:p>
        </w:tc>
        <w:tc>
          <w:tcPr>
            <w:tcW w:type="dxa" w:w="1650"/>
          </w:tcPr>
          <w:p>
            <w:pPr>
              <w:spacing w:before="40" w:after="40"/>
            </w:pPr>
            <w:r>
              <w:rPr>
                <w:b w:val="0"/>
                <w:sz w:val="19"/>
              </w:rPr>
              <w:t>200.320(b)</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No covered telecommunications or video surveillance equipment or services</w:t>
            </w:r>
          </w:p>
        </w:tc>
        <w:tc>
          <w:tcPr>
            <w:tcW w:type="dxa" w:w="3143"/>
          </w:tcPr>
          <w:p>
            <w:pPr>
              <w:spacing w:before="40" w:after="40"/>
            </w:pPr>
            <w:r>
              <w:rPr>
                <w:b w:val="0"/>
                <w:sz w:val="19"/>
              </w:rPr>
              <w:t>Vendor certification</w:t>
            </w:r>
          </w:p>
        </w:tc>
        <w:tc>
          <w:tcPr>
            <w:tcW w:type="dxa" w:w="1650"/>
          </w:tcPr>
          <w:p>
            <w:pPr>
              <w:spacing w:before="40" w:after="40"/>
            </w:pPr>
            <w:r>
              <w:rPr>
                <w:b w:val="0"/>
                <w:sz w:val="19"/>
              </w:rPr>
              <w:t>200.216</w:t>
            </w:r>
          </w:p>
        </w:tc>
        <w:tc>
          <w:tcPr>
            <w:tcW w:type="dxa" w:w="1700"/>
            <w:shd w:val="clear" w:color="auto" w:fill="FFF6E0"/>
          </w:tcPr>
          <w:p>
            <w:pPr>
              <w:spacing w:before="40" w:after="40"/>
            </w:pPr>
            <w:r>
              <w:rPr>
                <w:b w:val="0"/>
                <w:color w:val="808080"/>
                <w:sz w:val="19"/>
              </w:rPr>
              <w:t>__________</w:t>
            </w:r>
          </w:p>
        </w:tc>
      </w:tr>
    </w:tbl>
    <w:p>
      <w:pPr>
        <w:pStyle w:val="GCCaption"/>
      </w:pPr>
    </w:p>
    <w:p>
      <w:pPr>
        <w:pStyle w:val="Heading1"/>
      </w:pPr>
      <w:r>
        <w:t>Section 4. Allowable costs</w:t>
      </w:r>
    </w:p>
    <w:tbl>
      <w:tblPr>
        <w:tblStyle w:val="TableGrid"/>
        <w:tblW w:type="dxa" w:w="10080"/>
        <w:tblLook w:firstColumn="1" w:firstRow="1" w:lastColumn="0" w:lastRow="0" w:noHBand="0" w:noVBand="1" w:val="04A0"/>
        <w:jc w:val="center"/>
        <w:tblLayout w:type="fixed"/>
      </w:tblPr>
      <w:tblGrid>
        <w:gridCol w:w="487"/>
        <w:gridCol w:w="3100"/>
        <w:gridCol w:w="3143"/>
        <w:gridCol w:w="1650"/>
        <w:gridCol w:w="1700"/>
      </w:tblGrid>
      <w:tr>
        <w:trPr>
          <w:tblHeader w:val="true"/>
        </w:trPr>
        <w:tc>
          <w:tcPr>
            <w:tcW w:type="dxa" w:w="487"/>
            <w:shd w:val="clear" w:color="auto" w:fill="1F3556"/>
          </w:tcPr>
          <w:p>
            <w:pPr>
              <w:keepNext/>
              <w:spacing w:before="40" w:after="40"/>
            </w:pPr>
            <w:r>
              <w:rPr>
                <w:b/>
                <w:color w:val="FFFFFF"/>
                <w:sz w:val="18"/>
              </w:rPr>
            </w:r>
          </w:p>
        </w:tc>
        <w:tc>
          <w:tcPr>
            <w:tcW w:type="dxa" w:w="3100"/>
            <w:shd w:val="clear" w:color="auto" w:fill="1F3556"/>
          </w:tcPr>
          <w:p>
            <w:pPr>
              <w:keepNext/>
              <w:spacing w:before="40" w:after="40"/>
            </w:pPr>
            <w:r>
              <w:rPr>
                <w:b/>
                <w:color w:val="FFFFFF"/>
                <w:sz w:val="18"/>
              </w:rPr>
              <w:t>Requirement</w:t>
            </w:r>
          </w:p>
        </w:tc>
        <w:tc>
          <w:tcPr>
            <w:tcW w:type="dxa" w:w="3143"/>
            <w:shd w:val="clear" w:color="auto" w:fill="1F3556"/>
          </w:tcPr>
          <w:p>
            <w:pPr>
              <w:keepNext/>
              <w:spacing w:before="40" w:after="40"/>
            </w:pPr>
            <w:r>
              <w:rPr>
                <w:b/>
                <w:color w:val="FFFFFF"/>
                <w:sz w:val="18"/>
              </w:rPr>
              <w:t>Evidence to keep</w:t>
            </w:r>
          </w:p>
        </w:tc>
        <w:tc>
          <w:tcPr>
            <w:tcW w:type="dxa" w:w="1650"/>
            <w:shd w:val="clear" w:color="auto" w:fill="1F3556"/>
          </w:tcPr>
          <w:p>
            <w:pPr>
              <w:keepNext/>
              <w:spacing w:before="40" w:after="40"/>
            </w:pPr>
            <w:r>
              <w:rPr>
                <w:b/>
                <w:color w:val="FFFFFF"/>
                <w:sz w:val="18"/>
              </w:rPr>
              <w:t>Citation</w:t>
            </w:r>
          </w:p>
        </w:tc>
        <w:tc>
          <w:tcPr>
            <w:tcW w:type="dxa" w:w="1700"/>
            <w:shd w:val="clear" w:color="auto" w:fill="1F3556"/>
          </w:tcPr>
          <w:p>
            <w:pPr>
              <w:keepNext/>
              <w:spacing w:before="40" w:after="40"/>
            </w:pPr>
            <w:r>
              <w:rPr>
                <w:b/>
                <w:color w:val="FFFFFF"/>
                <w:sz w:val="18"/>
              </w:rPr>
              <w:t>Status, owner, date verified</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Necessary, reasonable and allocable to the award</w:t>
            </w:r>
          </w:p>
        </w:tc>
        <w:tc>
          <w:tcPr>
            <w:tcW w:type="dxa" w:w="3143"/>
          </w:tcPr>
          <w:p>
            <w:pPr>
              <w:spacing w:before="40" w:after="40"/>
            </w:pPr>
            <w:r>
              <w:rPr>
                <w:b w:val="0"/>
                <w:sz w:val="19"/>
              </w:rPr>
              <w:t>A prudent-person rationale on file</w:t>
            </w:r>
          </w:p>
        </w:tc>
        <w:tc>
          <w:tcPr>
            <w:tcW w:type="dxa" w:w="1650"/>
          </w:tcPr>
          <w:p>
            <w:pPr>
              <w:spacing w:before="40" w:after="40"/>
            </w:pPr>
            <w:r>
              <w:rPr>
                <w:b w:val="0"/>
                <w:sz w:val="19"/>
              </w:rPr>
              <w:t>200.403(a)</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Treated consistently</w:t>
            </w:r>
          </w:p>
        </w:tc>
        <w:tc>
          <w:tcPr>
            <w:tcW w:type="dxa" w:w="3143"/>
          </w:tcPr>
          <w:p>
            <w:pPr>
              <w:spacing w:before="40" w:after="40"/>
            </w:pPr>
            <w:r>
              <w:rPr>
                <w:b w:val="0"/>
                <w:sz w:val="19"/>
              </w:rPr>
              <w:t>A cost charged as direct here is never charged as indirect elsewhere</w:t>
            </w:r>
          </w:p>
        </w:tc>
        <w:tc>
          <w:tcPr>
            <w:tcW w:type="dxa" w:w="1650"/>
          </w:tcPr>
          <w:p>
            <w:pPr>
              <w:spacing w:before="40" w:after="40"/>
            </w:pPr>
            <w:r>
              <w:rPr>
                <w:b w:val="0"/>
                <w:sz w:val="19"/>
              </w:rPr>
              <w:t>200.403(d)</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Not used as a cost or as cost share on another Federal program</w:t>
            </w:r>
          </w:p>
        </w:tc>
        <w:tc>
          <w:tcPr>
            <w:tcW w:type="dxa" w:w="3143"/>
          </w:tcPr>
          <w:p>
            <w:pPr>
              <w:spacing w:before="40" w:after="40"/>
            </w:pPr>
            <w:r>
              <w:rPr>
                <w:b w:val="0"/>
                <w:sz w:val="19"/>
              </w:rPr>
              <w:t>No double counting across programs</w:t>
            </w:r>
          </w:p>
        </w:tc>
        <w:tc>
          <w:tcPr>
            <w:tcW w:type="dxa" w:w="1650"/>
          </w:tcPr>
          <w:p>
            <w:pPr>
              <w:spacing w:before="40" w:after="40"/>
            </w:pPr>
            <w:r>
              <w:rPr>
                <w:b w:val="0"/>
                <w:sz w:val="19"/>
              </w:rPr>
              <w:t>200.403(f)</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Adequately documented</w:t>
            </w:r>
          </w:p>
        </w:tc>
        <w:tc>
          <w:tcPr>
            <w:tcW w:type="dxa" w:w="3143"/>
          </w:tcPr>
          <w:p>
            <w:pPr>
              <w:spacing w:before="40" w:after="40"/>
            </w:pPr>
            <w:r>
              <w:rPr>
                <w:b w:val="0"/>
                <w:sz w:val="19"/>
              </w:rPr>
              <w:t>Source documents, not summaries</w:t>
            </w:r>
          </w:p>
        </w:tc>
        <w:tc>
          <w:tcPr>
            <w:tcW w:type="dxa" w:w="1650"/>
          </w:tcPr>
          <w:p>
            <w:pPr>
              <w:spacing w:before="40" w:after="40"/>
            </w:pPr>
            <w:r>
              <w:rPr>
                <w:b w:val="0"/>
                <w:sz w:val="19"/>
              </w:rPr>
              <w:t>200.403(g)</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Incurred during the approved budget period</w:t>
            </w:r>
          </w:p>
        </w:tc>
        <w:tc>
          <w:tcPr>
            <w:tcW w:type="dxa" w:w="3143"/>
          </w:tcPr>
          <w:p>
            <w:pPr>
              <w:spacing w:before="40" w:after="40"/>
            </w:pPr>
            <w:r>
              <w:rPr>
                <w:b w:val="0"/>
                <w:sz w:val="19"/>
              </w:rPr>
              <w:t>Date-tested transactions. Administrative closeout costs may be incurred until the final report is due</w:t>
            </w:r>
          </w:p>
        </w:tc>
        <w:tc>
          <w:tcPr>
            <w:tcW w:type="dxa" w:w="1650"/>
          </w:tcPr>
          <w:p>
            <w:pPr>
              <w:spacing w:before="40" w:after="40"/>
            </w:pPr>
            <w:r>
              <w:rPr>
                <w:b w:val="0"/>
                <w:sz w:val="19"/>
              </w:rPr>
              <w:t>200.403(h)</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Prior written approval obtained where it is required</w:t>
            </w:r>
          </w:p>
        </w:tc>
        <w:tc>
          <w:tcPr>
            <w:tcW w:type="dxa" w:w="3143"/>
          </w:tcPr>
          <w:p>
            <w:pPr>
              <w:spacing w:before="40" w:after="40"/>
            </w:pPr>
            <w:r>
              <w:rPr>
                <w:b w:val="0"/>
                <w:sz w:val="19"/>
              </w:rPr>
              <w:t>The approval or amendment, filed with the charge. Section 200.407 lists sixteen cost categories, including equipment, pre-award costs and travel</w:t>
            </w:r>
          </w:p>
        </w:tc>
        <w:tc>
          <w:tcPr>
            <w:tcW w:type="dxa" w:w="1650"/>
          </w:tcPr>
          <w:p>
            <w:pPr>
              <w:spacing w:before="40" w:after="40"/>
            </w:pPr>
            <w:r>
              <w:rPr>
                <w:b w:val="0"/>
                <w:sz w:val="19"/>
              </w:rPr>
              <w:t>200.407</w:t>
            </w:r>
          </w:p>
        </w:tc>
        <w:tc>
          <w:tcPr>
            <w:tcW w:type="dxa" w:w="1700"/>
            <w:shd w:val="clear" w:color="auto" w:fill="FFF6E0"/>
          </w:tcPr>
          <w:p>
            <w:pPr>
              <w:spacing w:before="40" w:after="40"/>
            </w:pPr>
            <w:r>
              <w:rPr>
                <w:b w:val="0"/>
                <w:color w:val="808080"/>
                <w:sz w:val="19"/>
              </w:rPr>
              <w:t>__________</w:t>
            </w:r>
          </w:p>
        </w:tc>
      </w:tr>
    </w:tbl>
    <w:p>
      <w:pPr>
        <w:pStyle w:val="GCCaption"/>
      </w:pPr>
    </w:p>
    <w:p>
      <w:pPr>
        <w:pStyle w:val="Heading1"/>
      </w:pPr>
      <w:r>
        <w:t>Section 5. Time and effort</w:t>
      </w:r>
    </w:p>
    <w:p>
      <w:pPr/>
      <w:r>
        <w:t>Charges for salaries and wages must rest on records that accurately reflect the work performed. Budget estimates alone do not support a payroll charge.</w:t>
      </w:r>
    </w:p>
    <w:tbl>
      <w:tblPr>
        <w:tblStyle w:val="TableGrid"/>
        <w:tblW w:type="dxa" w:w="10080"/>
        <w:tblLook w:firstColumn="1" w:firstRow="1" w:lastColumn="0" w:lastRow="0" w:noHBand="0" w:noVBand="1" w:val="04A0"/>
        <w:jc w:val="center"/>
        <w:tblLayout w:type="fixed"/>
      </w:tblPr>
      <w:tblGrid>
        <w:gridCol w:w="487"/>
        <w:gridCol w:w="3100"/>
        <w:gridCol w:w="3143"/>
        <w:gridCol w:w="1650"/>
        <w:gridCol w:w="1700"/>
      </w:tblGrid>
      <w:tr>
        <w:trPr>
          <w:tblHeader w:val="true"/>
        </w:trPr>
        <w:tc>
          <w:tcPr>
            <w:tcW w:type="dxa" w:w="487"/>
            <w:shd w:val="clear" w:color="auto" w:fill="1F3556"/>
          </w:tcPr>
          <w:p>
            <w:pPr>
              <w:keepNext/>
              <w:spacing w:before="40" w:after="40"/>
            </w:pPr>
            <w:r>
              <w:rPr>
                <w:b/>
                <w:color w:val="FFFFFF"/>
                <w:sz w:val="18"/>
              </w:rPr>
            </w:r>
          </w:p>
        </w:tc>
        <w:tc>
          <w:tcPr>
            <w:tcW w:type="dxa" w:w="3100"/>
            <w:shd w:val="clear" w:color="auto" w:fill="1F3556"/>
          </w:tcPr>
          <w:p>
            <w:pPr>
              <w:keepNext/>
              <w:spacing w:before="40" w:after="40"/>
            </w:pPr>
            <w:r>
              <w:rPr>
                <w:b/>
                <w:color w:val="FFFFFF"/>
                <w:sz w:val="18"/>
              </w:rPr>
              <w:t>Requirement</w:t>
            </w:r>
          </w:p>
        </w:tc>
        <w:tc>
          <w:tcPr>
            <w:tcW w:type="dxa" w:w="3143"/>
            <w:shd w:val="clear" w:color="auto" w:fill="1F3556"/>
          </w:tcPr>
          <w:p>
            <w:pPr>
              <w:keepNext/>
              <w:spacing w:before="40" w:after="40"/>
            </w:pPr>
            <w:r>
              <w:rPr>
                <w:b/>
                <w:color w:val="FFFFFF"/>
                <w:sz w:val="18"/>
              </w:rPr>
              <w:t>Evidence to keep</w:t>
            </w:r>
          </w:p>
        </w:tc>
        <w:tc>
          <w:tcPr>
            <w:tcW w:type="dxa" w:w="1650"/>
            <w:shd w:val="clear" w:color="auto" w:fill="1F3556"/>
          </w:tcPr>
          <w:p>
            <w:pPr>
              <w:keepNext/>
              <w:spacing w:before="40" w:after="40"/>
            </w:pPr>
            <w:r>
              <w:rPr>
                <w:b/>
                <w:color w:val="FFFFFF"/>
                <w:sz w:val="18"/>
              </w:rPr>
              <w:t>Citation</w:t>
            </w:r>
          </w:p>
        </w:tc>
        <w:tc>
          <w:tcPr>
            <w:tcW w:type="dxa" w:w="1700"/>
            <w:shd w:val="clear" w:color="auto" w:fill="1F3556"/>
          </w:tcPr>
          <w:p>
            <w:pPr>
              <w:keepNext/>
              <w:spacing w:before="40" w:after="40"/>
            </w:pPr>
            <w:r>
              <w:rPr>
                <w:b/>
                <w:color w:val="FFFFFF"/>
                <w:sz w:val="18"/>
              </w:rPr>
              <w:t>Status, owner, date verified</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Records reflect the work performed</w:t>
            </w:r>
          </w:p>
        </w:tc>
        <w:tc>
          <w:tcPr>
            <w:tcW w:type="dxa" w:w="3143"/>
          </w:tcPr>
          <w:p>
            <w:pPr>
              <w:spacing w:before="40" w:after="40"/>
            </w:pPr>
            <w:r>
              <w:rPr>
                <w:b w:val="0"/>
                <w:sz w:val="19"/>
              </w:rPr>
              <w:t>After-the-fact records, not intentions</w:t>
            </w:r>
          </w:p>
        </w:tc>
        <w:tc>
          <w:tcPr>
            <w:tcW w:type="dxa" w:w="1650"/>
          </w:tcPr>
          <w:p>
            <w:pPr>
              <w:spacing w:before="40" w:after="40"/>
            </w:pPr>
            <w:r>
              <w:rPr>
                <w:b w:val="0"/>
                <w:sz w:val="19"/>
              </w:rPr>
              <w:t>200.430(g)(1)</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Supported by internal control</w:t>
            </w:r>
          </w:p>
        </w:tc>
        <w:tc>
          <w:tcPr>
            <w:tcW w:type="dxa" w:w="3143"/>
          </w:tcPr>
          <w:p>
            <w:pPr>
              <w:spacing w:before="40" w:after="40"/>
            </w:pPr>
            <w:r>
              <w:rPr>
                <w:b w:val="0"/>
                <w:sz w:val="19"/>
              </w:rPr>
              <w:t>Documented review and approval</w:t>
            </w:r>
          </w:p>
        </w:tc>
        <w:tc>
          <w:tcPr>
            <w:tcW w:type="dxa" w:w="1650"/>
          </w:tcPr>
          <w:p>
            <w:pPr>
              <w:spacing w:before="40" w:after="40"/>
            </w:pPr>
            <w:r>
              <w:rPr>
                <w:b w:val="0"/>
                <w:sz w:val="19"/>
              </w:rPr>
              <w:t>200.430(g)(1)(i)</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Part of the official records</w:t>
            </w:r>
          </w:p>
        </w:tc>
        <w:tc>
          <w:tcPr>
            <w:tcW w:type="dxa" w:w="3143"/>
          </w:tcPr>
          <w:p>
            <w:pPr>
              <w:spacing w:before="40" w:after="40"/>
            </w:pPr>
            <w:r>
              <w:rPr>
                <w:b w:val="0"/>
                <w:sz w:val="19"/>
              </w:rPr>
              <w:t>Held in the payroll system, not a side spreadsheet</w:t>
            </w:r>
          </w:p>
        </w:tc>
        <w:tc>
          <w:tcPr>
            <w:tcW w:type="dxa" w:w="1650"/>
          </w:tcPr>
          <w:p>
            <w:pPr>
              <w:spacing w:before="40" w:after="40"/>
            </w:pPr>
            <w:r>
              <w:rPr>
                <w:b w:val="0"/>
                <w:sz w:val="19"/>
              </w:rPr>
              <w:t>200.430(g)(1)(ii)</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Total activity does not exceed 100 percent</w:t>
            </w:r>
          </w:p>
        </w:tc>
        <w:tc>
          <w:tcPr>
            <w:tcW w:type="dxa" w:w="3143"/>
          </w:tcPr>
          <w:p>
            <w:pPr>
              <w:spacing w:before="40" w:after="40"/>
            </w:pPr>
            <w:r>
              <w:rPr>
                <w:b w:val="0"/>
                <w:sz w:val="19"/>
              </w:rPr>
              <w:t>All funding sources reconciled for each person</w:t>
            </w:r>
          </w:p>
        </w:tc>
        <w:tc>
          <w:tcPr>
            <w:tcW w:type="dxa" w:w="1650"/>
          </w:tcPr>
          <w:p>
            <w:pPr>
              <w:spacing w:before="40" w:after="40"/>
            </w:pPr>
            <w:r>
              <w:rPr>
                <w:b w:val="0"/>
                <w:sz w:val="19"/>
              </w:rPr>
              <w:t>200.430(g)(1)(iii)</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Budget estimates used only for interim accounting</w:t>
            </w:r>
          </w:p>
        </w:tc>
        <w:tc>
          <w:tcPr>
            <w:tcW w:type="dxa" w:w="3143"/>
          </w:tcPr>
          <w:p>
            <w:pPr>
              <w:spacing w:before="40" w:after="40"/>
            </w:pPr>
            <w:r>
              <w:rPr>
                <w:b w:val="0"/>
                <w:sz w:val="19"/>
              </w:rPr>
              <w:t>Reasonable approximations, significant changes entered promptly, and periodic after-the-fact reviews with every necessary adjustment made</w:t>
            </w:r>
          </w:p>
        </w:tc>
        <w:tc>
          <w:tcPr>
            <w:tcW w:type="dxa" w:w="1650"/>
          </w:tcPr>
          <w:p>
            <w:pPr>
              <w:spacing w:before="40" w:after="40"/>
            </w:pPr>
            <w:r>
              <w:rPr>
                <w:b w:val="0"/>
                <w:sz w:val="19"/>
              </w:rPr>
              <w:t>200.430(g)(1)(vii)</w:t>
            </w:r>
          </w:p>
        </w:tc>
        <w:tc>
          <w:tcPr>
            <w:tcW w:type="dxa" w:w="1700"/>
            <w:shd w:val="clear" w:color="auto" w:fill="FFF6E0"/>
          </w:tcPr>
          <w:p>
            <w:pPr>
              <w:spacing w:before="40" w:after="40"/>
            </w:pPr>
            <w:r>
              <w:rPr>
                <w:b w:val="0"/>
                <w:color w:val="808080"/>
                <w:sz w:val="19"/>
              </w:rPr>
              <w:t>__________</w:t>
            </w:r>
          </w:p>
        </w:tc>
      </w:tr>
    </w:tbl>
    <w:p>
      <w:pPr>
        <w:pStyle w:val="GCCaption"/>
      </w:pPr>
    </w:p>
    <w:p>
      <w:pPr>
        <w:pStyle w:val="Heading1"/>
      </w:pPr>
      <w:r>
        <w:t>Section 6. Subrecipient monitoring</w:t>
      </w:r>
    </w:p>
    <w:p>
      <w:pPr/>
      <w:r>
        <w:t>These rows apply when you pass part of an award to another organization. A subrecipient receives a subaward to carry out part of a Federal program and takes on that program's compliance requirements. A contractor provides goods or services, and Federal award compliance requirements normally do not flow down to it (2 CFR 200.501(h)). The pass-through entity makes that call case by case (2 CFR 200.331), and the classification decides which rules flow down.</w:t>
      </w:r>
    </w:p>
    <w:tbl>
      <w:tblPr>
        <w:tblStyle w:val="TableGrid"/>
        <w:tblW w:type="dxa" w:w="10080"/>
        <w:tblLook w:firstColumn="1" w:firstRow="1" w:lastColumn="0" w:lastRow="0" w:noHBand="0" w:noVBand="1" w:val="04A0"/>
        <w:jc w:val="center"/>
        <w:tblLayout w:type="fixed"/>
      </w:tblPr>
      <w:tblGrid>
        <w:gridCol w:w="487"/>
        <w:gridCol w:w="3100"/>
        <w:gridCol w:w="3143"/>
        <w:gridCol w:w="1650"/>
        <w:gridCol w:w="1700"/>
      </w:tblGrid>
      <w:tr>
        <w:trPr>
          <w:tblHeader w:val="true"/>
        </w:trPr>
        <w:tc>
          <w:tcPr>
            <w:tcW w:type="dxa" w:w="487"/>
            <w:shd w:val="clear" w:color="auto" w:fill="1F3556"/>
          </w:tcPr>
          <w:p>
            <w:pPr>
              <w:keepNext/>
              <w:spacing w:before="40" w:after="40"/>
            </w:pPr>
            <w:r>
              <w:rPr>
                <w:b/>
                <w:color w:val="FFFFFF"/>
                <w:sz w:val="18"/>
              </w:rPr>
            </w:r>
          </w:p>
        </w:tc>
        <w:tc>
          <w:tcPr>
            <w:tcW w:type="dxa" w:w="3100"/>
            <w:shd w:val="clear" w:color="auto" w:fill="1F3556"/>
          </w:tcPr>
          <w:p>
            <w:pPr>
              <w:keepNext/>
              <w:spacing w:before="40" w:after="40"/>
            </w:pPr>
            <w:r>
              <w:rPr>
                <w:b/>
                <w:color w:val="FFFFFF"/>
                <w:sz w:val="18"/>
              </w:rPr>
              <w:t>Requirement</w:t>
            </w:r>
          </w:p>
        </w:tc>
        <w:tc>
          <w:tcPr>
            <w:tcW w:type="dxa" w:w="3143"/>
            <w:shd w:val="clear" w:color="auto" w:fill="1F3556"/>
          </w:tcPr>
          <w:p>
            <w:pPr>
              <w:keepNext/>
              <w:spacing w:before="40" w:after="40"/>
            </w:pPr>
            <w:r>
              <w:rPr>
                <w:b/>
                <w:color w:val="FFFFFF"/>
                <w:sz w:val="18"/>
              </w:rPr>
              <w:t>Evidence to keep</w:t>
            </w:r>
          </w:p>
        </w:tc>
        <w:tc>
          <w:tcPr>
            <w:tcW w:type="dxa" w:w="1650"/>
            <w:shd w:val="clear" w:color="auto" w:fill="1F3556"/>
          </w:tcPr>
          <w:p>
            <w:pPr>
              <w:keepNext/>
              <w:spacing w:before="40" w:after="40"/>
            </w:pPr>
            <w:r>
              <w:rPr>
                <w:b/>
                <w:color w:val="FFFFFF"/>
                <w:sz w:val="18"/>
              </w:rPr>
              <w:t>Citation</w:t>
            </w:r>
          </w:p>
        </w:tc>
        <w:tc>
          <w:tcPr>
            <w:tcW w:type="dxa" w:w="1700"/>
            <w:shd w:val="clear" w:color="auto" w:fill="1F3556"/>
          </w:tcPr>
          <w:p>
            <w:pPr>
              <w:keepNext/>
              <w:spacing w:before="40" w:after="40"/>
            </w:pPr>
            <w:r>
              <w:rPr>
                <w:b/>
                <w:color w:val="FFFFFF"/>
                <w:sz w:val="18"/>
              </w:rPr>
              <w:t>Status, owner, date verified</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Subrecipient or contractor determination recorded for each agreement</w:t>
            </w:r>
          </w:p>
        </w:tc>
        <w:tc>
          <w:tcPr>
            <w:tcW w:type="dxa" w:w="3143"/>
          </w:tcPr>
          <w:p>
            <w:pPr>
              <w:spacing w:before="40" w:after="40"/>
            </w:pPr>
            <w:r>
              <w:rPr>
                <w:b w:val="0"/>
                <w:sz w:val="19"/>
              </w:rPr>
              <w:t>Dated determination memo</w:t>
            </w:r>
          </w:p>
        </w:tc>
        <w:tc>
          <w:tcPr>
            <w:tcW w:type="dxa" w:w="1650"/>
          </w:tcPr>
          <w:p>
            <w:pPr>
              <w:spacing w:before="40" w:after="40"/>
            </w:pPr>
            <w:r>
              <w:rPr>
                <w:b w:val="0"/>
                <w:sz w:val="19"/>
              </w:rPr>
              <w:t>200.331</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Subrecipient is not excluded</w:t>
            </w:r>
          </w:p>
        </w:tc>
        <w:tc>
          <w:tcPr>
            <w:tcW w:type="dxa" w:w="3143"/>
          </w:tcPr>
          <w:p>
            <w:pPr>
              <w:spacing w:before="40" w:after="40"/>
            </w:pPr>
            <w:r>
              <w:rPr>
                <w:b w:val="0"/>
                <w:sz w:val="19"/>
              </w:rPr>
              <w:t>Dated SAM.gov check</w:t>
            </w:r>
          </w:p>
        </w:tc>
        <w:tc>
          <w:tcPr>
            <w:tcW w:type="dxa" w:w="1650"/>
          </w:tcPr>
          <w:p>
            <w:pPr>
              <w:spacing w:before="40" w:after="40"/>
            </w:pPr>
            <w:r>
              <w:rPr>
                <w:b w:val="0"/>
                <w:sz w:val="19"/>
              </w:rPr>
              <w:t>200.332(a)</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Subaward identified as a subaward</w:t>
            </w:r>
          </w:p>
        </w:tc>
        <w:tc>
          <w:tcPr>
            <w:tcW w:type="dxa" w:w="3143"/>
          </w:tcPr>
          <w:p>
            <w:pPr>
              <w:spacing w:before="40" w:after="40"/>
            </w:pPr>
            <w:r>
              <w:rPr>
                <w:b w:val="0"/>
                <w:sz w:val="19"/>
              </w:rPr>
              <w:t>Agreement with all 14 required data elements</w:t>
            </w:r>
          </w:p>
        </w:tc>
        <w:tc>
          <w:tcPr>
            <w:tcW w:type="dxa" w:w="1650"/>
          </w:tcPr>
          <w:p>
            <w:pPr>
              <w:spacing w:before="40" w:after="40"/>
            </w:pPr>
            <w:r>
              <w:rPr>
                <w:b w:val="0"/>
                <w:sz w:val="19"/>
              </w:rPr>
              <w:t>200.332(b)(1)</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Indirect cost rate stated in the subaward</w:t>
            </w:r>
          </w:p>
        </w:tc>
        <w:tc>
          <w:tcPr>
            <w:tcW w:type="dxa" w:w="3143"/>
          </w:tcPr>
          <w:p>
            <w:pPr>
              <w:spacing w:before="40" w:after="40"/>
            </w:pPr>
            <w:r>
              <w:rPr>
                <w:b w:val="0"/>
                <w:sz w:val="19"/>
              </w:rPr>
              <w:t>Federally negotiated rate, a rate agreed with the pass-through entity, or the de minimis rate</w:t>
            </w:r>
          </w:p>
        </w:tc>
        <w:tc>
          <w:tcPr>
            <w:tcW w:type="dxa" w:w="1650"/>
          </w:tcPr>
          <w:p>
            <w:pPr>
              <w:spacing w:before="40" w:after="40"/>
            </w:pPr>
            <w:r>
              <w:rPr>
                <w:b w:val="0"/>
                <w:sz w:val="19"/>
              </w:rPr>
              <w:t>200.332(b)(4)</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Fraud and noncompliance risk evaluated for each subrecipient</w:t>
            </w:r>
          </w:p>
        </w:tc>
        <w:tc>
          <w:tcPr>
            <w:tcW w:type="dxa" w:w="3143"/>
          </w:tcPr>
          <w:p>
            <w:pPr>
              <w:spacing w:before="40" w:after="40"/>
            </w:pPr>
            <w:r>
              <w:rPr>
                <w:b w:val="0"/>
                <w:sz w:val="19"/>
              </w:rPr>
              <w:t>Written risk assessment</w:t>
            </w:r>
          </w:p>
        </w:tc>
        <w:tc>
          <w:tcPr>
            <w:tcW w:type="dxa" w:w="1650"/>
          </w:tcPr>
          <w:p>
            <w:pPr>
              <w:spacing w:before="40" w:after="40"/>
            </w:pPr>
            <w:r>
              <w:rPr>
                <w:b w:val="0"/>
                <w:sz w:val="19"/>
              </w:rPr>
              <w:t>200.332(c)</w:t>
            </w:r>
          </w:p>
        </w:tc>
        <w:tc>
          <w:tcPr>
            <w:tcW w:type="dxa" w:w="1700"/>
            <w:shd w:val="clear" w:color="auto" w:fill="FFF6E0"/>
          </w:tcPr>
          <w:p>
            <w:pPr>
              <w:spacing w:before="40" w:after="40"/>
            </w:pPr>
            <w:r>
              <w:rPr>
                <w:b w:val="0"/>
                <w:color w:val="808080"/>
                <w:sz w:val="19"/>
              </w:rPr>
              <w:t>__________</w:t>
            </w:r>
          </w:p>
        </w:tc>
      </w:tr>
    </w:tbl>
    <w:p>
      <w:pPr>
        <w:pStyle w:val="GCCaption"/>
      </w:pPr>
    </w:p>
    <w:p>
      <w:pPr>
        <w:pStyle w:val="Heading1"/>
      </w:pPr>
      <w:r>
        <w:t>Section 7. Records and retention</w:t>
      </w:r>
    </w:p>
    <w:tbl>
      <w:tblPr>
        <w:tblStyle w:val="TableGrid"/>
        <w:tblW w:type="dxa" w:w="10080"/>
        <w:tblLook w:firstColumn="1" w:firstRow="1" w:lastColumn="0" w:lastRow="0" w:noHBand="0" w:noVBand="1" w:val="04A0"/>
        <w:jc w:val="center"/>
        <w:tblLayout w:type="fixed"/>
      </w:tblPr>
      <w:tblGrid>
        <w:gridCol w:w="487"/>
        <w:gridCol w:w="3100"/>
        <w:gridCol w:w="3143"/>
        <w:gridCol w:w="1650"/>
        <w:gridCol w:w="1700"/>
      </w:tblGrid>
      <w:tr>
        <w:trPr>
          <w:tblHeader w:val="true"/>
        </w:trPr>
        <w:tc>
          <w:tcPr>
            <w:tcW w:type="dxa" w:w="487"/>
            <w:shd w:val="clear" w:color="auto" w:fill="1F3556"/>
          </w:tcPr>
          <w:p>
            <w:pPr>
              <w:keepNext/>
              <w:spacing w:before="40" w:after="40"/>
            </w:pPr>
            <w:r>
              <w:rPr>
                <w:b/>
                <w:color w:val="FFFFFF"/>
                <w:sz w:val="18"/>
              </w:rPr>
            </w:r>
          </w:p>
        </w:tc>
        <w:tc>
          <w:tcPr>
            <w:tcW w:type="dxa" w:w="3100"/>
            <w:shd w:val="clear" w:color="auto" w:fill="1F3556"/>
          </w:tcPr>
          <w:p>
            <w:pPr>
              <w:keepNext/>
              <w:spacing w:before="40" w:after="40"/>
            </w:pPr>
            <w:r>
              <w:rPr>
                <w:b/>
                <w:color w:val="FFFFFF"/>
                <w:sz w:val="18"/>
              </w:rPr>
              <w:t>Requirement</w:t>
            </w:r>
          </w:p>
        </w:tc>
        <w:tc>
          <w:tcPr>
            <w:tcW w:type="dxa" w:w="3143"/>
            <w:shd w:val="clear" w:color="auto" w:fill="1F3556"/>
          </w:tcPr>
          <w:p>
            <w:pPr>
              <w:keepNext/>
              <w:spacing w:before="40" w:after="40"/>
            </w:pPr>
            <w:r>
              <w:rPr>
                <w:b/>
                <w:color w:val="FFFFFF"/>
                <w:sz w:val="18"/>
              </w:rPr>
              <w:t>Evidence to keep</w:t>
            </w:r>
          </w:p>
        </w:tc>
        <w:tc>
          <w:tcPr>
            <w:tcW w:type="dxa" w:w="1650"/>
            <w:shd w:val="clear" w:color="auto" w:fill="1F3556"/>
          </w:tcPr>
          <w:p>
            <w:pPr>
              <w:keepNext/>
              <w:spacing w:before="40" w:after="40"/>
            </w:pPr>
            <w:r>
              <w:rPr>
                <w:b/>
                <w:color w:val="FFFFFF"/>
                <w:sz w:val="18"/>
              </w:rPr>
              <w:t>Citation</w:t>
            </w:r>
          </w:p>
        </w:tc>
        <w:tc>
          <w:tcPr>
            <w:tcW w:type="dxa" w:w="1700"/>
            <w:shd w:val="clear" w:color="auto" w:fill="1F3556"/>
          </w:tcPr>
          <w:p>
            <w:pPr>
              <w:keepNext/>
              <w:spacing w:before="40" w:after="40"/>
            </w:pPr>
            <w:r>
              <w:rPr>
                <w:b/>
                <w:color w:val="FFFFFF"/>
                <w:sz w:val="18"/>
              </w:rPr>
              <w:t>Status, owner, date verified</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General award records kept three years from the final financial report</w:t>
            </w:r>
          </w:p>
        </w:tc>
        <w:tc>
          <w:tcPr>
            <w:tcW w:type="dxa" w:w="3143"/>
          </w:tcPr>
          <w:p>
            <w:pPr>
              <w:spacing w:before="40" w:after="40"/>
            </w:pPr>
            <w:r>
              <w:rPr>
                <w:b w:val="0"/>
                <w:sz w:val="19"/>
              </w:rPr>
              <w:t>Retention date recorded; for awards renewed quarterly or annually, three years from that quarterly or annual financial report</w:t>
            </w:r>
          </w:p>
        </w:tc>
        <w:tc>
          <w:tcPr>
            <w:tcW w:type="dxa" w:w="1650"/>
          </w:tcPr>
          <w:p>
            <w:pPr>
              <w:spacing w:before="40" w:after="40"/>
            </w:pPr>
            <w:r>
              <w:rPr>
                <w:b w:val="0"/>
                <w:sz w:val="19"/>
              </w:rPr>
              <w:t>200.334</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Records under litigation, claims or audit findings kept until resolved</w:t>
            </w:r>
          </w:p>
        </w:tc>
        <w:tc>
          <w:tcPr>
            <w:tcW w:type="dxa" w:w="3143"/>
          </w:tcPr>
          <w:p>
            <w:pPr>
              <w:spacing w:before="40" w:after="40"/>
            </w:pPr>
            <w:r>
              <w:rPr>
                <w:b w:val="0"/>
                <w:sz w:val="19"/>
              </w:rPr>
              <w:t>Record of the open matter, when it started before the three years ran out, and the date of final action</w:t>
            </w:r>
          </w:p>
        </w:tc>
        <w:tc>
          <w:tcPr>
            <w:tcW w:type="dxa" w:w="1650"/>
          </w:tcPr>
          <w:p>
            <w:pPr>
              <w:spacing w:before="40" w:after="40"/>
            </w:pPr>
            <w:r>
              <w:rPr>
                <w:b w:val="0"/>
                <w:sz w:val="19"/>
              </w:rPr>
              <w:t>200.334(a)</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Property and equipment records kept three years after final disposition</w:t>
            </w:r>
          </w:p>
        </w:tc>
        <w:tc>
          <w:tcPr>
            <w:tcW w:type="dxa" w:w="3143"/>
          </w:tcPr>
          <w:p>
            <w:pPr>
              <w:spacing w:before="40" w:after="40"/>
            </w:pPr>
            <w:r>
              <w:rPr>
                <w:b w:val="0"/>
                <w:sz w:val="19"/>
              </w:rPr>
              <w:t>Disposition record</w:t>
            </w:r>
          </w:p>
        </w:tc>
        <w:tc>
          <w:tcPr>
            <w:tcW w:type="dxa" w:w="1650"/>
          </w:tcPr>
          <w:p>
            <w:pPr>
              <w:spacing w:before="40" w:after="40"/>
            </w:pPr>
            <w:r>
              <w:rPr>
                <w:b w:val="0"/>
                <w:sz w:val="19"/>
              </w:rPr>
              <w:t>200.334(c)</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Indirect cost proposals submitted for negotiation kept three years from submission</w:t>
            </w:r>
          </w:p>
        </w:tc>
        <w:tc>
          <w:tcPr>
            <w:tcW w:type="dxa" w:w="3143"/>
          </w:tcPr>
          <w:p>
            <w:pPr>
              <w:spacing w:before="40" w:after="40"/>
            </w:pPr>
            <w:r>
              <w:rPr>
                <w:b w:val="0"/>
                <w:sz w:val="19"/>
              </w:rPr>
              <w:t>Submission date recorded</w:t>
            </w:r>
          </w:p>
        </w:tc>
        <w:tc>
          <w:tcPr>
            <w:tcW w:type="dxa" w:w="1650"/>
          </w:tcPr>
          <w:p>
            <w:pPr>
              <w:spacing w:before="40" w:after="40"/>
            </w:pPr>
            <w:r>
              <w:rPr>
                <w:b w:val="0"/>
                <w:sz w:val="19"/>
              </w:rPr>
              <w:t>200.334(f)(1)</w:t>
            </w:r>
          </w:p>
        </w:tc>
        <w:tc>
          <w:tcPr>
            <w:tcW w:type="dxa" w:w="1700"/>
            <w:shd w:val="clear" w:color="auto" w:fill="FFF6E0"/>
          </w:tcPr>
          <w:p>
            <w:pPr>
              <w:spacing w:before="40" w:after="40"/>
            </w:pPr>
            <w:r>
              <w:rPr>
                <w:b w:val="0"/>
                <w:color w:val="808080"/>
                <w:sz w:val="19"/>
              </w:rPr>
              <w:t>__________</w:t>
            </w:r>
          </w:p>
        </w:tc>
      </w:tr>
    </w:tbl>
    <w:p>
      <w:pPr>
        <w:pStyle w:val="GCCaption"/>
      </w:pPr>
    </w:p>
    <w:p>
      <w:pPr/>
      <w:r>
        <w:t>Federal agencies and pass-through entities may not add retention requirements beyond the exceptions listed in 2 CFR 200.334.</w:t>
      </w:r>
    </w:p>
    <w:p>
      <w:pPr>
        <w:pStyle w:val="Heading1"/>
      </w:pPr>
      <w:r>
        <w:t>Section 8. Reporting</w:t>
      </w:r>
    </w:p>
    <w:tbl>
      <w:tblPr>
        <w:tblStyle w:val="TableGrid"/>
        <w:tblW w:type="dxa" w:w="10080"/>
        <w:tblLook w:firstColumn="1" w:firstRow="1" w:lastColumn="0" w:lastRow="0" w:noHBand="0" w:noVBand="1" w:val="04A0"/>
        <w:jc w:val="center"/>
        <w:tblLayout w:type="fixed"/>
      </w:tblPr>
      <w:tblGrid>
        <w:gridCol w:w="487"/>
        <w:gridCol w:w="3100"/>
        <w:gridCol w:w="3143"/>
        <w:gridCol w:w="1650"/>
        <w:gridCol w:w="1700"/>
      </w:tblGrid>
      <w:tr>
        <w:trPr>
          <w:tblHeader w:val="true"/>
        </w:trPr>
        <w:tc>
          <w:tcPr>
            <w:tcW w:type="dxa" w:w="487"/>
            <w:shd w:val="clear" w:color="auto" w:fill="1F3556"/>
          </w:tcPr>
          <w:p>
            <w:pPr>
              <w:keepNext/>
              <w:spacing w:before="40" w:after="40"/>
            </w:pPr>
            <w:r>
              <w:rPr>
                <w:b/>
                <w:color w:val="FFFFFF"/>
                <w:sz w:val="18"/>
              </w:rPr>
            </w:r>
          </w:p>
        </w:tc>
        <w:tc>
          <w:tcPr>
            <w:tcW w:type="dxa" w:w="3100"/>
            <w:shd w:val="clear" w:color="auto" w:fill="1F3556"/>
          </w:tcPr>
          <w:p>
            <w:pPr>
              <w:keepNext/>
              <w:spacing w:before="40" w:after="40"/>
            </w:pPr>
            <w:r>
              <w:rPr>
                <w:b/>
                <w:color w:val="FFFFFF"/>
                <w:sz w:val="18"/>
              </w:rPr>
              <w:t>Requirement</w:t>
            </w:r>
          </w:p>
        </w:tc>
        <w:tc>
          <w:tcPr>
            <w:tcW w:type="dxa" w:w="3143"/>
            <w:shd w:val="clear" w:color="auto" w:fill="1F3556"/>
          </w:tcPr>
          <w:p>
            <w:pPr>
              <w:keepNext/>
              <w:spacing w:before="40" w:after="40"/>
            </w:pPr>
            <w:r>
              <w:rPr>
                <w:b/>
                <w:color w:val="FFFFFF"/>
                <w:sz w:val="18"/>
              </w:rPr>
              <w:t>Evidence to keep</w:t>
            </w:r>
          </w:p>
        </w:tc>
        <w:tc>
          <w:tcPr>
            <w:tcW w:type="dxa" w:w="1650"/>
            <w:shd w:val="clear" w:color="auto" w:fill="1F3556"/>
          </w:tcPr>
          <w:p>
            <w:pPr>
              <w:keepNext/>
              <w:spacing w:before="40" w:after="40"/>
            </w:pPr>
            <w:r>
              <w:rPr>
                <w:b/>
                <w:color w:val="FFFFFF"/>
                <w:sz w:val="18"/>
              </w:rPr>
              <w:t>Citation</w:t>
            </w:r>
          </w:p>
        </w:tc>
        <w:tc>
          <w:tcPr>
            <w:tcW w:type="dxa" w:w="1700"/>
            <w:shd w:val="clear" w:color="auto" w:fill="1F3556"/>
          </w:tcPr>
          <w:p>
            <w:pPr>
              <w:keepNext/>
              <w:spacing w:before="40" w:after="40"/>
            </w:pPr>
            <w:r>
              <w:rPr>
                <w:b/>
                <w:color w:val="FFFFFF"/>
                <w:sz w:val="18"/>
              </w:rPr>
              <w:t>Status, owner, date verified</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Annual financial report</w:t>
            </w:r>
          </w:p>
        </w:tc>
        <w:tc>
          <w:tcPr>
            <w:tcW w:type="dxa" w:w="3143"/>
          </w:tcPr>
          <w:p>
            <w:pPr>
              <w:spacing w:before="40" w:after="40"/>
            </w:pPr>
            <w:r>
              <w:rPr>
                <w:b w:val="0"/>
                <w:sz w:val="19"/>
              </w:rPr>
              <w:t>Filed no later than 90 calendar days after the reporting period</w:t>
            </w:r>
          </w:p>
        </w:tc>
        <w:tc>
          <w:tcPr>
            <w:tcW w:type="dxa" w:w="1650"/>
          </w:tcPr>
          <w:p>
            <w:pPr>
              <w:spacing w:before="40" w:after="40"/>
            </w:pPr>
            <w:r>
              <w:rPr>
                <w:b w:val="0"/>
                <w:sz w:val="19"/>
              </w:rPr>
              <w:t>200.328(c)</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Quarterly or semiannual financial report</w:t>
            </w:r>
          </w:p>
        </w:tc>
        <w:tc>
          <w:tcPr>
            <w:tcW w:type="dxa" w:w="3143"/>
          </w:tcPr>
          <w:p>
            <w:pPr>
              <w:spacing w:before="40" w:after="40"/>
            </w:pPr>
            <w:r>
              <w:rPr>
                <w:b w:val="0"/>
                <w:sz w:val="19"/>
              </w:rPr>
              <w:t>Filed no later than 30 calendar days after the reporting period</w:t>
            </w:r>
          </w:p>
        </w:tc>
        <w:tc>
          <w:tcPr>
            <w:tcW w:type="dxa" w:w="1650"/>
          </w:tcPr>
          <w:p>
            <w:pPr>
              <w:spacing w:before="40" w:after="40"/>
            </w:pPr>
            <w:r>
              <w:rPr>
                <w:b w:val="0"/>
                <w:sz w:val="19"/>
              </w:rPr>
              <w:t>200.328(c)</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Performance reports</w:t>
            </w:r>
          </w:p>
        </w:tc>
        <w:tc>
          <w:tcPr>
            <w:tcW w:type="dxa" w:w="3143"/>
          </w:tcPr>
          <w:p>
            <w:pPr>
              <w:spacing w:before="40" w:after="40"/>
            </w:pPr>
            <w:r>
              <w:rPr>
                <w:b w:val="0"/>
                <w:sz w:val="19"/>
              </w:rPr>
              <w:t>Same limits: 90 calendar days for an annual report, 30 for a quarterly or semiannual one</w:t>
            </w:r>
          </w:p>
        </w:tc>
        <w:tc>
          <w:tcPr>
            <w:tcW w:type="dxa" w:w="1650"/>
          </w:tcPr>
          <w:p>
            <w:pPr>
              <w:spacing w:before="40" w:after="40"/>
            </w:pPr>
            <w:r>
              <w:rPr>
                <w:b w:val="0"/>
                <w:sz w:val="19"/>
              </w:rPr>
              <w:t>200.329(c)(1)</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Final financial report</w:t>
            </w:r>
          </w:p>
        </w:tc>
        <w:tc>
          <w:tcPr>
            <w:tcW w:type="dxa" w:w="3143"/>
          </w:tcPr>
          <w:p>
            <w:pPr>
              <w:spacing w:before="40" w:after="40"/>
            </w:pPr>
            <w:r>
              <w:rPr>
                <w:b w:val="0"/>
                <w:sz w:val="19"/>
              </w:rPr>
              <w:t>Recipient: within 120 calendar days after the period of performance ends. Subrecipient: within 90 calendar days, to the pass-through entity</w:t>
            </w:r>
          </w:p>
        </w:tc>
        <w:tc>
          <w:tcPr>
            <w:tcW w:type="dxa" w:w="1650"/>
          </w:tcPr>
          <w:p>
            <w:pPr>
              <w:spacing w:before="40" w:after="40"/>
            </w:pPr>
            <w:r>
              <w:rPr>
                <w:b w:val="0"/>
                <w:sz w:val="19"/>
              </w:rPr>
              <w:t>200.328(d)</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All closeout reports filed and all obligations liquidated</w:t>
            </w:r>
          </w:p>
        </w:tc>
        <w:tc>
          <w:tcPr>
            <w:tcW w:type="dxa" w:w="3143"/>
          </w:tcPr>
          <w:p>
            <w:pPr>
              <w:spacing w:before="40" w:after="40"/>
            </w:pPr>
            <w:r>
              <w:rPr>
                <w:b w:val="0"/>
                <w:sz w:val="19"/>
              </w:rPr>
              <w:t>Recipient: within 120 calendar days after the period of performance ends. Subrecipient: within 90 calendar days, or an earlier date agreed with the pass-through entity</w:t>
            </w:r>
          </w:p>
        </w:tc>
        <w:tc>
          <w:tcPr>
            <w:tcW w:type="dxa" w:w="1650"/>
          </w:tcPr>
          <w:p>
            <w:pPr>
              <w:spacing w:before="40" w:after="40"/>
            </w:pPr>
            <w:r>
              <w:rPr>
                <w:b w:val="0"/>
                <w:sz w:val="19"/>
              </w:rPr>
              <w:t>200.344(b) and (c)</w:t>
            </w:r>
          </w:p>
        </w:tc>
        <w:tc>
          <w:tcPr>
            <w:tcW w:type="dxa" w:w="1700"/>
            <w:shd w:val="clear" w:color="auto" w:fill="FFF6E0"/>
          </w:tcPr>
          <w:p>
            <w:pPr>
              <w:spacing w:before="40" w:after="40"/>
            </w:pPr>
            <w:r>
              <w:rPr>
                <w:b w:val="0"/>
                <w:color w:val="808080"/>
                <w:sz w:val="19"/>
              </w:rPr>
              <w:t>__________</w:t>
            </w:r>
          </w:p>
        </w:tc>
      </w:tr>
    </w:tbl>
    <w:p>
      <w:pPr>
        <w:pStyle w:val="GCCaption"/>
      </w:pPr>
    </w:p>
    <w:p>
      <w:pPr/>
      <w:r>
        <w:t>Performance reports must connect financial data to the goals in the award. Building that link while the project runs costs less than rebuilding it at closeout.</w:t>
      </w:r>
    </w:p>
    <w:p>
      <w:pPr>
        <w:pStyle w:val="Heading1"/>
      </w:pPr>
      <w:r>
        <w:t>Section 9. Audit readiness</w:t>
      </w:r>
    </w:p>
    <w:tbl>
      <w:tblPr>
        <w:tblStyle w:val="TableGrid"/>
        <w:tblW w:type="dxa" w:w="10080"/>
        <w:tblLook w:firstColumn="1" w:firstRow="1" w:lastColumn="0" w:lastRow="0" w:noHBand="0" w:noVBand="1" w:val="04A0"/>
        <w:jc w:val="center"/>
        <w:tblLayout w:type="fixed"/>
      </w:tblPr>
      <w:tblGrid>
        <w:gridCol w:w="487"/>
        <w:gridCol w:w="3100"/>
        <w:gridCol w:w="3143"/>
        <w:gridCol w:w="1650"/>
        <w:gridCol w:w="1700"/>
      </w:tblGrid>
      <w:tr>
        <w:trPr>
          <w:tblHeader w:val="true"/>
        </w:trPr>
        <w:tc>
          <w:tcPr>
            <w:tcW w:type="dxa" w:w="487"/>
            <w:shd w:val="clear" w:color="auto" w:fill="1F3556"/>
          </w:tcPr>
          <w:p>
            <w:pPr>
              <w:keepNext/>
              <w:spacing w:before="40" w:after="40"/>
            </w:pPr>
            <w:r>
              <w:rPr>
                <w:b/>
                <w:color w:val="FFFFFF"/>
                <w:sz w:val="18"/>
              </w:rPr>
            </w:r>
          </w:p>
        </w:tc>
        <w:tc>
          <w:tcPr>
            <w:tcW w:type="dxa" w:w="3100"/>
            <w:shd w:val="clear" w:color="auto" w:fill="1F3556"/>
          </w:tcPr>
          <w:p>
            <w:pPr>
              <w:keepNext/>
              <w:spacing w:before="40" w:after="40"/>
            </w:pPr>
            <w:r>
              <w:rPr>
                <w:b/>
                <w:color w:val="FFFFFF"/>
                <w:sz w:val="18"/>
              </w:rPr>
              <w:t>Requirement</w:t>
            </w:r>
          </w:p>
        </w:tc>
        <w:tc>
          <w:tcPr>
            <w:tcW w:type="dxa" w:w="3143"/>
            <w:shd w:val="clear" w:color="auto" w:fill="1F3556"/>
          </w:tcPr>
          <w:p>
            <w:pPr>
              <w:keepNext/>
              <w:spacing w:before="40" w:after="40"/>
            </w:pPr>
            <w:r>
              <w:rPr>
                <w:b/>
                <w:color w:val="FFFFFF"/>
                <w:sz w:val="18"/>
              </w:rPr>
              <w:t>Evidence to keep</w:t>
            </w:r>
          </w:p>
        </w:tc>
        <w:tc>
          <w:tcPr>
            <w:tcW w:type="dxa" w:w="1650"/>
            <w:shd w:val="clear" w:color="auto" w:fill="1F3556"/>
          </w:tcPr>
          <w:p>
            <w:pPr>
              <w:keepNext/>
              <w:spacing w:before="40" w:after="40"/>
            </w:pPr>
            <w:r>
              <w:rPr>
                <w:b/>
                <w:color w:val="FFFFFF"/>
                <w:sz w:val="18"/>
              </w:rPr>
              <w:t>Citation</w:t>
            </w:r>
          </w:p>
        </w:tc>
        <w:tc>
          <w:tcPr>
            <w:tcW w:type="dxa" w:w="1700"/>
            <w:shd w:val="clear" w:color="auto" w:fill="1F3556"/>
          </w:tcPr>
          <w:p>
            <w:pPr>
              <w:keepNext/>
              <w:spacing w:before="40" w:after="40"/>
            </w:pPr>
            <w:r>
              <w:rPr>
                <w:b/>
                <w:color w:val="FFFFFF"/>
                <w:sz w:val="18"/>
              </w:rPr>
              <w:t>Status, owner, date verified</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Federal awards expended this fiscal year tracked against $1,000,000</w:t>
            </w:r>
          </w:p>
        </w:tc>
        <w:tc>
          <w:tcPr>
            <w:tcW w:type="dxa" w:w="3143"/>
          </w:tcPr>
          <w:p>
            <w:pPr>
              <w:spacing w:before="40" w:after="40"/>
            </w:pPr>
            <w:r>
              <w:rPr>
                <w:b w:val="0"/>
                <w:sz w:val="19"/>
              </w:rPr>
              <w:t>Monthly total. Awards expended as a subrecipient count; payments received as a contractor do not</w:t>
            </w:r>
          </w:p>
        </w:tc>
        <w:tc>
          <w:tcPr>
            <w:tcW w:type="dxa" w:w="1650"/>
          </w:tcPr>
          <w:p>
            <w:pPr>
              <w:spacing w:before="40" w:after="40"/>
            </w:pPr>
            <w:r>
              <w:rPr>
                <w:b w:val="0"/>
                <w:sz w:val="19"/>
              </w:rPr>
              <w:t>200.501(a) and (g)</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Schedule of expenditures of Federal awards</w:t>
            </w:r>
          </w:p>
        </w:tc>
        <w:tc>
          <w:tcPr>
            <w:tcW w:type="dxa" w:w="3143"/>
          </w:tcPr>
          <w:p>
            <w:pPr>
              <w:spacing w:before="40" w:after="40"/>
            </w:pPr>
            <w:r>
              <w:rPr>
                <w:b w:val="0"/>
                <w:sz w:val="19"/>
              </w:rPr>
              <w:t>Reconciled to the ledger: programs by Assistance Listing number, totals, amounts passed to subrecipients, and whether you elected the de minimis rate</w:t>
            </w:r>
          </w:p>
        </w:tc>
        <w:tc>
          <w:tcPr>
            <w:tcW w:type="dxa" w:w="1650"/>
          </w:tcPr>
          <w:p>
            <w:pPr>
              <w:spacing w:before="40" w:after="40"/>
            </w:pPr>
            <w:r>
              <w:rPr>
                <w:b w:val="0"/>
                <w:sz w:val="19"/>
              </w:rPr>
              <w:t>200.510(b)</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Summary schedule of prior audit findings</w:t>
            </w:r>
          </w:p>
        </w:tc>
        <w:tc>
          <w:tcPr>
            <w:tcW w:type="dxa" w:w="3143"/>
          </w:tcPr>
          <w:p>
            <w:pPr>
              <w:spacing w:before="40" w:after="40"/>
            </w:pPr>
            <w:r>
              <w:rPr>
                <w:b w:val="0"/>
                <w:sz w:val="19"/>
              </w:rPr>
              <w:t>Status of every prior finding</w:t>
            </w:r>
          </w:p>
        </w:tc>
        <w:tc>
          <w:tcPr>
            <w:tcW w:type="dxa" w:w="1650"/>
          </w:tcPr>
          <w:p>
            <w:pPr>
              <w:spacing w:before="40" w:after="40"/>
            </w:pPr>
            <w:r>
              <w:rPr>
                <w:b w:val="0"/>
                <w:sz w:val="19"/>
              </w:rPr>
              <w:t>200.511(b)</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Corrective action plan for current findings</w:t>
            </w:r>
          </w:p>
        </w:tc>
        <w:tc>
          <w:tcPr>
            <w:tcW w:type="dxa" w:w="3143"/>
          </w:tcPr>
          <w:p>
            <w:pPr>
              <w:spacing w:before="40" w:after="40"/>
            </w:pPr>
            <w:r>
              <w:rPr>
                <w:b w:val="0"/>
                <w:sz w:val="19"/>
              </w:rPr>
              <w:t>Contact person, corrective action and anticipated completion date for each finding</w:t>
            </w:r>
          </w:p>
        </w:tc>
        <w:tc>
          <w:tcPr>
            <w:tcW w:type="dxa" w:w="1650"/>
          </w:tcPr>
          <w:p>
            <w:pPr>
              <w:spacing w:before="40" w:after="40"/>
            </w:pPr>
            <w:r>
              <w:rPr>
                <w:b w:val="0"/>
                <w:sz w:val="19"/>
              </w:rPr>
              <w:t>200.511(c)</w:t>
            </w:r>
          </w:p>
        </w:tc>
        <w:tc>
          <w:tcPr>
            <w:tcW w:type="dxa" w:w="17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3100"/>
          </w:tcPr>
          <w:p>
            <w:pPr>
              <w:spacing w:before="40" w:after="40"/>
            </w:pPr>
            <w:r>
              <w:rPr>
                <w:b w:val="0"/>
                <w:sz w:val="19"/>
              </w:rPr>
              <w:t>Reporting package and data collection form filed with the Federal Audit Clearinghouse</w:t>
            </w:r>
          </w:p>
        </w:tc>
        <w:tc>
          <w:tcPr>
            <w:tcW w:type="dxa" w:w="3143"/>
          </w:tcPr>
          <w:p>
            <w:pPr>
              <w:spacing w:before="40" w:after="40"/>
            </w:pPr>
            <w:r>
              <w:rPr>
                <w:b w:val="0"/>
                <w:sz w:val="19"/>
              </w:rPr>
              <w:t>Submission confirmation, filed within 30 calendar days after you receive the auditor's report or nine months after the audit period ends, whichever is earlier</w:t>
            </w:r>
          </w:p>
        </w:tc>
        <w:tc>
          <w:tcPr>
            <w:tcW w:type="dxa" w:w="1650"/>
          </w:tcPr>
          <w:p>
            <w:pPr>
              <w:spacing w:before="40" w:after="40"/>
            </w:pPr>
            <w:r>
              <w:rPr>
                <w:b w:val="0"/>
                <w:sz w:val="19"/>
              </w:rPr>
              <w:t>200.512(a)(1) and (d)</w:t>
            </w:r>
          </w:p>
        </w:tc>
        <w:tc>
          <w:tcPr>
            <w:tcW w:type="dxa" w:w="1700"/>
            <w:shd w:val="clear" w:color="auto" w:fill="FFF6E0"/>
          </w:tcPr>
          <w:p>
            <w:pPr>
              <w:spacing w:before="40" w:after="40"/>
            </w:pPr>
            <w:r>
              <w:rPr>
                <w:b w:val="0"/>
                <w:color w:val="808080"/>
                <w:sz w:val="19"/>
              </w:rPr>
              <w:t>__________</w:t>
            </w:r>
          </w:p>
        </w:tc>
      </w:tr>
    </w:tbl>
    <w:p>
      <w:pPr>
        <w:pStyle w:val="GCCaption"/>
      </w:pPr>
    </w:p>
    <w:p>
      <w:pPr/>
      <w:r>
        <w:t>A material weakness in internal control costs an auditee its low-risk status under 2 CFR 200.520(c), and with it the reduced audit coverage that status allows under 2 CFR 200.518. The 2025 Compliance Supplement, announced at 90 FR 54400 (November 26, 2025), applies to fiscal year audits covering any period beginning after June 30, 2024: keep one evidence folder for each compliance requirement it marks as applicable to your programs.</w:t>
      </w:r>
    </w:p>
    <w:p>
      <w:pPr>
        <w:pStyle w:val="Heading1"/>
      </w:pPr>
      <w:r>
        <w:t>Single Audit test for this fiscal year</w:t>
      </w:r>
    </w:p>
    <w:p>
      <w:pPr/>
      <w:r>
        <w:t>The test is what you expended, not what you were awarded. A multi-year award triggers nothing by itself; spending $1,000,000 or more of Federal awards in one of your fiscal years does.</w:t>
      </w:r>
    </w:p>
    <w:tbl>
      <w:tblPr>
        <w:tblStyle w:val="TableGrid"/>
        <w:tblW w:type="dxa" w:w="10080"/>
        <w:tblLook w:firstColumn="1" w:firstRow="1" w:lastColumn="0" w:lastRow="0" w:noHBand="0" w:noVBand="1" w:val="04A0"/>
        <w:jc w:val="center"/>
        <w:tblLayout w:type="fixed"/>
      </w:tblPr>
      <w:tblGrid>
        <w:gridCol w:w="6880"/>
        <w:gridCol w:w="3200"/>
      </w:tblGrid>
      <w:tr>
        <w:trPr>
          <w:tblHeader w:val="true"/>
        </w:trPr>
        <w:tc>
          <w:tcPr>
            <w:tcW w:type="dxa" w:w="6880"/>
            <w:shd w:val="clear" w:color="auto" w:fill="1F3556"/>
          </w:tcPr>
          <w:p>
            <w:pPr>
              <w:keepNext/>
              <w:spacing w:before="40" w:after="40"/>
            </w:pPr>
            <w:r>
              <w:rPr>
                <w:b/>
                <w:color w:val="FFFFFF"/>
                <w:sz w:val="18"/>
              </w:rPr>
              <w:t>Line</w:t>
            </w:r>
          </w:p>
        </w:tc>
        <w:tc>
          <w:tcPr>
            <w:tcW w:type="dxa" w:w="3200"/>
            <w:shd w:val="clear" w:color="auto" w:fill="1F3556"/>
          </w:tcPr>
          <w:p>
            <w:pPr>
              <w:keepNext/>
              <w:spacing w:before="40" w:after="40"/>
            </w:pPr>
            <w:r>
              <w:rPr>
                <w:b/>
                <w:color w:val="FFFFFF"/>
                <w:sz w:val="18"/>
              </w:rPr>
              <w:t>Entry</w:t>
            </w:r>
          </w:p>
        </w:tc>
      </w:tr>
      <w:tr>
        <w:trPr>
          <w:cantSplit w:val="true"/>
        </w:trPr>
        <w:tc>
          <w:tcPr>
            <w:tcW w:type="dxa" w:w="6880"/>
          </w:tcPr>
          <w:p>
            <w:pPr>
              <w:spacing w:before="40" w:after="40"/>
            </w:pPr>
            <w:r>
              <w:rPr>
                <w:b w:val="0"/>
                <w:sz w:val="19"/>
              </w:rPr>
              <w:t>Fiscal year (start and end)</w:t>
            </w:r>
          </w:p>
        </w:tc>
        <w:tc>
          <w:tcPr>
            <w:tcW w:type="dxa" w:w="3200"/>
            <w:shd w:val="clear" w:color="auto" w:fill="FFF6E0"/>
          </w:tcPr>
          <w:p>
            <w:pPr>
              <w:spacing w:before="40" w:after="40"/>
            </w:pPr>
            <w:r>
              <w:rPr>
                <w:b w:val="0"/>
                <w:color w:val="808080"/>
                <w:sz w:val="19"/>
              </w:rPr>
              <w:t>__________</w:t>
            </w:r>
          </w:p>
        </w:tc>
      </w:tr>
      <w:tr>
        <w:trPr>
          <w:cantSplit w:val="true"/>
        </w:trPr>
        <w:tc>
          <w:tcPr>
            <w:tcW w:type="dxa" w:w="6880"/>
          </w:tcPr>
          <w:p>
            <w:pPr>
              <w:spacing w:before="40" w:after="40"/>
            </w:pPr>
            <w:r>
              <w:rPr>
                <w:b w:val="0"/>
                <w:sz w:val="19"/>
              </w:rPr>
              <w:t>Federal awards expended as a recipient</w:t>
            </w:r>
          </w:p>
        </w:tc>
        <w:tc>
          <w:tcPr>
            <w:tcW w:type="dxa" w:w="3200"/>
            <w:shd w:val="clear" w:color="auto" w:fill="FFF6E0"/>
          </w:tcPr>
          <w:p>
            <w:pPr>
              <w:spacing w:before="40" w:after="40"/>
            </w:pPr>
            <w:r>
              <w:rPr>
                <w:b w:val="0"/>
                <w:color w:val="808080"/>
                <w:sz w:val="19"/>
              </w:rPr>
              <w:t>__________</w:t>
            </w:r>
          </w:p>
        </w:tc>
      </w:tr>
      <w:tr>
        <w:trPr>
          <w:cantSplit w:val="true"/>
        </w:trPr>
        <w:tc>
          <w:tcPr>
            <w:tcW w:type="dxa" w:w="6880"/>
          </w:tcPr>
          <w:p>
            <w:pPr>
              <w:spacing w:before="40" w:after="40"/>
            </w:pPr>
            <w:r>
              <w:rPr>
                <w:b w:val="0"/>
                <w:sz w:val="19"/>
              </w:rPr>
              <w:t>Federal awards expended as a subrecipient</w:t>
            </w:r>
          </w:p>
        </w:tc>
        <w:tc>
          <w:tcPr>
            <w:tcW w:type="dxa" w:w="3200"/>
            <w:shd w:val="clear" w:color="auto" w:fill="FFF6E0"/>
          </w:tcPr>
          <w:p>
            <w:pPr>
              <w:spacing w:before="40" w:after="40"/>
            </w:pPr>
            <w:r>
              <w:rPr>
                <w:b w:val="0"/>
                <w:color w:val="808080"/>
                <w:sz w:val="19"/>
              </w:rPr>
              <w:t>__________</w:t>
            </w:r>
          </w:p>
        </w:tc>
      </w:tr>
      <w:tr>
        <w:trPr>
          <w:cantSplit w:val="true"/>
        </w:trPr>
        <w:tc>
          <w:tcPr>
            <w:tcW w:type="dxa" w:w="6880"/>
          </w:tcPr>
          <w:p>
            <w:pPr>
              <w:spacing w:before="40" w:after="40"/>
            </w:pPr>
            <w:r>
              <w:rPr>
                <w:b w:val="0"/>
                <w:sz w:val="19"/>
              </w:rPr>
              <w:t>Total Federal awards expended (the two lines above)</w:t>
            </w:r>
          </w:p>
        </w:tc>
        <w:tc>
          <w:tcPr>
            <w:tcW w:type="dxa" w:w="3200"/>
            <w:shd w:val="clear" w:color="auto" w:fill="FFF6E0"/>
          </w:tcPr>
          <w:p>
            <w:pPr>
              <w:spacing w:before="40" w:after="40"/>
            </w:pPr>
            <w:r>
              <w:rPr>
                <w:b w:val="0"/>
                <w:color w:val="808080"/>
                <w:sz w:val="19"/>
              </w:rPr>
              <w:t>__________</w:t>
            </w:r>
          </w:p>
        </w:tc>
      </w:tr>
      <w:tr>
        <w:trPr>
          <w:cantSplit w:val="true"/>
        </w:trPr>
        <w:tc>
          <w:tcPr>
            <w:tcW w:type="dxa" w:w="6880"/>
          </w:tcPr>
          <w:p>
            <w:pPr>
              <w:spacing w:before="40" w:after="40"/>
            </w:pPr>
            <w:r>
              <w:rPr>
                <w:b w:val="0"/>
                <w:sz w:val="19"/>
              </w:rPr>
              <w:t>$1,000,000 or more? If yes, a Single Audit or a program-specific audit is required for the year (200.501(a)). If less, the year is exempt from Federal audit requirements, except as 200.503 notes, but records must stay available to the Federal agency, the pass-through entity and GAO (200.501(e))</w:t>
            </w:r>
          </w:p>
        </w:tc>
        <w:tc>
          <w:tcPr>
            <w:tcW w:type="dxa" w:w="3200"/>
            <w:shd w:val="clear" w:color="auto" w:fill="FFF6E0"/>
          </w:tcPr>
          <w:p>
            <w:pPr>
              <w:spacing w:before="40" w:after="40"/>
            </w:pPr>
            <w:r>
              <w:rPr>
                <w:b w:val="0"/>
                <w:color w:val="808080"/>
                <w:sz w:val="19"/>
              </w:rPr>
              <w:t>__________</w:t>
            </w:r>
          </w:p>
        </w:tc>
      </w:tr>
      <w:tr>
        <w:trPr>
          <w:cantSplit w:val="true"/>
        </w:trPr>
        <w:tc>
          <w:tcPr>
            <w:tcW w:type="dxa" w:w="6880"/>
          </w:tcPr>
          <w:p>
            <w:pPr>
              <w:spacing w:before="40" w:after="40"/>
            </w:pPr>
            <w:r>
              <w:rPr>
                <w:b w:val="0"/>
                <w:sz w:val="19"/>
              </w:rPr>
              <w:t>Program-specific audit possible? The general election needs all awards expended under one Federal program, excluding research and development, and no financial statement audit required by that program's statutes, regulations or award terms (200.501(c)). Research and development has its own conditions (200.501(d))</w:t>
            </w:r>
          </w:p>
        </w:tc>
        <w:tc>
          <w:tcPr>
            <w:tcW w:type="dxa" w:w="3200"/>
            <w:shd w:val="clear" w:color="auto" w:fill="FFF6E0"/>
          </w:tcPr>
          <w:p>
            <w:pPr>
              <w:spacing w:before="40" w:after="40"/>
            </w:pPr>
            <w:r>
              <w:rPr>
                <w:b w:val="0"/>
                <w:color w:val="808080"/>
                <w:sz w:val="19"/>
              </w:rPr>
              <w:t>__________</w:t>
            </w:r>
          </w:p>
        </w:tc>
      </w:tr>
      <w:tr>
        <w:trPr>
          <w:cantSplit w:val="true"/>
        </w:trPr>
        <w:tc>
          <w:tcPr>
            <w:tcW w:type="dxa" w:w="6880"/>
          </w:tcPr>
          <w:p>
            <w:pPr>
              <w:spacing w:before="40" w:after="40"/>
            </w:pPr>
            <w:r>
              <w:rPr>
                <w:b w:val="0"/>
                <w:sz w:val="19"/>
              </w:rPr>
              <w:t>Reporting package due: the earlier of 30 calendar days after the auditor's report or nine months after the year ends (200.512(a)(1)). For a June 30 year end, nine months is March 31</w:t>
            </w:r>
          </w:p>
        </w:tc>
        <w:tc>
          <w:tcPr>
            <w:tcW w:type="dxa" w:w="3200"/>
            <w:shd w:val="clear" w:color="auto" w:fill="FFF6E0"/>
          </w:tcPr>
          <w:p>
            <w:pPr>
              <w:spacing w:before="40" w:after="40"/>
            </w:pPr>
            <w:r>
              <w:rPr>
                <w:b w:val="0"/>
                <w:color w:val="808080"/>
                <w:sz w:val="19"/>
              </w:rPr>
              <w:t>__________</w:t>
            </w:r>
          </w:p>
        </w:tc>
      </w:tr>
    </w:tbl>
    <w:p>
      <w:pPr>
        <w:pStyle w:val="GCCaption"/>
      </w:pPr>
    </w:p>
    <w:p>
      <w:pPr>
        <w:pStyle w:val="Heading1"/>
      </w:pPr>
      <w:r>
        <w:t>Recurring checks</w:t>
      </w:r>
    </w:p>
    <w:p>
      <w:pPr/>
      <w:r>
        <w:t>Some items are set once when the award is accepted; others repeat until closeout. Work them on the stated schedule and initial each one.</w:t>
      </w:r>
    </w:p>
    <w:p>
      <w:pPr>
        <w:pStyle w:val="Heading2"/>
      </w:pPr>
      <w:r>
        <w:t>At award acceptance</w:t>
      </w:r>
    </w:p>
    <w:tbl>
      <w:tblPr>
        <w:tblStyle w:val="TableGrid"/>
        <w:tblW w:type="dxa" w:w="10080"/>
        <w:tblLook w:firstColumn="1" w:firstRow="1" w:lastColumn="0" w:lastRow="0" w:noHBand="0" w:noVBand="1" w:val="04A0"/>
        <w:jc w:val="center"/>
        <w:tblLayout w:type="fixed"/>
      </w:tblPr>
      <w:tblGrid>
        <w:gridCol w:w="487"/>
        <w:gridCol w:w="6193"/>
        <w:gridCol w:w="1900"/>
        <w:gridCol w:w="1500"/>
      </w:tblGrid>
      <w:tr>
        <w:trPr>
          <w:tblHeader w:val="true"/>
        </w:trPr>
        <w:tc>
          <w:tcPr>
            <w:tcW w:type="dxa" w:w="487"/>
            <w:shd w:val="clear" w:color="auto" w:fill="1F3556"/>
          </w:tcPr>
          <w:p>
            <w:pPr>
              <w:keepNext/>
              <w:spacing w:before="40" w:after="40"/>
            </w:pPr>
            <w:r>
              <w:rPr>
                <w:b/>
                <w:color w:val="FFFFFF"/>
                <w:sz w:val="18"/>
              </w:rPr>
            </w:r>
          </w:p>
        </w:tc>
        <w:tc>
          <w:tcPr>
            <w:tcW w:type="dxa" w:w="6193"/>
            <w:shd w:val="clear" w:color="auto" w:fill="1F3556"/>
          </w:tcPr>
          <w:p>
            <w:pPr>
              <w:keepNext/>
              <w:spacing w:before="40" w:after="40"/>
            </w:pPr>
            <w:r>
              <w:rPr>
                <w:b/>
                <w:color w:val="FFFFFF"/>
                <w:sz w:val="18"/>
              </w:rPr>
              <w:t>Check</w:t>
            </w:r>
          </w:p>
        </w:tc>
        <w:tc>
          <w:tcPr>
            <w:tcW w:type="dxa" w:w="1900"/>
            <w:shd w:val="clear" w:color="auto" w:fill="1F3556"/>
          </w:tcPr>
          <w:p>
            <w:pPr>
              <w:keepNext/>
              <w:spacing w:before="40" w:after="40"/>
            </w:pPr>
            <w:r>
              <w:rPr>
                <w:b/>
                <w:color w:val="FFFFFF"/>
                <w:sz w:val="18"/>
              </w:rPr>
              <w:t>Owner (role)</w:t>
            </w:r>
          </w:p>
        </w:tc>
        <w:tc>
          <w:tcPr>
            <w:tcW w:type="dxa" w:w="1500"/>
            <w:shd w:val="clear" w:color="auto" w:fill="1F3556"/>
          </w:tcPr>
          <w:p>
            <w:pPr>
              <w:keepNext/>
              <w:spacing w:before="40" w:after="40"/>
            </w:pPr>
            <w:r>
              <w:rPr>
                <w:b/>
                <w:color w:val="FFFFFF"/>
                <w:sz w:val="18"/>
              </w:rPr>
              <w:t>Date done</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1. SAM.gov registration active, renewal date recorded.</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2. Award terms read, Uniform Guidance version identified.</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3. Period of performance and budget period recorded separately.</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4. Approved budget entered under an award-specific code.</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5. Indirect rate documented: negotiated, agreed, or de minimis up to 15 percent of modified total direct costs.</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6. Prior approval items from 2 CFR 200.407 flagged in the budget.</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7. Reporting calendar built, including the final report at 120 days.</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8. Named owner and named backup assigned.</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bl>
    <w:p>
      <w:pPr>
        <w:pStyle w:val="GCCaption"/>
      </w:pPr>
    </w:p>
    <w:p>
      <w:pPr>
        <w:pStyle w:val="Heading2"/>
      </w:pPr>
      <w:r>
        <w:t>Monthly</w:t>
      </w:r>
    </w:p>
    <w:tbl>
      <w:tblPr>
        <w:tblStyle w:val="TableGrid"/>
        <w:tblW w:type="dxa" w:w="10080"/>
        <w:tblLook w:firstColumn="1" w:firstRow="1" w:lastColumn="0" w:lastRow="0" w:noHBand="0" w:noVBand="1" w:val="04A0"/>
        <w:jc w:val="center"/>
        <w:tblLayout w:type="fixed"/>
      </w:tblPr>
      <w:tblGrid>
        <w:gridCol w:w="487"/>
        <w:gridCol w:w="6193"/>
        <w:gridCol w:w="1900"/>
        <w:gridCol w:w="1500"/>
      </w:tblGrid>
      <w:tr>
        <w:trPr>
          <w:tblHeader w:val="true"/>
        </w:trPr>
        <w:tc>
          <w:tcPr>
            <w:tcW w:type="dxa" w:w="487"/>
            <w:shd w:val="clear" w:color="auto" w:fill="1F3556"/>
          </w:tcPr>
          <w:p>
            <w:pPr>
              <w:keepNext/>
              <w:spacing w:before="40" w:after="40"/>
            </w:pPr>
            <w:r>
              <w:rPr>
                <w:b/>
                <w:color w:val="FFFFFF"/>
                <w:sz w:val="18"/>
              </w:rPr>
            </w:r>
          </w:p>
        </w:tc>
        <w:tc>
          <w:tcPr>
            <w:tcW w:type="dxa" w:w="6193"/>
            <w:shd w:val="clear" w:color="auto" w:fill="1F3556"/>
          </w:tcPr>
          <w:p>
            <w:pPr>
              <w:keepNext/>
              <w:spacing w:before="40" w:after="40"/>
            </w:pPr>
            <w:r>
              <w:rPr>
                <w:b/>
                <w:color w:val="FFFFFF"/>
                <w:sz w:val="18"/>
              </w:rPr>
              <w:t>Check</w:t>
            </w:r>
          </w:p>
        </w:tc>
        <w:tc>
          <w:tcPr>
            <w:tcW w:type="dxa" w:w="1900"/>
            <w:shd w:val="clear" w:color="auto" w:fill="1F3556"/>
          </w:tcPr>
          <w:p>
            <w:pPr>
              <w:keepNext/>
              <w:spacing w:before="40" w:after="40"/>
            </w:pPr>
            <w:r>
              <w:rPr>
                <w:b/>
                <w:color w:val="FFFFFF"/>
                <w:sz w:val="18"/>
              </w:rPr>
              <w:t>Owner (role)</w:t>
            </w:r>
          </w:p>
        </w:tc>
        <w:tc>
          <w:tcPr>
            <w:tcW w:type="dxa" w:w="1500"/>
            <w:shd w:val="clear" w:color="auto" w:fill="1F3556"/>
          </w:tcPr>
          <w:p>
            <w:pPr>
              <w:keepNext/>
              <w:spacing w:before="40" w:after="40"/>
            </w:pPr>
            <w:r>
              <w:rPr>
                <w:b/>
                <w:color w:val="FFFFFF"/>
                <w:sz w:val="18"/>
              </w:rPr>
              <w:t>Date done</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9. Ledger reconciled to the award budget by line.</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10. Payroll charges reconciled to effort records.</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11. Cumulative Federal expenditures compared to the $1,000,000 audit line.</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12. Drawdowns matched to actual disbursements.</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bl>
    <w:p>
      <w:pPr>
        <w:pStyle w:val="GCCaption"/>
      </w:pPr>
    </w:p>
    <w:p>
      <w:pPr>
        <w:pStyle w:val="Heading2"/>
      </w:pPr>
      <w:r>
        <w:t>Quarterly</w:t>
      </w:r>
    </w:p>
    <w:tbl>
      <w:tblPr>
        <w:tblStyle w:val="TableGrid"/>
        <w:tblW w:type="dxa" w:w="10080"/>
        <w:tblLook w:firstColumn="1" w:firstRow="1" w:lastColumn="0" w:lastRow="0" w:noHBand="0" w:noVBand="1" w:val="04A0"/>
        <w:jc w:val="center"/>
        <w:tblLayout w:type="fixed"/>
      </w:tblPr>
      <w:tblGrid>
        <w:gridCol w:w="487"/>
        <w:gridCol w:w="6193"/>
        <w:gridCol w:w="1900"/>
        <w:gridCol w:w="1500"/>
      </w:tblGrid>
      <w:tr>
        <w:trPr>
          <w:tblHeader w:val="true"/>
        </w:trPr>
        <w:tc>
          <w:tcPr>
            <w:tcW w:type="dxa" w:w="487"/>
            <w:shd w:val="clear" w:color="auto" w:fill="1F3556"/>
          </w:tcPr>
          <w:p>
            <w:pPr>
              <w:keepNext/>
              <w:spacing w:before="40" w:after="40"/>
            </w:pPr>
            <w:r>
              <w:rPr>
                <w:b/>
                <w:color w:val="FFFFFF"/>
                <w:sz w:val="18"/>
              </w:rPr>
            </w:r>
          </w:p>
        </w:tc>
        <w:tc>
          <w:tcPr>
            <w:tcW w:type="dxa" w:w="6193"/>
            <w:shd w:val="clear" w:color="auto" w:fill="1F3556"/>
          </w:tcPr>
          <w:p>
            <w:pPr>
              <w:keepNext/>
              <w:spacing w:before="40" w:after="40"/>
            </w:pPr>
            <w:r>
              <w:rPr>
                <w:b/>
                <w:color w:val="FFFFFF"/>
                <w:sz w:val="18"/>
              </w:rPr>
              <w:t>Check</w:t>
            </w:r>
          </w:p>
        </w:tc>
        <w:tc>
          <w:tcPr>
            <w:tcW w:type="dxa" w:w="1900"/>
            <w:shd w:val="clear" w:color="auto" w:fill="1F3556"/>
          </w:tcPr>
          <w:p>
            <w:pPr>
              <w:keepNext/>
              <w:spacing w:before="40" w:after="40"/>
            </w:pPr>
            <w:r>
              <w:rPr>
                <w:b/>
                <w:color w:val="FFFFFF"/>
                <w:sz w:val="18"/>
              </w:rPr>
              <w:t>Owner (role)</w:t>
            </w:r>
          </w:p>
        </w:tc>
        <w:tc>
          <w:tcPr>
            <w:tcW w:type="dxa" w:w="1500"/>
            <w:shd w:val="clear" w:color="auto" w:fill="1F3556"/>
          </w:tcPr>
          <w:p>
            <w:pPr>
              <w:keepNext/>
              <w:spacing w:before="40" w:after="40"/>
            </w:pPr>
            <w:r>
              <w:rPr>
                <w:b/>
                <w:color w:val="FFFFFF"/>
                <w:sz w:val="18"/>
              </w:rPr>
              <w:t>Date done</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13. Subrecipient invoices checked against the approved subaward budget.</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14. Subrecipient risk ratings revisited.</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15. Prior findings checked for corrective action progress.</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bl>
    <w:p>
      <w:pPr>
        <w:pStyle w:val="GCCaption"/>
      </w:pPr>
    </w:p>
    <w:p>
      <w:pPr>
        <w:pStyle w:val="Heading2"/>
      </w:pPr>
      <w:r>
        <w:t>At closeout</w:t>
      </w:r>
    </w:p>
    <w:tbl>
      <w:tblPr>
        <w:tblStyle w:val="TableGrid"/>
        <w:tblW w:type="dxa" w:w="10080"/>
        <w:tblLook w:firstColumn="1" w:firstRow="1" w:lastColumn="0" w:lastRow="0" w:noHBand="0" w:noVBand="1" w:val="04A0"/>
        <w:jc w:val="center"/>
        <w:tblLayout w:type="fixed"/>
      </w:tblPr>
      <w:tblGrid>
        <w:gridCol w:w="487"/>
        <w:gridCol w:w="6193"/>
        <w:gridCol w:w="1900"/>
        <w:gridCol w:w="1500"/>
      </w:tblGrid>
      <w:tr>
        <w:trPr>
          <w:tblHeader w:val="true"/>
        </w:trPr>
        <w:tc>
          <w:tcPr>
            <w:tcW w:type="dxa" w:w="487"/>
            <w:shd w:val="clear" w:color="auto" w:fill="1F3556"/>
          </w:tcPr>
          <w:p>
            <w:pPr>
              <w:keepNext/>
              <w:spacing w:before="40" w:after="40"/>
            </w:pPr>
            <w:r>
              <w:rPr>
                <w:b/>
                <w:color w:val="FFFFFF"/>
                <w:sz w:val="18"/>
              </w:rPr>
            </w:r>
          </w:p>
        </w:tc>
        <w:tc>
          <w:tcPr>
            <w:tcW w:type="dxa" w:w="6193"/>
            <w:shd w:val="clear" w:color="auto" w:fill="1F3556"/>
          </w:tcPr>
          <w:p>
            <w:pPr>
              <w:keepNext/>
              <w:spacing w:before="40" w:after="40"/>
            </w:pPr>
            <w:r>
              <w:rPr>
                <w:b/>
                <w:color w:val="FFFFFF"/>
                <w:sz w:val="18"/>
              </w:rPr>
              <w:t>Check</w:t>
            </w:r>
          </w:p>
        </w:tc>
        <w:tc>
          <w:tcPr>
            <w:tcW w:type="dxa" w:w="1900"/>
            <w:shd w:val="clear" w:color="auto" w:fill="1F3556"/>
          </w:tcPr>
          <w:p>
            <w:pPr>
              <w:keepNext/>
              <w:spacing w:before="40" w:after="40"/>
            </w:pPr>
            <w:r>
              <w:rPr>
                <w:b/>
                <w:color w:val="FFFFFF"/>
                <w:sz w:val="18"/>
              </w:rPr>
              <w:t>Owner (role)</w:t>
            </w:r>
          </w:p>
        </w:tc>
        <w:tc>
          <w:tcPr>
            <w:tcW w:type="dxa" w:w="1500"/>
            <w:shd w:val="clear" w:color="auto" w:fill="1F3556"/>
          </w:tcPr>
          <w:p>
            <w:pPr>
              <w:keepNext/>
              <w:spacing w:before="40" w:after="40"/>
            </w:pPr>
            <w:r>
              <w:rPr>
                <w:b/>
                <w:color w:val="FFFFFF"/>
                <w:sz w:val="18"/>
              </w:rPr>
              <w:t>Date done</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16. Final reports submitted and obligations liquidated within 120 days (90 days for a subrecipient).</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17. Equipment inventoried. Equipment no longer needed: request disposition instructions where the award terms require it; an item with a current fair market value over $10,000 per unit carries the Federal share if it is kept or sold (2 CFR 200.313(e)).</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6193"/>
          </w:tcPr>
          <w:p>
            <w:pPr>
              <w:spacing w:before="40" w:after="40"/>
            </w:pPr>
            <w:r>
              <w:rPr>
                <w:b w:val="0"/>
                <w:sz w:val="19"/>
              </w:rPr>
              <w:t>18. Retention date set at three years from the final financial report.</w:t>
            </w:r>
          </w:p>
        </w:tc>
        <w:tc>
          <w:tcPr>
            <w:tcW w:type="dxa" w:w="19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bl>
    <w:p>
      <w:pPr>
        <w:pStyle w:val="GCCaption"/>
      </w:pPr>
    </w:p>
    <w:p>
      <w:pPr>
        <w:pStyle w:val="Heading1"/>
      </w:pPr>
      <w:r>
        <w:t>Key dates for this award</w:t>
      </w:r>
    </w:p>
    <w:p>
      <w:pPr/>
      <w:r>
        <w:t>One calendar, one owner per date. Reporting deadlines are what a small team drops first.</w:t>
      </w:r>
    </w:p>
    <w:tbl>
      <w:tblPr>
        <w:tblStyle w:val="TableGrid"/>
        <w:tblW w:type="dxa" w:w="10080"/>
        <w:tblLook w:firstColumn="1" w:firstRow="1" w:lastColumn="0" w:lastRow="0" w:noHBand="0" w:noVBand="1" w:val="04A0"/>
        <w:jc w:val="center"/>
        <w:tblLayout w:type="fixed"/>
      </w:tblPr>
      <w:tblGrid>
        <w:gridCol w:w="1600"/>
        <w:gridCol w:w="3300"/>
        <w:gridCol w:w="3480"/>
        <w:gridCol w:w="1700"/>
      </w:tblGrid>
      <w:tr>
        <w:trPr>
          <w:tblHeader w:val="true"/>
        </w:trPr>
        <w:tc>
          <w:tcPr>
            <w:tcW w:type="dxa" w:w="1600"/>
            <w:shd w:val="clear" w:color="auto" w:fill="1F3556"/>
          </w:tcPr>
          <w:p>
            <w:pPr>
              <w:keepNext/>
              <w:spacing w:before="40" w:after="40"/>
            </w:pPr>
            <w:r>
              <w:rPr>
                <w:b/>
                <w:color w:val="FFFFFF"/>
                <w:sz w:val="18"/>
              </w:rPr>
              <w:t>Date</w:t>
            </w:r>
          </w:p>
        </w:tc>
        <w:tc>
          <w:tcPr>
            <w:tcW w:type="dxa" w:w="3300"/>
            <w:shd w:val="clear" w:color="auto" w:fill="1F3556"/>
          </w:tcPr>
          <w:p>
            <w:pPr>
              <w:keepNext/>
              <w:spacing w:before="40" w:after="40"/>
            </w:pPr>
            <w:r>
              <w:rPr>
                <w:b/>
                <w:color w:val="FFFFFF"/>
                <w:sz w:val="18"/>
              </w:rPr>
              <w:t>What is due</w:t>
            </w:r>
          </w:p>
        </w:tc>
        <w:tc>
          <w:tcPr>
            <w:tcW w:type="dxa" w:w="3480"/>
            <w:shd w:val="clear" w:color="auto" w:fill="1F3556"/>
          </w:tcPr>
          <w:p>
            <w:pPr>
              <w:keepNext/>
              <w:spacing w:before="40" w:after="40"/>
            </w:pPr>
            <w:r>
              <w:rPr>
                <w:b/>
                <w:color w:val="FFFFFF"/>
                <w:sz w:val="18"/>
              </w:rPr>
              <w:t>Rule</w:t>
            </w:r>
          </w:p>
        </w:tc>
        <w:tc>
          <w:tcPr>
            <w:tcW w:type="dxa" w:w="1700"/>
            <w:shd w:val="clear" w:color="auto" w:fill="1F3556"/>
          </w:tcPr>
          <w:p>
            <w:pPr>
              <w:keepNext/>
              <w:spacing w:before="40" w:after="40"/>
            </w:pPr>
            <w:r>
              <w:rPr>
                <w:b/>
                <w:color w:val="FFFFFF"/>
                <w:sz w:val="18"/>
              </w:rPr>
              <w:t>Owner (role)</w:t>
            </w:r>
          </w:p>
        </w:tc>
      </w:tr>
      <w:tr>
        <w:trPr>
          <w:cantSplit w:val="true"/>
        </w:trPr>
        <w:tc>
          <w:tcPr>
            <w:tcW w:type="dxa" w:w="1600"/>
            <w:shd w:val="clear" w:color="auto" w:fill="FFF6E0"/>
          </w:tcPr>
          <w:p>
            <w:pPr>
              <w:spacing w:before="40" w:after="40"/>
            </w:pPr>
            <w:r>
              <w:rPr>
                <w:b w:val="0"/>
                <w:color w:val="808080"/>
                <w:sz w:val="19"/>
              </w:rPr>
              <w:t>__________</w:t>
            </w:r>
          </w:p>
        </w:tc>
        <w:tc>
          <w:tcPr>
            <w:tcW w:type="dxa" w:w="3300"/>
          </w:tcPr>
          <w:p>
            <w:pPr>
              <w:spacing w:before="40" w:after="40"/>
            </w:pPr>
            <w:r>
              <w:rPr>
                <w:b w:val="0"/>
                <w:sz w:val="19"/>
              </w:rPr>
              <w:t>SAM.gov registration renewal</w:t>
            </w:r>
          </w:p>
        </w:tc>
        <w:tc>
          <w:tcPr>
            <w:tcW w:type="dxa" w:w="3480"/>
          </w:tcPr>
          <w:p>
            <w:pPr>
              <w:spacing w:before="40" w:after="40"/>
            </w:pPr>
            <w:r>
              <w:rPr>
                <w:b w:val="0"/>
                <w:sz w:val="19"/>
              </w:rPr>
              <w:t>Every 365 days (SAM.gov)</w:t>
            </w:r>
          </w:p>
        </w:tc>
        <w:tc>
          <w:tcPr>
            <w:tcW w:type="dxa" w:w="1700"/>
            <w:shd w:val="clear" w:color="auto" w:fill="FFF6E0"/>
          </w:tcPr>
          <w:p>
            <w:pPr>
              <w:spacing w:before="40" w:after="40"/>
            </w:pPr>
            <w:r>
              <w:rPr>
                <w:b w:val="0"/>
                <w:color w:val="808080"/>
                <w:sz w:val="19"/>
              </w:rPr>
              <w:t>__________</w:t>
            </w:r>
          </w:p>
        </w:tc>
      </w:tr>
      <w:tr>
        <w:trPr>
          <w:cantSplit w:val="true"/>
        </w:trPr>
        <w:tc>
          <w:tcPr>
            <w:tcW w:type="dxa" w:w="1600"/>
            <w:shd w:val="clear" w:color="auto" w:fill="FFF6E0"/>
          </w:tcPr>
          <w:p>
            <w:pPr>
              <w:spacing w:before="40" w:after="40"/>
            </w:pPr>
            <w:r>
              <w:rPr>
                <w:b w:val="0"/>
                <w:color w:val="808080"/>
                <w:sz w:val="19"/>
              </w:rPr>
              <w:t>__________</w:t>
            </w:r>
          </w:p>
        </w:tc>
        <w:tc>
          <w:tcPr>
            <w:tcW w:type="dxa" w:w="3300"/>
          </w:tcPr>
          <w:p>
            <w:pPr>
              <w:spacing w:before="40" w:after="40"/>
            </w:pPr>
            <w:r>
              <w:rPr>
                <w:b w:val="0"/>
                <w:sz w:val="19"/>
              </w:rPr>
              <w:t>Each interim financial report</w:t>
            </w:r>
          </w:p>
        </w:tc>
        <w:tc>
          <w:tcPr>
            <w:tcW w:type="dxa" w:w="3480"/>
          </w:tcPr>
          <w:p>
            <w:pPr>
              <w:spacing w:before="40" w:after="40"/>
            </w:pPr>
            <w:r>
              <w:rPr>
                <w:b w:val="0"/>
                <w:sz w:val="19"/>
              </w:rPr>
              <w:t>30 days after a quarterly or semiannual period, 90 after an annual one (200.328(c))</w:t>
            </w:r>
          </w:p>
        </w:tc>
        <w:tc>
          <w:tcPr>
            <w:tcW w:type="dxa" w:w="1700"/>
            <w:shd w:val="clear" w:color="auto" w:fill="FFF6E0"/>
          </w:tcPr>
          <w:p>
            <w:pPr>
              <w:spacing w:before="40" w:after="40"/>
            </w:pPr>
            <w:r>
              <w:rPr>
                <w:b w:val="0"/>
                <w:color w:val="808080"/>
                <w:sz w:val="19"/>
              </w:rPr>
              <w:t>__________</w:t>
            </w:r>
          </w:p>
        </w:tc>
      </w:tr>
      <w:tr>
        <w:trPr>
          <w:cantSplit w:val="true"/>
        </w:trPr>
        <w:tc>
          <w:tcPr>
            <w:tcW w:type="dxa" w:w="1600"/>
            <w:shd w:val="clear" w:color="auto" w:fill="FFF6E0"/>
          </w:tcPr>
          <w:p>
            <w:pPr>
              <w:spacing w:before="40" w:after="40"/>
            </w:pPr>
            <w:r>
              <w:rPr>
                <w:b w:val="0"/>
                <w:color w:val="808080"/>
                <w:sz w:val="19"/>
              </w:rPr>
              <w:t>__________</w:t>
            </w:r>
          </w:p>
        </w:tc>
        <w:tc>
          <w:tcPr>
            <w:tcW w:type="dxa" w:w="3300"/>
          </w:tcPr>
          <w:p>
            <w:pPr>
              <w:spacing w:before="40" w:after="40"/>
            </w:pPr>
            <w:r>
              <w:rPr>
                <w:b w:val="0"/>
                <w:sz w:val="19"/>
              </w:rPr>
              <w:t>Each performance report</w:t>
            </w:r>
          </w:p>
        </w:tc>
        <w:tc>
          <w:tcPr>
            <w:tcW w:type="dxa" w:w="3480"/>
          </w:tcPr>
          <w:p>
            <w:pPr>
              <w:spacing w:before="40" w:after="40"/>
            </w:pPr>
            <w:r>
              <w:rPr>
                <w:b w:val="0"/>
                <w:sz w:val="19"/>
              </w:rPr>
              <w:t>Same limits (200.329(c)(1))</w:t>
            </w:r>
          </w:p>
        </w:tc>
        <w:tc>
          <w:tcPr>
            <w:tcW w:type="dxa" w:w="1700"/>
            <w:shd w:val="clear" w:color="auto" w:fill="FFF6E0"/>
          </w:tcPr>
          <w:p>
            <w:pPr>
              <w:spacing w:before="40" w:after="40"/>
            </w:pPr>
            <w:r>
              <w:rPr>
                <w:b w:val="0"/>
                <w:color w:val="808080"/>
                <w:sz w:val="19"/>
              </w:rPr>
              <w:t>__________</w:t>
            </w:r>
          </w:p>
        </w:tc>
      </w:tr>
      <w:tr>
        <w:trPr>
          <w:cantSplit w:val="true"/>
        </w:trPr>
        <w:tc>
          <w:tcPr>
            <w:tcW w:type="dxa" w:w="1600"/>
            <w:shd w:val="clear" w:color="auto" w:fill="FFF6E0"/>
          </w:tcPr>
          <w:p>
            <w:pPr>
              <w:spacing w:before="40" w:after="40"/>
            </w:pPr>
            <w:r>
              <w:rPr>
                <w:b w:val="0"/>
                <w:color w:val="808080"/>
                <w:sz w:val="19"/>
              </w:rPr>
              <w:t>__________</w:t>
            </w:r>
          </w:p>
        </w:tc>
        <w:tc>
          <w:tcPr>
            <w:tcW w:type="dxa" w:w="3300"/>
          </w:tcPr>
          <w:p>
            <w:pPr>
              <w:spacing w:before="40" w:after="40"/>
            </w:pPr>
            <w:r>
              <w:rPr>
                <w:b w:val="0"/>
                <w:sz w:val="19"/>
              </w:rPr>
              <w:t>Final financial and performance reports, liquidation of obligations</w:t>
            </w:r>
          </w:p>
        </w:tc>
        <w:tc>
          <w:tcPr>
            <w:tcW w:type="dxa" w:w="3480"/>
          </w:tcPr>
          <w:p>
            <w:pPr>
              <w:spacing w:before="40" w:after="40"/>
            </w:pPr>
            <w:r>
              <w:rPr>
                <w:b w:val="0"/>
                <w:sz w:val="19"/>
              </w:rPr>
              <w:t>120 days after the period of performance ends; 90 for a subrecipient (200.344(b) and (c))</w:t>
            </w:r>
          </w:p>
        </w:tc>
        <w:tc>
          <w:tcPr>
            <w:tcW w:type="dxa" w:w="1700"/>
            <w:shd w:val="clear" w:color="auto" w:fill="FFF6E0"/>
          </w:tcPr>
          <w:p>
            <w:pPr>
              <w:spacing w:before="40" w:after="40"/>
            </w:pPr>
            <w:r>
              <w:rPr>
                <w:b w:val="0"/>
                <w:color w:val="808080"/>
                <w:sz w:val="19"/>
              </w:rPr>
              <w:t>__________</w:t>
            </w:r>
          </w:p>
        </w:tc>
      </w:tr>
      <w:tr>
        <w:trPr>
          <w:cantSplit w:val="true"/>
        </w:trPr>
        <w:tc>
          <w:tcPr>
            <w:tcW w:type="dxa" w:w="1600"/>
            <w:shd w:val="clear" w:color="auto" w:fill="FFF6E0"/>
          </w:tcPr>
          <w:p>
            <w:pPr>
              <w:spacing w:before="40" w:after="40"/>
            </w:pPr>
            <w:r>
              <w:rPr>
                <w:b w:val="0"/>
                <w:color w:val="808080"/>
                <w:sz w:val="19"/>
              </w:rPr>
              <w:t>__________</w:t>
            </w:r>
          </w:p>
        </w:tc>
        <w:tc>
          <w:tcPr>
            <w:tcW w:type="dxa" w:w="3300"/>
          </w:tcPr>
          <w:p>
            <w:pPr>
              <w:spacing w:before="40" w:after="40"/>
            </w:pPr>
            <w:r>
              <w:rPr>
                <w:b w:val="0"/>
                <w:sz w:val="19"/>
              </w:rPr>
              <w:t>Single Audit reporting package</w:t>
            </w:r>
          </w:p>
        </w:tc>
        <w:tc>
          <w:tcPr>
            <w:tcW w:type="dxa" w:w="3480"/>
          </w:tcPr>
          <w:p>
            <w:pPr>
              <w:spacing w:before="40" w:after="40"/>
            </w:pPr>
            <w:r>
              <w:rPr>
                <w:b w:val="0"/>
                <w:sz w:val="19"/>
              </w:rPr>
              <w:t>Earlier of 30 days after the auditor's report or nine months after the fiscal year ends (200.512(a)(1))</w:t>
            </w:r>
          </w:p>
        </w:tc>
        <w:tc>
          <w:tcPr>
            <w:tcW w:type="dxa" w:w="1700"/>
            <w:shd w:val="clear" w:color="auto" w:fill="FFF6E0"/>
          </w:tcPr>
          <w:p>
            <w:pPr>
              <w:spacing w:before="40" w:after="40"/>
            </w:pPr>
            <w:r>
              <w:rPr>
                <w:b w:val="0"/>
                <w:color w:val="808080"/>
                <w:sz w:val="19"/>
              </w:rPr>
              <w:t>__________</w:t>
            </w:r>
          </w:p>
        </w:tc>
      </w:tr>
      <w:tr>
        <w:trPr>
          <w:cantSplit w:val="true"/>
        </w:trPr>
        <w:tc>
          <w:tcPr>
            <w:tcW w:type="dxa" w:w="1600"/>
            <w:shd w:val="clear" w:color="auto" w:fill="FFF6E0"/>
          </w:tcPr>
          <w:p>
            <w:pPr>
              <w:spacing w:before="40" w:after="40"/>
            </w:pPr>
            <w:r>
              <w:rPr>
                <w:b w:val="0"/>
                <w:color w:val="808080"/>
                <w:sz w:val="19"/>
              </w:rPr>
              <w:t>__________</w:t>
            </w:r>
          </w:p>
        </w:tc>
        <w:tc>
          <w:tcPr>
            <w:tcW w:type="dxa" w:w="3300"/>
          </w:tcPr>
          <w:p>
            <w:pPr>
              <w:spacing w:before="40" w:after="40"/>
            </w:pPr>
            <w:r>
              <w:rPr>
                <w:b w:val="0"/>
                <w:sz w:val="19"/>
              </w:rPr>
              <w:t>End of record retention</w:t>
            </w:r>
          </w:p>
        </w:tc>
        <w:tc>
          <w:tcPr>
            <w:tcW w:type="dxa" w:w="3480"/>
          </w:tcPr>
          <w:p>
            <w:pPr>
              <w:spacing w:before="40" w:after="40"/>
            </w:pPr>
            <w:r>
              <w:rPr>
                <w:b w:val="0"/>
                <w:sz w:val="19"/>
              </w:rPr>
              <w:t>Three years from the final financial report (200.334)</w:t>
            </w:r>
          </w:p>
        </w:tc>
        <w:tc>
          <w:tcPr>
            <w:tcW w:type="dxa" w:w="1700"/>
            <w:shd w:val="clear" w:color="auto" w:fill="FFF6E0"/>
          </w:tcPr>
          <w:p>
            <w:pPr>
              <w:spacing w:before="40" w:after="40"/>
            </w:pPr>
            <w:r>
              <w:rPr>
                <w:b w:val="0"/>
                <w:color w:val="808080"/>
                <w:sz w:val="19"/>
              </w:rPr>
              <w:t>__________</w:t>
            </w:r>
          </w:p>
        </w:tc>
      </w:tr>
    </w:tbl>
    <w:p>
      <w:pPr>
        <w:pStyle w:val="GCCaption"/>
      </w:pPr>
    </w:p>
    <w:p>
      <w:pPr>
        <w:pStyle w:val="Heading1"/>
      </w:pPr>
      <w:r>
        <w:t>Defaults for a small grants office</w:t>
      </w:r>
    </w:p>
    <w:p>
      <w:pPr/>
      <w:r>
        <w:t>A two-person office can be compliant. It cannot run a large university's control structure, so it uses fewer documents and tighter defaults on one calendar.</w:t>
      </w:r>
    </w:p>
    <w:tbl>
      <w:tblPr>
        <w:tblStyle w:val="TableGrid"/>
        <w:tblW w:type="dxa" w:w="10080"/>
        <w:tblLook w:firstColumn="1" w:firstRow="1" w:lastColumn="0" w:lastRow="0" w:noHBand="0" w:noVBand="1" w:val="04A0"/>
        <w:jc w:val="center"/>
        <w:tblLayout w:type="fixed"/>
      </w:tblPr>
      <w:tblGrid>
        <w:gridCol w:w="487"/>
        <w:gridCol w:w="9593"/>
      </w:tblGrid>
      <w:tr>
        <w:trPr>
          <w:tblHeader w:val="true"/>
        </w:trPr>
        <w:tc>
          <w:tcPr>
            <w:tcW w:type="dxa" w:w="487"/>
            <w:shd w:val="clear" w:color="auto" w:fill="1F3556"/>
          </w:tcPr>
          <w:p>
            <w:pPr>
              <w:keepNext/>
              <w:spacing w:before="40" w:after="40"/>
            </w:pPr>
            <w:r>
              <w:rPr>
                <w:b/>
                <w:color w:val="FFFFFF"/>
                <w:sz w:val="18"/>
              </w:rPr>
            </w:r>
          </w:p>
        </w:tc>
        <w:tc>
          <w:tcPr>
            <w:tcW w:type="dxa" w:w="9593"/>
            <w:shd w:val="clear" w:color="auto" w:fill="1F3556"/>
          </w:tcPr>
          <w:p>
            <w:pPr>
              <w:keepNext/>
              <w:spacing w:before="40" w:after="40"/>
            </w:pPr>
            <w:r>
              <w:rPr>
                <w:b/>
                <w:color w:val="FFFFFF"/>
                <w:sz w:val="18"/>
              </w:rPr>
              <w:t>Default</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9593"/>
          </w:tcPr>
          <w:p>
            <w:pPr>
              <w:spacing w:before="40" w:after="40"/>
            </w:pPr>
            <w:r>
              <w:rPr>
                <w:b w:val="0"/>
                <w:sz w:val="19"/>
              </w:rPr>
              <w:t>Elect the de minimis rate if you have no current negotiated rate: up to 15 percent of modified total direct costs. It needs no documentation to justify, may be used indefinitely, and a pass-through entity may not require a lower rate (200.414(f)).</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9593"/>
          </w:tcPr>
          <w:p>
            <w:pPr>
              <w:spacing w:before="40" w:after="40"/>
            </w:pPr>
            <w:r>
              <w:rPr>
                <w:b w:val="0"/>
                <w:sz w:val="19"/>
              </w:rPr>
              <w:t>Set a micro-purchase threshold on purpose. The FAR figure is $15,000, but 200.320(a)(1)(iii) makes the threshold your decision, based on your internal controls, an evaluation of risk and your written procedures.</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9593"/>
          </w:tcPr>
          <w:p>
            <w:pPr>
              <w:spacing w:before="40" w:after="40"/>
            </w:pPr>
            <w:r>
              <w:rPr>
                <w:b w:val="0"/>
                <w:sz w:val="19"/>
              </w:rPr>
              <w:t>Write four short policies, approved and dated: procurement and conflict of interest; cost allowability and prior approval; time and effort; subrecipient monitoring.</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9593"/>
          </w:tcPr>
          <w:p>
            <w:pPr>
              <w:spacing w:before="40" w:after="40"/>
            </w:pPr>
            <w:r>
              <w:rPr>
                <w:b w:val="0"/>
                <w:sz w:val="19"/>
              </w:rPr>
              <w:t>Track Federal expenditures against the $1,000,000 audit line every month, adding subawards you received to your direct awards.</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9593"/>
          </w:tcPr>
          <w:p>
            <w:pPr>
              <w:spacing w:before="40" w:after="40"/>
            </w:pPr>
            <w:r>
              <w:rPr>
                <w:b w:val="0"/>
                <w:sz w:val="19"/>
              </w:rPr>
              <w:t>Keep every date in this file on one calendar with an owner next to it.</w:t>
            </w:r>
          </w:p>
        </w:tc>
      </w:tr>
      <w:tr>
        <w:trPr>
          <w:cantSplit w:val="true"/>
        </w:trPr>
        <w:tc>
          <w:tcPr>
            <w:tcW w:type="dxa" w:w="487"/>
          </w:tcPr>
          <w:p>
            <w:pPr>
              <w:spacing w:before="40" w:after="40"/>
              <w:jc w:val="center"/>
            </w:pPr>
            <w:r>
              <w:rPr>
                <w:rFonts w:ascii="Segoe UI Symbol" w:hAnsi="Segoe UI Symbol" w:cs="Segoe UI Symbol" w:eastAsia="Segoe UI Symbol"/>
                <w:b w:val="0"/>
                <w:sz w:val="24"/>
              </w:rPr>
              <w:t>☐</w:t>
            </w:r>
          </w:p>
        </w:tc>
        <w:tc>
          <w:tcPr>
            <w:tcW w:type="dxa" w:w="9593"/>
          </w:tcPr>
          <w:p>
            <w:pPr>
              <w:spacing w:before="40" w:after="40"/>
            </w:pPr>
            <w:r>
              <w:rPr>
                <w:b w:val="0"/>
                <w:sz w:val="19"/>
              </w:rPr>
              <w:t>Fix audit findings the first time: give each finding an owner and a date, and check progress quarterly.</w:t>
            </w:r>
          </w:p>
        </w:tc>
      </w:tr>
    </w:tbl>
    <w:p>
      <w:pPr>
        <w:pStyle w:val="GCCaption"/>
      </w:pPr>
    </w:p>
    <w:p>
      <w:pPr>
        <w:pStyle w:val="Heading1"/>
      </w:pPr>
      <w:r>
        <w:t>Gap plan</w:t>
      </w:r>
    </w:p>
    <w:p>
      <w:pPr/>
      <w:r>
        <w:t>Every row not marked In place goes here, with an owner and a target date.</w:t>
      </w:r>
    </w:p>
    <w:tbl>
      <w:tblPr>
        <w:tblStyle w:val="TableGrid"/>
        <w:tblW w:type="dxa" w:w="10080"/>
        <w:tblLook w:firstColumn="1" w:firstRow="1" w:lastColumn="0" w:lastRow="0" w:noHBand="0" w:noVBand="1" w:val="04A0"/>
        <w:jc w:val="center"/>
        <w:tblLayout w:type="fixed"/>
      </w:tblPr>
      <w:tblGrid>
        <w:gridCol w:w="700"/>
        <w:gridCol w:w="4380"/>
        <w:gridCol w:w="1700"/>
        <w:gridCol w:w="1800"/>
        <w:gridCol w:w="1500"/>
      </w:tblGrid>
      <w:tr>
        <w:trPr>
          <w:tblHeader w:val="true"/>
        </w:trPr>
        <w:tc>
          <w:tcPr>
            <w:tcW w:type="dxa" w:w="700"/>
            <w:shd w:val="clear" w:color="auto" w:fill="1F3556"/>
          </w:tcPr>
          <w:p>
            <w:pPr>
              <w:keepNext/>
              <w:spacing w:before="40" w:after="40"/>
            </w:pPr>
            <w:r>
              <w:rPr>
                <w:b/>
                <w:color w:val="FFFFFF"/>
                <w:sz w:val="18"/>
              </w:rPr>
              <w:t>Done</w:t>
            </w:r>
          </w:p>
        </w:tc>
        <w:tc>
          <w:tcPr>
            <w:tcW w:type="dxa" w:w="4380"/>
            <w:shd w:val="clear" w:color="auto" w:fill="1F3556"/>
          </w:tcPr>
          <w:p>
            <w:pPr>
              <w:keepNext/>
              <w:spacing w:before="40" w:after="40"/>
            </w:pPr>
            <w:r>
              <w:rPr>
                <w:b/>
                <w:color w:val="FFFFFF"/>
                <w:sz w:val="18"/>
              </w:rPr>
              <w:t>Gap</w:t>
            </w:r>
          </w:p>
        </w:tc>
        <w:tc>
          <w:tcPr>
            <w:tcW w:type="dxa" w:w="1700"/>
            <w:shd w:val="clear" w:color="auto" w:fill="1F3556"/>
          </w:tcPr>
          <w:p>
            <w:pPr>
              <w:keepNext/>
              <w:spacing w:before="40" w:after="40"/>
            </w:pPr>
            <w:r>
              <w:rPr>
                <w:b/>
                <w:color w:val="FFFFFF"/>
                <w:sz w:val="18"/>
              </w:rPr>
              <w:t>Citation</w:t>
            </w:r>
          </w:p>
        </w:tc>
        <w:tc>
          <w:tcPr>
            <w:tcW w:type="dxa" w:w="1800"/>
            <w:shd w:val="clear" w:color="auto" w:fill="1F3556"/>
          </w:tcPr>
          <w:p>
            <w:pPr>
              <w:keepNext/>
              <w:spacing w:before="40" w:after="40"/>
            </w:pPr>
            <w:r>
              <w:rPr>
                <w:b/>
                <w:color w:val="FFFFFF"/>
                <w:sz w:val="18"/>
              </w:rPr>
              <w:t>Owner (role)</w:t>
            </w:r>
          </w:p>
        </w:tc>
        <w:tc>
          <w:tcPr>
            <w:tcW w:type="dxa" w:w="1500"/>
            <w:shd w:val="clear" w:color="auto" w:fill="1F3556"/>
          </w:tcPr>
          <w:p>
            <w:pPr>
              <w:keepNext/>
              <w:spacing w:before="40" w:after="40"/>
            </w:pPr>
            <w:r>
              <w:rPr>
                <w:b/>
                <w:color w:val="FFFFFF"/>
                <w:sz w:val="18"/>
              </w:rPr>
              <w:t>Target date</w:t>
            </w:r>
          </w:p>
        </w:tc>
      </w:tr>
      <w:tr>
        <w:trPr>
          <w:cantSplit w:val="true"/>
        </w:trPr>
        <w:tc>
          <w:tcPr>
            <w:tcW w:type="dxa" w:w="700"/>
          </w:tcPr>
          <w:p>
            <w:pPr>
              <w:spacing w:before="40" w:after="40"/>
              <w:jc w:val="center"/>
            </w:pPr>
            <w:r>
              <w:rPr>
                <w:rFonts w:ascii="Segoe UI Symbol" w:hAnsi="Segoe UI Symbol" w:cs="Segoe UI Symbol" w:eastAsia="Segoe UI Symbol"/>
                <w:b w:val="0"/>
                <w:sz w:val="24"/>
              </w:rPr>
              <w:t>☐</w:t>
            </w:r>
          </w:p>
        </w:tc>
        <w:tc>
          <w:tcPr>
            <w:tcW w:type="dxa" w:w="43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c>
          <w:tcPr>
            <w:tcW w:type="dxa" w:w="18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700"/>
          </w:tcPr>
          <w:p>
            <w:pPr>
              <w:spacing w:before="40" w:after="40"/>
              <w:jc w:val="center"/>
            </w:pPr>
            <w:r>
              <w:rPr>
                <w:rFonts w:ascii="Segoe UI Symbol" w:hAnsi="Segoe UI Symbol" w:cs="Segoe UI Symbol" w:eastAsia="Segoe UI Symbol"/>
                <w:b w:val="0"/>
                <w:sz w:val="24"/>
              </w:rPr>
              <w:t>☐</w:t>
            </w:r>
          </w:p>
        </w:tc>
        <w:tc>
          <w:tcPr>
            <w:tcW w:type="dxa" w:w="43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c>
          <w:tcPr>
            <w:tcW w:type="dxa" w:w="18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700"/>
          </w:tcPr>
          <w:p>
            <w:pPr>
              <w:spacing w:before="40" w:after="40"/>
              <w:jc w:val="center"/>
            </w:pPr>
            <w:r>
              <w:rPr>
                <w:rFonts w:ascii="Segoe UI Symbol" w:hAnsi="Segoe UI Symbol" w:cs="Segoe UI Symbol" w:eastAsia="Segoe UI Symbol"/>
                <w:b w:val="0"/>
                <w:sz w:val="24"/>
              </w:rPr>
              <w:t>☐</w:t>
            </w:r>
          </w:p>
        </w:tc>
        <w:tc>
          <w:tcPr>
            <w:tcW w:type="dxa" w:w="43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c>
          <w:tcPr>
            <w:tcW w:type="dxa" w:w="18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700"/>
          </w:tcPr>
          <w:p>
            <w:pPr>
              <w:spacing w:before="40" w:after="40"/>
              <w:jc w:val="center"/>
            </w:pPr>
            <w:r>
              <w:rPr>
                <w:rFonts w:ascii="Segoe UI Symbol" w:hAnsi="Segoe UI Symbol" w:cs="Segoe UI Symbol" w:eastAsia="Segoe UI Symbol"/>
                <w:b w:val="0"/>
                <w:sz w:val="24"/>
              </w:rPr>
              <w:t>☐</w:t>
            </w:r>
          </w:p>
        </w:tc>
        <w:tc>
          <w:tcPr>
            <w:tcW w:type="dxa" w:w="43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c>
          <w:tcPr>
            <w:tcW w:type="dxa" w:w="18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700"/>
          </w:tcPr>
          <w:p>
            <w:pPr>
              <w:spacing w:before="40" w:after="40"/>
              <w:jc w:val="center"/>
            </w:pPr>
            <w:r>
              <w:rPr>
                <w:rFonts w:ascii="Segoe UI Symbol" w:hAnsi="Segoe UI Symbol" w:cs="Segoe UI Symbol" w:eastAsia="Segoe UI Symbol"/>
                <w:b w:val="0"/>
                <w:sz w:val="24"/>
              </w:rPr>
              <w:t>☐</w:t>
            </w:r>
          </w:p>
        </w:tc>
        <w:tc>
          <w:tcPr>
            <w:tcW w:type="dxa" w:w="43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c>
          <w:tcPr>
            <w:tcW w:type="dxa" w:w="18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700"/>
          </w:tcPr>
          <w:p>
            <w:pPr>
              <w:spacing w:before="40" w:after="40"/>
              <w:jc w:val="center"/>
            </w:pPr>
            <w:r>
              <w:rPr>
                <w:rFonts w:ascii="Segoe UI Symbol" w:hAnsi="Segoe UI Symbol" w:cs="Segoe UI Symbol" w:eastAsia="Segoe UI Symbol"/>
                <w:b w:val="0"/>
                <w:sz w:val="24"/>
              </w:rPr>
              <w:t>☐</w:t>
            </w:r>
          </w:p>
        </w:tc>
        <w:tc>
          <w:tcPr>
            <w:tcW w:type="dxa" w:w="43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c>
          <w:tcPr>
            <w:tcW w:type="dxa" w:w="18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700"/>
          </w:tcPr>
          <w:p>
            <w:pPr>
              <w:spacing w:before="40" w:after="40"/>
              <w:jc w:val="center"/>
            </w:pPr>
            <w:r>
              <w:rPr>
                <w:rFonts w:ascii="Segoe UI Symbol" w:hAnsi="Segoe UI Symbol" w:cs="Segoe UI Symbol" w:eastAsia="Segoe UI Symbol"/>
                <w:b w:val="0"/>
                <w:sz w:val="24"/>
              </w:rPr>
              <w:t>☐</w:t>
            </w:r>
          </w:p>
        </w:tc>
        <w:tc>
          <w:tcPr>
            <w:tcW w:type="dxa" w:w="43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c>
          <w:tcPr>
            <w:tcW w:type="dxa" w:w="18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r>
        <w:trPr>
          <w:cantSplit w:val="true"/>
        </w:trPr>
        <w:tc>
          <w:tcPr>
            <w:tcW w:type="dxa" w:w="700"/>
          </w:tcPr>
          <w:p>
            <w:pPr>
              <w:spacing w:before="40" w:after="40"/>
              <w:jc w:val="center"/>
            </w:pPr>
            <w:r>
              <w:rPr>
                <w:rFonts w:ascii="Segoe UI Symbol" w:hAnsi="Segoe UI Symbol" w:cs="Segoe UI Symbol" w:eastAsia="Segoe UI Symbol"/>
                <w:b w:val="0"/>
                <w:sz w:val="24"/>
              </w:rPr>
              <w:t>☐</w:t>
            </w:r>
          </w:p>
        </w:tc>
        <w:tc>
          <w:tcPr>
            <w:tcW w:type="dxa" w:w="4380"/>
            <w:shd w:val="clear" w:color="auto" w:fill="FFF6E0"/>
          </w:tcPr>
          <w:p>
            <w:pPr>
              <w:spacing w:before="40" w:after="40"/>
            </w:pPr>
            <w:r>
              <w:rPr>
                <w:b w:val="0"/>
                <w:color w:val="808080"/>
                <w:sz w:val="19"/>
              </w:rPr>
              <w:t>__________</w:t>
            </w:r>
          </w:p>
        </w:tc>
        <w:tc>
          <w:tcPr>
            <w:tcW w:type="dxa" w:w="1700"/>
            <w:shd w:val="clear" w:color="auto" w:fill="FFF6E0"/>
          </w:tcPr>
          <w:p>
            <w:pPr>
              <w:spacing w:before="40" w:after="40"/>
            </w:pPr>
            <w:r>
              <w:rPr>
                <w:b w:val="0"/>
                <w:color w:val="808080"/>
                <w:sz w:val="19"/>
              </w:rPr>
              <w:t>__________</w:t>
            </w:r>
          </w:p>
        </w:tc>
        <w:tc>
          <w:tcPr>
            <w:tcW w:type="dxa" w:w="1800"/>
            <w:shd w:val="clear" w:color="auto" w:fill="FFF6E0"/>
          </w:tcPr>
          <w:p>
            <w:pPr>
              <w:spacing w:before="40" w:after="40"/>
            </w:pPr>
            <w:r>
              <w:rPr>
                <w:b w:val="0"/>
                <w:color w:val="808080"/>
                <w:sz w:val="19"/>
              </w:rPr>
              <w:t>__________</w:t>
            </w:r>
          </w:p>
        </w:tc>
        <w:tc>
          <w:tcPr>
            <w:tcW w:type="dxa" w:w="1500"/>
            <w:shd w:val="clear" w:color="auto" w:fill="FFF6E0"/>
          </w:tcPr>
          <w:p>
            <w:pPr>
              <w:spacing w:before="40" w:after="40"/>
            </w:pPr>
            <w:r>
              <w:rPr>
                <w:b w:val="0"/>
                <w:color w:val="808080"/>
                <w:sz w:val="19"/>
              </w:rPr>
              <w:t>__________</w:t>
            </w:r>
          </w:p>
        </w:tc>
      </w:tr>
    </w:tbl>
    <w:p>
      <w:pPr>
        <w:pStyle w:val="GCCaption"/>
      </w:pPr>
    </w:p>
    <w:p>
      <w:pPr>
        <w:pStyle w:val="Heading1"/>
      </w:pPr>
      <w:r>
        <w:t>Sources</w:t>
      </w:r>
    </w:p>
    <w:p>
      <w:pPr/>
      <w:r>
        <w:t>2 CFR part 200, Guidance for Federal Financial Assistance, sections 200.1, 200.113, 200.216, 200.302, 200.303, 200.306, 200.313, 200.314, 200.318, 200.320, 200.328, 200.329, 200.331, 200.332, 200.333, 200.334, 200.344, 200.403, 200.407, 200.414, 200.430, 200.501, 200.510, 200.511, 200.512, 200.518 and 200.520, as in force on October 1, 2026 (eCFR, read October 6, 2026). 2 CFR 25.200 (SAM.gov registration). 2 CFR part 180 (suspension and debarment). 48 CFR 2.101, definitions of the micro-purchase and simplified acquisition thresholds (eCFR, read October 6, 2026). OMB, Guidance for Federal Financial Assistance, 89 FR 30046, April 22, 2024. HHS adoption of 2 CFR part 200, 89 FR 80055, October 2, 2024. FAR Case 2024-001, Inflation Adjustment of Acquisition-Related Thresholds, 90 FR 41872, August 27, 2025. OMB, 2025 Compliance Supplement notice, 90 FR 54400, November 26, 2025. SAM.gov, entity registration renewal.</w:t>
      </w:r>
    </w:p>
    <w:p>
      <w:pPr>
        <w:pStyle w:val="Heading1"/>
      </w:pPr>
      <w:r>
        <w:t>Reuse notes</w:t>
      </w:r>
    </w:p>
    <w:p>
      <w:pPr/>
      <w:r>
        <w:t>Save a clean, unticked copy of this file as the master. For each new award, copy the master, fill the cover block, and work the phase tables before the first drawdown. Add rows where your award terms add requirements, and cite the term the row comes from.</w:t>
      </w:r>
    </w:p>
    <w:p>
      <w:pPr/>
      <w:r>
        <w:t>When the rules change, the thresholds table changes first. Check the date at the top of the eCFR page for 2 CFR part 200 before each new award year.</w:t>
      </w:r>
    </w:p>
    <w:p>
      <w:pPr/>
      <w:r>
        <w:t>Free to use, copy and share. No attribution required, though a link is always welcome.</w:t>
      </w:r>
    </w:p>
    <w:p>
      <w:pPr/>
      <w:r>
        <w:t>More templates, worked examples and grant management tools: grantcue.com/blog</w:t>
      </w:r>
    </w:p>
    <w:p>
      <w:pPr>
        <w:pStyle w:val="GCMeta"/>
      </w:pPr>
      <w:r>
        <w:t>Source: https://www.grantcue.com/blog/federal-grant-compliance-checklist | GrantCue</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color w:val="7F7F7F"/>
        <w:sz w:val="16"/>
      </w:rPr>
      <w:t>Federal Grant Compliance Checklist  |  Award: ____________________  |  Review date: ____________</w:t>
    </w:r>
  </w:p>
  <w:p>
    <w:pPr>
      <w:jc w:val="left"/>
    </w:pPr>
    <w:r>
      <w:rPr>
        <w:color w:val="7F7F7F"/>
        <w:sz w:val="16"/>
      </w:rPr>
      <w:t>Source: https://www.grantcue.com/blog/federal-grant-compliance-checklist | GrantCue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before="0"/>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Theme="majorHAnsi" w:eastAsiaTheme="majorEastAsia" w:hAnsiTheme="majorHAnsi" w:cstheme="majorBidi" w:ascii="Calibri" w:hAnsi="Calibri"/>
      <w:b/>
      <w:bCs/>
      <w:color w:val="1F3556"/>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b/>
      <w:bCs/>
      <w:color w:val="1F355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F355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GCSubtitle">
    <w:name w:val="GC Subtitle"/>
    <w:basedOn w:val="Normal"/>
    <w:pPr>
      <w:spacing w:after="40" w:before="0"/>
    </w:pPr>
    <w:rPr>
      <w:rFonts w:ascii="Calibri" w:hAnsi="Calibri"/>
      <w:b w:val="0"/>
      <w:i/>
      <w:color w:val="44546A"/>
      <w:sz w:val="26"/>
    </w:rPr>
  </w:style>
  <w:style w:type="paragraph" w:customStyle="1" w:styleId="GCMeta">
    <w:name w:val="GC Meta"/>
    <w:basedOn w:val="Normal"/>
    <w:pPr>
      <w:spacing w:after="200" w:before="0"/>
    </w:pPr>
    <w:rPr>
      <w:rFonts w:ascii="Calibri" w:hAnsi="Calibri"/>
      <w:b w:val="0"/>
      <w:i w:val="0"/>
      <w:color w:val="7F7F7F"/>
      <w:sz w:val="17"/>
    </w:rPr>
  </w:style>
  <w:style w:type="paragraph" w:customStyle="1" w:styleId="GCFill">
    <w:name w:val="GC Fill"/>
    <w:basedOn w:val="Normal"/>
    <w:pPr>
      <w:spacing w:after="80" w:before="0"/>
    </w:pPr>
    <w:rPr>
      <w:rFonts w:ascii="Calibri" w:hAnsi="Calibri"/>
      <w:b w:val="0"/>
      <w:i w:val="0"/>
      <w:color w:val="1F3556"/>
      <w:sz w:val="21"/>
    </w:rPr>
  </w:style>
  <w:style w:type="paragraph" w:customStyle="1" w:styleId="GCCaption">
    <w:name w:val="GC Caption"/>
    <w:basedOn w:val="Normal"/>
    <w:pPr>
      <w:spacing w:after="200" w:before="0"/>
    </w:pPr>
    <w:rPr>
      <w:rFonts w:ascii="Calibri" w:hAnsi="Calibri"/>
      <w:b w:val="0"/>
      <w:i/>
      <w:color w:val="7F7F7F"/>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 Grant Compliance Checklist</dc:title>
  <dc:subject>Federal grant compliance checklist: 2 CFR 200 obligations by award phase, thresholds and audit readiness</dc:subject>
  <dc:creator>GrantCue</dc:creator>
  <cp:keywords/>
  <dc:description/>
  <cp:lastModifiedBy>GrantCue</cp:lastModifiedBy>
  <cp:revision>1</cp:revision>
  <dcterms:created xsi:type="dcterms:W3CDTF">2026-10-06T12:00:00Z</dcterms:created>
  <dcterms:modified xsi:type="dcterms:W3CDTF">2026-10-06T12:00:00Z</dcterms:modified>
  <cp:category/>
</cp:coreProperties>
</file>