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Evaluation Plan Builder</w:t>
      </w:r>
    </w:p>
    <w:p>
      <w:pPr>
        <w:pStyle w:val="GCSubtitle"/>
      </w:pPr>
      <w:r>
        <w:t>The exact structure funders expect, with a worked example</w:t>
      </w:r>
    </w:p>
    <w:p>
      <w:pPr>
        <w:pStyle w:val="GCMeta"/>
      </w:pPr>
      <w:r>
        <w:t>Version 1.0  |  September 2026  |  Published by GrantCue  |  Free to copy, edit, and share</w:t>
      </w:r>
    </w:p>
    <w:p>
      <w:pPr>
        <w:pStyle w:val="Heading1"/>
      </w:pPr>
      <w:r>
        <w:t>How to use this builder</w:t>
      </w:r>
    </w:p>
    <w:p>
      <w:r>
        <w:t>The evaluation plan is the section where a funder decides whether anyone will ever know if the money worked. Reviewers read it for seven specific things. This file gives you all seven, in the order they depend on each other, with a complete worked example you can adapt sentence by sentence and worksheets to draft your own.</w:t>
      </w:r>
    </w:p>
    <w:p>
      <w:r>
        <w:t>Work in this order. Finish your goals and objectives first, because every part of an evaluation plan is derived from them and a vague objective can only produce a vague evaluation plan. Then read the funder's instructions and note which of the seven parts they ask for by name. Then draft the seven passes in Section 2, using the worked example in Section 4 as a model for tone and level of detail. Fill in the worksheets in Section 6 as you go. Run the pre-submission check in Section 10 before the section leaves your desk.</w:t>
      </w:r>
    </w:p>
    <w:p>
      <w:r>
        <w:t>One rule overrides everything in this file: the funder's own instructions. Where a notice of funding opportunity specifies a design, a required instrument, a reporting cadence, or an independent evaluator, that requirement wins. A method the notice rules out is not a method you can propose, however good it is.</w:t>
      </w:r>
    </w:p>
    <w:p>
      <w:pPr>
        <w:pStyle w:val="Heading2"/>
      </w:pPr>
      <w:r>
        <w:t>What the blocks in this file mean</w:t>
      </w:r>
    </w:p>
    <w:tbl>
      <w:tblPr>
        <w:tblStyle w:val="TableGrid"/>
        <w:tblW w:type="auto" w:w="0"/>
        <w:jc w:val="left"/>
        <w:tblLayout w:type="fixed"/>
        <w:tblLook w:firstColumn="1" w:firstRow="1" w:lastColumn="0" w:lastRow="0" w:noHBand="0" w:noVBand="1" w:val="04A0"/>
      </w:tblPr>
      <w:tblGrid>
        <w:gridCol w:w="4680"/>
        <w:gridCol w:w="4680"/>
      </w:tblGrid>
      <w:tr>
        <w:trPr>
          <w:tblHeader w:val="true"/>
        </w:trPr>
        <w:tc>
          <w:tcPr>
            <w:tcW w:type="dxa" w:w="2736"/>
            <w:shd w:val="clear" w:color="auto" w:fill="E3E9EE"/>
          </w:tcPr>
          <w:p>
            <w:pPr>
              <w:spacing w:before="40" w:after="40" w:line="252" w:lineRule="auto"/>
            </w:pPr>
            <w:r/>
            <w:r>
              <w:rPr>
                <w:rFonts w:ascii="Calibri" w:hAnsi="Calibri"/>
                <w:b/>
                <w:i w:val="0"/>
                <w:color w:val="0F5F63"/>
                <w:sz w:val="19"/>
              </w:rPr>
              <w:t>Block</w:t>
            </w:r>
          </w:p>
        </w:tc>
        <w:tc>
          <w:tcPr>
            <w:tcW w:type="dxa" w:w="6624"/>
            <w:shd w:val="clear" w:color="auto" w:fill="E3E9EE"/>
          </w:tcPr>
          <w:p>
            <w:pPr>
              <w:spacing w:before="40" w:after="40" w:line="252" w:lineRule="auto"/>
            </w:pPr>
            <w:r/>
            <w:r>
              <w:rPr>
                <w:rFonts w:ascii="Calibri" w:hAnsi="Calibri"/>
                <w:b/>
                <w:i w:val="0"/>
                <w:color w:val="0F5F63"/>
                <w:sz w:val="19"/>
              </w:rPr>
              <w:t>What it is</w:t>
            </w:r>
          </w:p>
        </w:tc>
      </w:tr>
      <w:tr>
        <w:tc>
          <w:tcPr>
            <w:tcW w:type="dxa" w:w="2736"/>
          </w:tcPr>
          <w:p>
            <w:pPr>
              <w:spacing w:before="40" w:after="40" w:line="252" w:lineRule="auto"/>
            </w:pPr>
            <w:r/>
            <w:r>
              <w:rPr>
                <w:rFonts w:ascii="Calibri" w:hAnsi="Calibri"/>
                <w:b w:val="0"/>
                <w:i w:val="0"/>
                <w:color w:val="1F2A37"/>
                <w:sz w:val="19"/>
              </w:rPr>
              <w:t>Guidance (grey italic)</w:t>
            </w:r>
          </w:p>
        </w:tc>
        <w:tc>
          <w:tcPr>
            <w:tcW w:type="dxa" w:w="6624"/>
          </w:tcPr>
          <w:p>
            <w:pPr>
              <w:spacing w:before="40" w:after="40" w:line="252" w:lineRule="auto"/>
            </w:pPr>
            <w:r/>
            <w:r>
              <w:rPr>
                <w:rFonts w:ascii="Calibri" w:hAnsi="Calibri"/>
                <w:b w:val="0"/>
                <w:i w:val="0"/>
                <w:color w:val="1F2A37"/>
                <w:sz w:val="19"/>
              </w:rPr>
              <w:t>How to think about the part, and what a reviewer is scoring.</w:t>
            </w:r>
          </w:p>
        </w:tc>
      </w:tr>
      <w:tr>
        <w:tc>
          <w:tcPr>
            <w:tcW w:type="dxa" w:w="2736"/>
          </w:tcPr>
          <w:p>
            <w:pPr>
              <w:spacing w:before="40" w:after="40" w:line="252" w:lineRule="auto"/>
            </w:pPr>
            <w:r/>
            <w:r>
              <w:rPr>
                <w:rFonts w:ascii="Calibri" w:hAnsi="Calibri"/>
                <w:b w:val="0"/>
                <w:i w:val="0"/>
                <w:color w:val="1F2A37"/>
                <w:sz w:val="19"/>
              </w:rPr>
              <w:t>Weak / Strong tables</w:t>
            </w:r>
          </w:p>
        </w:tc>
        <w:tc>
          <w:tcPr>
            <w:tcW w:type="dxa" w:w="6624"/>
          </w:tcPr>
          <w:p>
            <w:pPr>
              <w:spacing w:before="40" w:after="40" w:line="252" w:lineRule="auto"/>
            </w:pPr>
            <w:r/>
            <w:r>
              <w:rPr>
                <w:rFonts w:ascii="Calibri" w:hAnsi="Calibri"/>
                <w:b w:val="0"/>
                <w:i w:val="0"/>
                <w:color w:val="1F2A37"/>
                <w:sz w:val="19"/>
              </w:rPr>
              <w:t>The same idea written badly and written well, so you can see the gap.</w:t>
            </w:r>
          </w:p>
        </w:tc>
      </w:tr>
      <w:tr>
        <w:tc>
          <w:tcPr>
            <w:tcW w:type="dxa" w:w="2736"/>
          </w:tcPr>
          <w:p>
            <w:pPr>
              <w:spacing w:before="40" w:after="40" w:line="252" w:lineRule="auto"/>
            </w:pPr>
            <w:r/>
            <w:r>
              <w:rPr>
                <w:rFonts w:ascii="Calibri" w:hAnsi="Calibri"/>
                <w:b w:val="0"/>
                <w:i w:val="0"/>
                <w:color w:val="1F2A37"/>
                <w:sz w:val="19"/>
              </w:rPr>
              <w:t>Worked example</w:t>
            </w:r>
          </w:p>
        </w:tc>
        <w:tc>
          <w:tcPr>
            <w:tcW w:type="dxa" w:w="6624"/>
          </w:tcPr>
          <w:p>
            <w:pPr>
              <w:spacing w:before="40" w:after="40" w:line="252" w:lineRule="auto"/>
            </w:pPr>
            <w:r/>
            <w:r>
              <w:rPr>
                <w:rFonts w:ascii="Calibri" w:hAnsi="Calibri"/>
                <w:b w:val="0"/>
                <w:i w:val="0"/>
                <w:color w:val="1F2A37"/>
                <w:sz w:val="19"/>
              </w:rPr>
              <w:t>Complete, adaptable language from a composite organization. Not filler.</w:t>
            </w:r>
          </w:p>
        </w:tc>
      </w:tr>
      <w:tr>
        <w:tc>
          <w:tcPr>
            <w:tcW w:type="dxa" w:w="2736"/>
          </w:tcPr>
          <w:p>
            <w:pPr>
              <w:spacing w:before="40" w:after="40" w:line="252" w:lineRule="auto"/>
            </w:pPr>
            <w:r/>
            <w:r>
              <w:rPr>
                <w:rFonts w:ascii="Calibri" w:hAnsi="Calibri"/>
                <w:b w:val="0"/>
                <w:i w:val="0"/>
                <w:color w:val="1F2A37"/>
                <w:sz w:val="19"/>
              </w:rPr>
              <w:t>Pattern / Completed</w:t>
            </w:r>
          </w:p>
        </w:tc>
        <w:tc>
          <w:tcPr>
            <w:tcW w:type="dxa" w:w="6624"/>
          </w:tcPr>
          <w:p>
            <w:pPr>
              <w:spacing w:before="40" w:after="40" w:line="252" w:lineRule="auto"/>
            </w:pPr>
            <w:r/>
            <w:r>
              <w:rPr>
                <w:rFonts w:ascii="Calibri" w:hAnsi="Calibri"/>
                <w:b w:val="0"/>
                <w:i w:val="0"/>
                <w:color w:val="1F2A37"/>
                <w:sz w:val="19"/>
              </w:rPr>
              <w:t>A sentence skeleton with a finished version underneath it.</w:t>
            </w:r>
          </w:p>
        </w:tc>
      </w:tr>
      <w:tr>
        <w:tc>
          <w:tcPr>
            <w:tcW w:type="dxa" w:w="2736"/>
          </w:tcPr>
          <w:p>
            <w:pPr>
              <w:spacing w:before="40" w:after="40" w:line="252" w:lineRule="auto"/>
            </w:pPr>
            <w:r/>
            <w:r>
              <w:rPr>
                <w:rFonts w:ascii="Calibri" w:hAnsi="Calibri"/>
                <w:b w:val="0"/>
                <w:i w:val="0"/>
                <w:color w:val="1F2A37"/>
                <w:sz w:val="19"/>
              </w:rPr>
              <w:t>Worksheet</w:t>
            </w:r>
          </w:p>
        </w:tc>
        <w:tc>
          <w:tcPr>
            <w:tcW w:type="dxa" w:w="6624"/>
          </w:tcPr>
          <w:p>
            <w:pPr>
              <w:spacing w:before="40" w:after="40" w:line="252" w:lineRule="auto"/>
            </w:pPr>
            <w:r/>
            <w:r>
              <w:rPr>
                <w:rFonts w:ascii="Calibri" w:hAnsi="Calibri"/>
                <w:b w:val="0"/>
                <w:i w:val="0"/>
                <w:color w:val="1F2A37"/>
                <w:sz w:val="19"/>
              </w:rPr>
              <w:t>Blank rows for your own plan, with one example row to replace.</w:t>
            </w:r>
          </w:p>
        </w:tc>
      </w:tr>
    </w:tbl>
    <w:p>
      <w:pPr>
        <w:spacing w:after="80"/>
      </w:pPr>
    </w:p>
    <w:p>
      <w:pPr>
        <w:pStyle w:val="Heading2"/>
      </w:pPr>
      <w:r>
        <w:t>About the worked examples</w:t>
      </w:r>
    </w:p>
    <w:p>
      <w:r>
        <w:t>Every example in this file is written for Riverbend Literacy Collaborative and Eastfield Works, two invented composite organizations created for teaching purposes. They are not real grantees, no real person appears in this file, and every figure in the examples is illustrative rather than a published statistic. Adapt the wording, replace the numbers with your own, and never submit a document that still says Riverbend or Eastfield.</w:t>
      </w:r>
    </w:p>
    <w:p>
      <w:r>
        <w:t>Funder names are deliberately left as [Funder name]. Replace that placeholder everywhere it appears before you submit, and do not attribute a requirement to a funder unless you read it in their notice.</w:t>
      </w:r>
    </w:p>
    <w:p>
      <w:pPr>
        <w:pStyle w:val="Heading1"/>
      </w:pPr>
      <w:r>
        <w:t>1. The seven parts funders read for</w:t>
      </w:r>
    </w:p>
    <w:p>
      <w:pPr>
        <w:pStyle w:val="GCGuidance"/>
      </w:pPr>
      <w:r>
        <w:t>An application form may prompt for only two or three of these. Write the rest in anyway. Reviewers score against a rubric that usually covers all seven, and the parts a form omits are the parts weak applications leave out.</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1872"/>
            <w:shd w:val="clear" w:color="auto" w:fill="E3E9EE"/>
          </w:tcPr>
          <w:p>
            <w:pPr>
              <w:spacing w:before="40" w:after="40" w:line="252" w:lineRule="auto"/>
            </w:pPr>
            <w:r/>
            <w:r>
              <w:rPr>
                <w:rFonts w:ascii="Calibri" w:hAnsi="Calibri"/>
                <w:b/>
                <w:i w:val="0"/>
                <w:color w:val="0F5F63"/>
                <w:sz w:val="19"/>
              </w:rPr>
              <w:t>Part</w:t>
            </w:r>
          </w:p>
        </w:tc>
        <w:tc>
          <w:tcPr>
            <w:tcW w:type="dxa" w:w="2160"/>
            <w:shd w:val="clear" w:color="auto" w:fill="E3E9EE"/>
          </w:tcPr>
          <w:p>
            <w:pPr>
              <w:spacing w:before="40" w:after="40" w:line="252" w:lineRule="auto"/>
            </w:pPr>
            <w:r/>
            <w:r>
              <w:rPr>
                <w:rFonts w:ascii="Calibri" w:hAnsi="Calibri"/>
                <w:b/>
                <w:i w:val="0"/>
                <w:color w:val="0F5F63"/>
                <w:sz w:val="19"/>
              </w:rPr>
              <w:t>The question it answers</w:t>
            </w:r>
          </w:p>
        </w:tc>
        <w:tc>
          <w:tcPr>
            <w:tcW w:type="dxa" w:w="3456"/>
            <w:shd w:val="clear" w:color="auto" w:fill="E3E9EE"/>
          </w:tcPr>
          <w:p>
            <w:pPr>
              <w:spacing w:before="40" w:after="40" w:line="252" w:lineRule="auto"/>
            </w:pPr>
            <w:r/>
            <w:r>
              <w:rPr>
                <w:rFonts w:ascii="Calibri" w:hAnsi="Calibri"/>
                <w:b/>
                <w:i w:val="0"/>
                <w:color w:val="0F5F63"/>
                <w:sz w:val="19"/>
              </w:rPr>
              <w:t>What reviewers want to see</w:t>
            </w:r>
          </w:p>
        </w:tc>
        <w:tc>
          <w:tcPr>
            <w:tcW w:type="dxa" w:w="1872"/>
            <w:shd w:val="clear" w:color="auto" w:fill="E3E9EE"/>
          </w:tcPr>
          <w:p>
            <w:pPr>
              <w:spacing w:before="40" w:after="40" w:line="252" w:lineRule="auto"/>
            </w:pPr>
            <w:r/>
            <w:r>
              <w:rPr>
                <w:rFonts w:ascii="Calibri" w:hAnsi="Calibri"/>
                <w:b/>
                <w:i w:val="0"/>
                <w:color w:val="0F5F63"/>
                <w:sz w:val="19"/>
              </w:rPr>
              <w:t>Done when</w:t>
            </w:r>
          </w:p>
        </w:tc>
      </w:tr>
      <w:tr>
        <w:tc>
          <w:tcPr>
            <w:tcW w:type="dxa" w:w="1872"/>
          </w:tcPr>
          <w:p>
            <w:pPr>
              <w:spacing w:before="40" w:after="40" w:line="252" w:lineRule="auto"/>
            </w:pPr>
            <w:r/>
            <w:r>
              <w:rPr>
                <w:rFonts w:ascii="Calibri" w:hAnsi="Calibri"/>
                <w:b w:val="0"/>
                <w:i w:val="0"/>
                <w:color w:val="1F2A37"/>
                <w:sz w:val="19"/>
              </w:rPr>
              <w:t>1. Evaluation questions</w:t>
            </w:r>
          </w:p>
        </w:tc>
        <w:tc>
          <w:tcPr>
            <w:tcW w:type="dxa" w:w="2160"/>
          </w:tcPr>
          <w:p>
            <w:pPr>
              <w:spacing w:before="40" w:after="40" w:line="252" w:lineRule="auto"/>
            </w:pPr>
            <w:r/>
            <w:r>
              <w:rPr>
                <w:rFonts w:ascii="Calibri" w:hAnsi="Calibri"/>
                <w:b w:val="0"/>
                <w:i w:val="0"/>
                <w:color w:val="1F2A37"/>
                <w:sz w:val="19"/>
              </w:rPr>
              <w:t>What are we trying to learn?</w:t>
            </w:r>
          </w:p>
        </w:tc>
        <w:tc>
          <w:tcPr>
            <w:tcW w:type="dxa" w:w="3456"/>
          </w:tcPr>
          <w:p>
            <w:pPr>
              <w:spacing w:before="40" w:after="40" w:line="252" w:lineRule="auto"/>
            </w:pPr>
            <w:r/>
            <w:r>
              <w:rPr>
                <w:rFonts w:ascii="Calibri" w:hAnsi="Calibri"/>
                <w:b w:val="0"/>
                <w:i w:val="0"/>
                <w:color w:val="1F2A37"/>
                <w:sz w:val="19"/>
              </w:rPr>
              <w:t>Two to four questions tied directly to the stated objectives</w:t>
            </w:r>
          </w:p>
        </w:tc>
        <w:tc>
          <w:tcPr>
            <w:tcW w:type="dxa" w:w="1872"/>
          </w:tcPr>
          <w:p>
            <w:pPr>
              <w:spacing w:before="40" w:after="40" w:line="252" w:lineRule="auto"/>
            </w:pPr>
            <w:r/>
            <w:r>
              <w:rPr>
                <w:rFonts w:ascii="Calibri" w:hAnsi="Calibri"/>
                <w:b w:val="0"/>
                <w:i w:val="0"/>
                <w:color w:val="1F2A37"/>
                <w:sz w:val="19"/>
              </w:rPr>
              <w:t>Each question maps to one objective</w:t>
            </w:r>
          </w:p>
        </w:tc>
      </w:tr>
      <w:tr>
        <w:tc>
          <w:tcPr>
            <w:tcW w:type="dxa" w:w="1872"/>
          </w:tcPr>
          <w:p>
            <w:pPr>
              <w:spacing w:before="40" w:after="40" w:line="252" w:lineRule="auto"/>
            </w:pPr>
            <w:r/>
            <w:r>
              <w:rPr>
                <w:rFonts w:ascii="Calibri" w:hAnsi="Calibri"/>
                <w:b w:val="0"/>
                <w:i w:val="0"/>
                <w:color w:val="1F2A37"/>
                <w:sz w:val="19"/>
              </w:rPr>
              <w:t>2. Outcomes and indicators</w:t>
            </w:r>
          </w:p>
        </w:tc>
        <w:tc>
          <w:tcPr>
            <w:tcW w:type="dxa" w:w="2160"/>
          </w:tcPr>
          <w:p>
            <w:pPr>
              <w:spacing w:before="40" w:after="40" w:line="252" w:lineRule="auto"/>
            </w:pPr>
            <w:r/>
            <w:r>
              <w:rPr>
                <w:rFonts w:ascii="Calibri" w:hAnsi="Calibri"/>
                <w:b w:val="0"/>
                <w:i w:val="0"/>
                <w:color w:val="1F2A37"/>
                <w:sz w:val="19"/>
              </w:rPr>
              <w:t>What changes, and how would we see it?</w:t>
            </w:r>
          </w:p>
        </w:tc>
        <w:tc>
          <w:tcPr>
            <w:tcW w:type="dxa" w:w="3456"/>
          </w:tcPr>
          <w:p>
            <w:pPr>
              <w:spacing w:before="40" w:after="40" w:line="252" w:lineRule="auto"/>
            </w:pPr>
            <w:r/>
            <w:r>
              <w:rPr>
                <w:rFonts w:ascii="Calibri" w:hAnsi="Calibri"/>
                <w:b w:val="0"/>
                <w:i w:val="0"/>
                <w:color w:val="1F2A37"/>
                <w:sz w:val="19"/>
              </w:rPr>
              <w:t>One measurable indicator for every stated outcome</w:t>
            </w:r>
          </w:p>
        </w:tc>
        <w:tc>
          <w:tcPr>
            <w:tcW w:type="dxa" w:w="1872"/>
          </w:tcPr>
          <w:p>
            <w:pPr>
              <w:spacing w:before="40" w:after="40" w:line="252" w:lineRule="auto"/>
            </w:pPr>
            <w:r/>
            <w:r>
              <w:rPr>
                <w:rFonts w:ascii="Calibri" w:hAnsi="Calibri"/>
                <w:b w:val="0"/>
                <w:i w:val="0"/>
                <w:color w:val="1F2A37"/>
                <w:sz w:val="19"/>
              </w:rPr>
              <w:t>No objective is left without a measure</w:t>
            </w:r>
          </w:p>
        </w:tc>
      </w:tr>
      <w:tr>
        <w:tc>
          <w:tcPr>
            <w:tcW w:type="dxa" w:w="1872"/>
          </w:tcPr>
          <w:p>
            <w:pPr>
              <w:spacing w:before="40" w:after="40" w:line="252" w:lineRule="auto"/>
            </w:pPr>
            <w:r/>
            <w:r>
              <w:rPr>
                <w:rFonts w:ascii="Calibri" w:hAnsi="Calibri"/>
                <w:b w:val="0"/>
                <w:i w:val="0"/>
                <w:color w:val="1F2A37"/>
                <w:sz w:val="19"/>
              </w:rPr>
              <w:t>3. Data sources</w:t>
            </w:r>
          </w:p>
        </w:tc>
        <w:tc>
          <w:tcPr>
            <w:tcW w:type="dxa" w:w="2160"/>
          </w:tcPr>
          <w:p>
            <w:pPr>
              <w:spacing w:before="40" w:after="40" w:line="252" w:lineRule="auto"/>
            </w:pPr>
            <w:r/>
            <w:r>
              <w:rPr>
                <w:rFonts w:ascii="Calibri" w:hAnsi="Calibri"/>
                <w:b w:val="0"/>
                <w:i w:val="0"/>
                <w:color w:val="1F2A37"/>
                <w:sz w:val="19"/>
              </w:rPr>
              <w:t>Where do the numbers come from?</w:t>
            </w:r>
          </w:p>
        </w:tc>
        <w:tc>
          <w:tcPr>
            <w:tcW w:type="dxa" w:w="3456"/>
          </w:tcPr>
          <w:p>
            <w:pPr>
              <w:spacing w:before="40" w:after="40" w:line="252" w:lineRule="auto"/>
            </w:pPr>
            <w:r/>
            <w:r>
              <w:rPr>
                <w:rFonts w:ascii="Calibri" w:hAnsi="Calibri"/>
                <w:b w:val="0"/>
                <w:i w:val="0"/>
                <w:color w:val="1F2A37"/>
                <w:sz w:val="19"/>
              </w:rPr>
              <w:t>Named instruments, records, or systems, not categories of feedback</w:t>
            </w:r>
          </w:p>
        </w:tc>
        <w:tc>
          <w:tcPr>
            <w:tcW w:type="dxa" w:w="1872"/>
          </w:tcPr>
          <w:p>
            <w:pPr>
              <w:spacing w:before="40" w:after="40" w:line="252" w:lineRule="auto"/>
            </w:pPr>
            <w:r/>
            <w:r>
              <w:rPr>
                <w:rFonts w:ascii="Calibri" w:hAnsi="Calibri"/>
                <w:b w:val="0"/>
                <w:i w:val="0"/>
                <w:color w:val="1F2A37"/>
                <w:sz w:val="19"/>
              </w:rPr>
              <w:t>A reader could name the form you use</w:t>
            </w:r>
          </w:p>
        </w:tc>
      </w:tr>
      <w:tr>
        <w:tc>
          <w:tcPr>
            <w:tcW w:type="dxa" w:w="1872"/>
          </w:tcPr>
          <w:p>
            <w:pPr>
              <w:spacing w:before="40" w:after="40" w:line="252" w:lineRule="auto"/>
            </w:pPr>
            <w:r/>
            <w:r>
              <w:rPr>
                <w:rFonts w:ascii="Calibri" w:hAnsi="Calibri"/>
                <w:b w:val="0"/>
                <w:i w:val="0"/>
                <w:color w:val="1F2A37"/>
                <w:sz w:val="19"/>
              </w:rPr>
              <w:t>4. Collection schedule</w:t>
            </w:r>
          </w:p>
        </w:tc>
        <w:tc>
          <w:tcPr>
            <w:tcW w:type="dxa" w:w="2160"/>
          </w:tcPr>
          <w:p>
            <w:pPr>
              <w:spacing w:before="40" w:after="40" w:line="252" w:lineRule="auto"/>
            </w:pPr>
            <w:r/>
            <w:r>
              <w:rPr>
                <w:rFonts w:ascii="Calibri" w:hAnsi="Calibri"/>
                <w:b w:val="0"/>
                <w:i w:val="0"/>
                <w:color w:val="1F2A37"/>
                <w:sz w:val="19"/>
              </w:rPr>
              <w:t>When is each measure taken?</w:t>
            </w:r>
          </w:p>
        </w:tc>
        <w:tc>
          <w:tcPr>
            <w:tcW w:type="dxa" w:w="3456"/>
          </w:tcPr>
          <w:p>
            <w:pPr>
              <w:spacing w:before="40" w:after="40" w:line="252" w:lineRule="auto"/>
            </w:pPr>
            <w:r/>
            <w:r>
              <w:rPr>
                <w:rFonts w:ascii="Calibri" w:hAnsi="Calibri"/>
                <w:b w:val="0"/>
                <w:i w:val="0"/>
                <w:color w:val="1F2A37"/>
                <w:sz w:val="19"/>
              </w:rPr>
              <w:t>A baseline, at least one follow-up, and an end point</w:t>
            </w:r>
          </w:p>
        </w:tc>
        <w:tc>
          <w:tcPr>
            <w:tcW w:type="dxa" w:w="1872"/>
          </w:tcPr>
          <w:p>
            <w:pPr>
              <w:spacing w:before="40" w:after="40" w:line="252" w:lineRule="auto"/>
            </w:pPr>
            <w:r/>
            <w:r>
              <w:rPr>
                <w:rFonts w:ascii="Calibri" w:hAnsi="Calibri"/>
                <w:b w:val="0"/>
                <w:i w:val="0"/>
                <w:color w:val="1F2A37"/>
                <w:sz w:val="19"/>
              </w:rPr>
              <w:t>Every measure has dates beside it</w:t>
            </w:r>
          </w:p>
        </w:tc>
      </w:tr>
      <w:tr>
        <w:tc>
          <w:tcPr>
            <w:tcW w:type="dxa" w:w="1872"/>
          </w:tcPr>
          <w:p>
            <w:pPr>
              <w:spacing w:before="40" w:after="40" w:line="252" w:lineRule="auto"/>
            </w:pPr>
            <w:r/>
            <w:r>
              <w:rPr>
                <w:rFonts w:ascii="Calibri" w:hAnsi="Calibri"/>
                <w:b w:val="0"/>
                <w:i w:val="0"/>
                <w:color w:val="1F2A37"/>
                <w:sz w:val="19"/>
              </w:rPr>
              <w:t>5. Analysis approach</w:t>
            </w:r>
          </w:p>
        </w:tc>
        <w:tc>
          <w:tcPr>
            <w:tcW w:type="dxa" w:w="2160"/>
          </w:tcPr>
          <w:p>
            <w:pPr>
              <w:spacing w:before="40" w:after="40" w:line="252" w:lineRule="auto"/>
            </w:pPr>
            <w:r/>
            <w:r>
              <w:rPr>
                <w:rFonts w:ascii="Calibri" w:hAnsi="Calibri"/>
                <w:b w:val="0"/>
                <w:i w:val="0"/>
                <w:color w:val="1F2A37"/>
                <w:sz w:val="19"/>
              </w:rPr>
              <w:t>How do raw data become findings?</w:t>
            </w:r>
          </w:p>
        </w:tc>
        <w:tc>
          <w:tcPr>
            <w:tcW w:type="dxa" w:w="3456"/>
          </w:tcPr>
          <w:p>
            <w:pPr>
              <w:spacing w:before="40" w:after="40" w:line="252" w:lineRule="auto"/>
            </w:pPr>
            <w:r/>
            <w:r>
              <w:rPr>
                <w:rFonts w:ascii="Calibri" w:hAnsi="Calibri"/>
                <w:b w:val="0"/>
                <w:i w:val="0"/>
                <w:color w:val="1F2A37"/>
                <w:sz w:val="19"/>
              </w:rPr>
              <w:t>A comparison stated in plain language, sized to your staff</w:t>
            </w:r>
          </w:p>
        </w:tc>
        <w:tc>
          <w:tcPr>
            <w:tcW w:type="dxa" w:w="1872"/>
          </w:tcPr>
          <w:p>
            <w:pPr>
              <w:spacing w:before="40" w:after="40" w:line="252" w:lineRule="auto"/>
            </w:pPr>
            <w:r/>
            <w:r>
              <w:rPr>
                <w:rFonts w:ascii="Calibri" w:hAnsi="Calibri"/>
                <w:b w:val="0"/>
                <w:i w:val="0"/>
                <w:color w:val="1F2A37"/>
                <w:sz w:val="19"/>
              </w:rPr>
              <w:t>You could explain it in one sentence</w:t>
            </w:r>
          </w:p>
        </w:tc>
      </w:tr>
      <w:tr>
        <w:tc>
          <w:tcPr>
            <w:tcW w:type="dxa" w:w="1872"/>
          </w:tcPr>
          <w:p>
            <w:pPr>
              <w:spacing w:before="40" w:after="40" w:line="252" w:lineRule="auto"/>
            </w:pPr>
            <w:r/>
            <w:r>
              <w:rPr>
                <w:rFonts w:ascii="Calibri" w:hAnsi="Calibri"/>
                <w:b w:val="0"/>
                <w:i w:val="0"/>
                <w:color w:val="1F2A37"/>
                <w:sz w:val="19"/>
              </w:rPr>
              <w:t>6. Responsibility</w:t>
            </w:r>
          </w:p>
        </w:tc>
        <w:tc>
          <w:tcPr>
            <w:tcW w:type="dxa" w:w="2160"/>
          </w:tcPr>
          <w:p>
            <w:pPr>
              <w:spacing w:before="40" w:after="40" w:line="252" w:lineRule="auto"/>
            </w:pPr>
            <w:r/>
            <w:r>
              <w:rPr>
                <w:rFonts w:ascii="Calibri" w:hAnsi="Calibri"/>
                <w:b w:val="0"/>
                <w:i w:val="0"/>
                <w:color w:val="1F2A37"/>
                <w:sz w:val="19"/>
              </w:rPr>
              <w:t>Who does the work?</w:t>
            </w:r>
          </w:p>
        </w:tc>
        <w:tc>
          <w:tcPr>
            <w:tcW w:type="dxa" w:w="3456"/>
          </w:tcPr>
          <w:p>
            <w:pPr>
              <w:spacing w:before="40" w:after="40" w:line="252" w:lineRule="auto"/>
            </w:pPr>
            <w:r/>
            <w:r>
              <w:rPr>
                <w:rFonts w:ascii="Calibri" w:hAnsi="Calibri"/>
                <w:b w:val="0"/>
                <w:i w:val="0"/>
                <w:color w:val="1F2A37"/>
                <w:sz w:val="19"/>
              </w:rPr>
              <w:t>A named role with hours reflected in the budget</w:t>
            </w:r>
          </w:p>
        </w:tc>
        <w:tc>
          <w:tcPr>
            <w:tcW w:type="dxa" w:w="1872"/>
          </w:tcPr>
          <w:p>
            <w:pPr>
              <w:spacing w:before="40" w:after="40" w:line="252" w:lineRule="auto"/>
            </w:pPr>
            <w:r/>
            <w:r>
              <w:rPr>
                <w:rFonts w:ascii="Calibri" w:hAnsi="Calibri"/>
                <w:b w:val="0"/>
                <w:i w:val="0"/>
                <w:color w:val="1F2A37"/>
                <w:sz w:val="19"/>
              </w:rPr>
              <w:t>The hours appear in the budget too</w:t>
            </w:r>
          </w:p>
        </w:tc>
      </w:tr>
      <w:tr>
        <w:tc>
          <w:tcPr>
            <w:tcW w:type="dxa" w:w="1872"/>
          </w:tcPr>
          <w:p>
            <w:pPr>
              <w:spacing w:before="40" w:after="40" w:line="252" w:lineRule="auto"/>
            </w:pPr>
            <w:r/>
            <w:r>
              <w:rPr>
                <w:rFonts w:ascii="Calibri" w:hAnsi="Calibri"/>
                <w:b w:val="0"/>
                <w:i w:val="0"/>
                <w:color w:val="1F2A37"/>
                <w:sz w:val="19"/>
              </w:rPr>
              <w:t>7. Reporting and use</w:t>
            </w:r>
          </w:p>
        </w:tc>
        <w:tc>
          <w:tcPr>
            <w:tcW w:type="dxa" w:w="2160"/>
          </w:tcPr>
          <w:p>
            <w:pPr>
              <w:spacing w:before="40" w:after="40" w:line="252" w:lineRule="auto"/>
            </w:pPr>
            <w:r/>
            <w:r>
              <w:rPr>
                <w:rFonts w:ascii="Calibri" w:hAnsi="Calibri"/>
                <w:b w:val="0"/>
                <w:i w:val="0"/>
                <w:color w:val="1F2A37"/>
                <w:sz w:val="19"/>
              </w:rPr>
              <w:t>Who sees results, and what changes?</w:t>
            </w:r>
          </w:p>
        </w:tc>
        <w:tc>
          <w:tcPr>
            <w:tcW w:type="dxa" w:w="3456"/>
          </w:tcPr>
          <w:p>
            <w:pPr>
              <w:spacing w:before="40" w:after="40" w:line="252" w:lineRule="auto"/>
            </w:pPr>
            <w:r/>
            <w:r>
              <w:rPr>
                <w:rFonts w:ascii="Calibri" w:hAnsi="Calibri"/>
                <w:b w:val="0"/>
                <w:i w:val="0"/>
                <w:color w:val="1F2A37"/>
                <w:sz w:val="19"/>
              </w:rPr>
              <w:t>Funder reporting plus an internal review inside the grant period</w:t>
            </w:r>
          </w:p>
        </w:tc>
        <w:tc>
          <w:tcPr>
            <w:tcW w:type="dxa" w:w="1872"/>
          </w:tcPr>
          <w:p>
            <w:pPr>
              <w:spacing w:before="40" w:after="40" w:line="252" w:lineRule="auto"/>
            </w:pPr>
            <w:r/>
            <w:r>
              <w:rPr>
                <w:rFonts w:ascii="Calibri" w:hAnsi="Calibri"/>
                <w:b w:val="0"/>
                <w:i w:val="0"/>
                <w:color w:val="1F2A37"/>
                <w:sz w:val="19"/>
              </w:rPr>
              <w:t>There is a date before the grant ends</w:t>
            </w:r>
          </w:p>
        </w:tc>
      </w:tr>
    </w:tbl>
    <w:p>
      <w:pPr>
        <w:spacing w:after="80"/>
      </w:pPr>
    </w:p>
    <w:p>
      <w:r>
        <w:t>Five words carry most of the weight in a federal application: outcome, indicator, target, baseline, and data collection. For federal awards, 2 CFR 200.301 says the awarding agency should communicate in the award any expected outcomes, indicators, targets, baseline data, or data collections the recipient is responsible for measuring and reporting (eCFR, Title 2 current as of August 27, 2026; accessed September 10, 2026). Give each of those five a concrete answer and the section is most of the way built.</w:t>
      </w:r>
    </w:p>
    <w:p>
      <w:pPr>
        <w:pStyle w:val="Heading1"/>
      </w:pPr>
      <w:r>
        <w:t>2. Build it in seven passes</w:t>
      </w:r>
    </w:p>
    <w:p>
      <w:pPr>
        <w:pStyle w:val="GCGuidance"/>
      </w:pPr>
      <w:r>
        <w:t>Each pass depends on the one before it. Working out of order is the most common reason an evaluation plan ends up internally inconsistent, with indicators that measure something the objectives never promised.</w:t>
      </w:r>
    </w:p>
    <w:p>
      <w:pPr>
        <w:pStyle w:val="Heading2"/>
      </w:pPr>
      <w:r>
        <w:t>Pass 1. Turn each objective into an evaluation question</w:t>
      </w:r>
    </w:p>
    <w:p>
      <w:r>
        <w:t>An objective says what will change. The matching evaluation question asks whether it did. Write one question per objective, keep the total between two and four, and phrase each one so that a yes or a no is possible.</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2880"/>
            <w:shd w:val="clear" w:color="auto" w:fill="E3E9EE"/>
          </w:tcPr>
          <w:p>
            <w:pPr>
              <w:spacing w:before="40" w:after="40" w:line="252" w:lineRule="auto"/>
            </w:pPr>
            <w:r/>
            <w:r>
              <w:rPr>
                <w:rFonts w:ascii="Calibri" w:hAnsi="Calibri"/>
                <w:b/>
                <w:i w:val="0"/>
                <w:color w:val="0F5F63"/>
                <w:sz w:val="19"/>
              </w:rPr>
              <w:t>Weak</w:t>
            </w:r>
          </w:p>
        </w:tc>
        <w:tc>
          <w:tcPr>
            <w:tcW w:type="dxa" w:w="4320"/>
            <w:shd w:val="clear" w:color="auto" w:fill="E3E9EE"/>
          </w:tcPr>
          <w:p>
            <w:pPr>
              <w:spacing w:before="40" w:after="40" w:line="252" w:lineRule="auto"/>
            </w:pPr>
            <w:r/>
            <w:r>
              <w:rPr>
                <w:rFonts w:ascii="Calibri" w:hAnsi="Calibri"/>
                <w:b/>
                <w:i w:val="0"/>
                <w:color w:val="0F5F63"/>
                <w:sz w:val="19"/>
              </w:rPr>
              <w:t>Strong</w:t>
            </w:r>
          </w:p>
        </w:tc>
        <w:tc>
          <w:tcPr>
            <w:tcW w:type="dxa" w:w="2160"/>
            <w:shd w:val="clear" w:color="auto" w:fill="E3E9EE"/>
          </w:tcPr>
          <w:p>
            <w:pPr>
              <w:spacing w:before="40" w:after="40" w:line="252" w:lineRule="auto"/>
            </w:pPr>
            <w:r/>
            <w:r>
              <w:rPr>
                <w:rFonts w:ascii="Calibri" w:hAnsi="Calibri"/>
                <w:b/>
                <w:i w:val="0"/>
                <w:color w:val="0F5F63"/>
                <w:sz w:val="19"/>
              </w:rPr>
              <w:t>Why</w:t>
            </w:r>
          </w:p>
        </w:tc>
      </w:tr>
      <w:tr>
        <w:tc>
          <w:tcPr>
            <w:tcW w:type="dxa" w:w="2880"/>
          </w:tcPr>
          <w:p>
            <w:pPr>
              <w:spacing w:before="40" w:after="40" w:line="252" w:lineRule="auto"/>
            </w:pPr>
            <w:r/>
            <w:r>
              <w:rPr>
                <w:rFonts w:ascii="Calibri" w:hAnsi="Calibri"/>
                <w:b w:val="0"/>
                <w:i w:val="0"/>
                <w:color w:val="1F2A37"/>
                <w:sz w:val="19"/>
              </w:rPr>
              <w:t>Was the program successful?</w:t>
            </w:r>
          </w:p>
        </w:tc>
        <w:tc>
          <w:tcPr>
            <w:tcW w:type="dxa" w:w="4320"/>
          </w:tcPr>
          <w:p>
            <w:pPr>
              <w:spacing w:before="40" w:after="40" w:line="252" w:lineRule="auto"/>
            </w:pPr>
            <w:r/>
            <w:r>
              <w:rPr>
                <w:rFonts w:ascii="Calibri" w:hAnsi="Calibri"/>
                <w:b w:val="0"/>
                <w:i w:val="0"/>
                <w:color w:val="1F2A37"/>
                <w:sz w:val="19"/>
              </w:rPr>
              <w:t>Did participating students improve oral reading fluency over the school year?</w:t>
            </w:r>
          </w:p>
        </w:tc>
        <w:tc>
          <w:tcPr>
            <w:tcW w:type="dxa" w:w="2160"/>
          </w:tcPr>
          <w:p>
            <w:pPr>
              <w:spacing w:before="40" w:after="40" w:line="252" w:lineRule="auto"/>
            </w:pPr>
            <w:r/>
            <w:r>
              <w:rPr>
                <w:rFonts w:ascii="Calibri" w:hAnsi="Calibri"/>
                <w:b w:val="0"/>
                <w:i w:val="0"/>
                <w:color w:val="1F2A37"/>
                <w:sz w:val="19"/>
              </w:rPr>
              <w:t>Names the population, the change, and the window</w:t>
            </w:r>
          </w:p>
        </w:tc>
      </w:tr>
      <w:tr>
        <w:tc>
          <w:tcPr>
            <w:tcW w:type="dxa" w:w="2880"/>
          </w:tcPr>
          <w:p>
            <w:pPr>
              <w:spacing w:before="40" w:after="40" w:line="252" w:lineRule="auto"/>
            </w:pPr>
            <w:r/>
            <w:r>
              <w:rPr>
                <w:rFonts w:ascii="Calibri" w:hAnsi="Calibri"/>
                <w:b w:val="0"/>
                <w:i w:val="0"/>
                <w:color w:val="1F2A37"/>
                <w:sz w:val="19"/>
              </w:rPr>
              <w:t>Did we serve the community well?</w:t>
            </w:r>
          </w:p>
        </w:tc>
        <w:tc>
          <w:tcPr>
            <w:tcW w:type="dxa" w:w="4320"/>
          </w:tcPr>
          <w:p>
            <w:pPr>
              <w:spacing w:before="40" w:after="40" w:line="252" w:lineRule="auto"/>
            </w:pPr>
            <w:r/>
            <w:r>
              <w:rPr>
                <w:rFonts w:ascii="Calibri" w:hAnsi="Calibri"/>
                <w:b w:val="0"/>
                <w:i w:val="0"/>
                <w:color w:val="1F2A37"/>
                <w:sz w:val="19"/>
              </w:rPr>
              <w:t>Did families find the program schedule workable enough to keep attending?</w:t>
            </w:r>
          </w:p>
        </w:tc>
        <w:tc>
          <w:tcPr>
            <w:tcW w:type="dxa" w:w="2160"/>
          </w:tcPr>
          <w:p>
            <w:pPr>
              <w:spacing w:before="40" w:after="40" w:line="252" w:lineRule="auto"/>
            </w:pPr>
            <w:r/>
            <w:r>
              <w:rPr>
                <w:rFonts w:ascii="Calibri" w:hAnsi="Calibri"/>
                <w:b w:val="0"/>
                <w:i w:val="0"/>
                <w:color w:val="1F2A37"/>
                <w:sz w:val="19"/>
              </w:rPr>
              <w:t>Can be answered by asking families a question</w:t>
            </w:r>
          </w:p>
        </w:tc>
      </w:tr>
      <w:tr>
        <w:tc>
          <w:tcPr>
            <w:tcW w:type="dxa" w:w="2880"/>
          </w:tcPr>
          <w:p>
            <w:pPr>
              <w:spacing w:before="40" w:after="40" w:line="252" w:lineRule="auto"/>
            </w:pPr>
            <w:r/>
            <w:r>
              <w:rPr>
                <w:rFonts w:ascii="Calibri" w:hAnsi="Calibri"/>
                <w:b w:val="0"/>
                <w:i w:val="0"/>
                <w:color w:val="1F2A37"/>
                <w:sz w:val="19"/>
              </w:rPr>
              <w:t>What was the impact of the program?</w:t>
            </w:r>
          </w:p>
        </w:tc>
        <w:tc>
          <w:tcPr>
            <w:tcW w:type="dxa" w:w="4320"/>
          </w:tcPr>
          <w:p>
            <w:pPr>
              <w:spacing w:before="40" w:after="40" w:line="252" w:lineRule="auto"/>
            </w:pPr>
            <w:r/>
            <w:r>
              <w:rPr>
                <w:rFonts w:ascii="Calibri" w:hAnsi="Calibri"/>
                <w:b w:val="0"/>
                <w:i w:val="0"/>
                <w:color w:val="1F2A37"/>
                <w:sz w:val="19"/>
              </w:rPr>
              <w:t>Does the number of sessions a student attends relate to the size of their gain?</w:t>
            </w:r>
          </w:p>
        </w:tc>
        <w:tc>
          <w:tcPr>
            <w:tcW w:type="dxa" w:w="2160"/>
          </w:tcPr>
          <w:p>
            <w:pPr>
              <w:spacing w:before="40" w:after="40" w:line="252" w:lineRule="auto"/>
            </w:pPr>
            <w:r/>
            <w:r>
              <w:rPr>
                <w:rFonts w:ascii="Calibri" w:hAnsi="Calibri"/>
                <w:b w:val="0"/>
                <w:i w:val="0"/>
                <w:color w:val="1F2A37"/>
                <w:sz w:val="19"/>
              </w:rPr>
              <w:t>Sets up a comparison the data can actually support</w:t>
            </w:r>
          </w:p>
        </w:tc>
      </w:tr>
    </w:tbl>
    <w:p>
      <w:pPr>
        <w:spacing w:after="80"/>
      </w:pPr>
    </w:p>
    <w:p>
      <w:pPr>
        <w:pStyle w:val="Heading2"/>
      </w:pPr>
      <w:r>
        <w:t>Pass 2. Separate outputs from outcomes</w:t>
      </w:r>
    </w:p>
    <w:p>
      <w:r>
        <w:t>Outputs count what you delivered. Outcomes describe what changed for the people who received it. A tutoring program that held 30 sessions for 40 students has two outputs and no outcome yet. The outcome is the reading gain those 40 students made.</w:t>
      </w:r>
    </w:p>
    <w:p>
      <w:r>
        <w:t>This is the pass worth slowing down on. Output data already sits in the sign-in binder, while outcome data has to be collected on purpose, which means somebody has to decide to collect it before services start. Attendance shows delivery. A funder is buying the change.</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1872"/>
            <w:shd w:val="clear" w:color="auto" w:fill="E3E9EE"/>
          </w:tcPr>
          <w:p>
            <w:pPr>
              <w:spacing w:before="40" w:after="40" w:line="252" w:lineRule="auto"/>
            </w:pPr>
            <w:r/>
            <w:r>
              <w:rPr>
                <w:rFonts w:ascii="Calibri" w:hAnsi="Calibri"/>
                <w:b/>
                <w:i w:val="0"/>
                <w:color w:val="0F5F63"/>
                <w:sz w:val="19"/>
              </w:rPr>
              <w:t>Program type</w:t>
            </w:r>
          </w:p>
        </w:tc>
        <w:tc>
          <w:tcPr>
            <w:tcW w:type="dxa" w:w="2160"/>
            <w:shd w:val="clear" w:color="auto" w:fill="E3E9EE"/>
          </w:tcPr>
          <w:p>
            <w:pPr>
              <w:spacing w:before="40" w:after="40" w:line="252" w:lineRule="auto"/>
            </w:pPr>
            <w:r/>
            <w:r>
              <w:rPr>
                <w:rFonts w:ascii="Calibri" w:hAnsi="Calibri"/>
                <w:b/>
                <w:i w:val="0"/>
                <w:color w:val="0F5F63"/>
                <w:sz w:val="19"/>
              </w:rPr>
              <w:t>Activity</w:t>
            </w:r>
          </w:p>
        </w:tc>
        <w:tc>
          <w:tcPr>
            <w:tcW w:type="dxa" w:w="2736"/>
            <w:shd w:val="clear" w:color="auto" w:fill="E3E9EE"/>
          </w:tcPr>
          <w:p>
            <w:pPr>
              <w:spacing w:before="40" w:after="40" w:line="252" w:lineRule="auto"/>
            </w:pPr>
            <w:r/>
            <w:r>
              <w:rPr>
                <w:rFonts w:ascii="Calibri" w:hAnsi="Calibri"/>
                <w:b/>
                <w:i w:val="0"/>
                <w:color w:val="0F5F63"/>
                <w:sz w:val="19"/>
              </w:rPr>
              <w:t>Output (delivery)</w:t>
            </w:r>
          </w:p>
        </w:tc>
        <w:tc>
          <w:tcPr>
            <w:tcW w:type="dxa" w:w="2592"/>
            <w:shd w:val="clear" w:color="auto" w:fill="E3E9EE"/>
          </w:tcPr>
          <w:p>
            <w:pPr>
              <w:spacing w:before="40" w:after="40" w:line="252" w:lineRule="auto"/>
            </w:pPr>
            <w:r/>
            <w:r>
              <w:rPr>
                <w:rFonts w:ascii="Calibri" w:hAnsi="Calibri"/>
                <w:b/>
                <w:i w:val="0"/>
                <w:color w:val="0F5F63"/>
                <w:sz w:val="19"/>
              </w:rPr>
              <w:t>Outcome (change)</w:t>
            </w:r>
          </w:p>
        </w:tc>
      </w:tr>
      <w:tr>
        <w:tc>
          <w:tcPr>
            <w:tcW w:type="dxa" w:w="1872"/>
          </w:tcPr>
          <w:p>
            <w:pPr>
              <w:spacing w:before="40" w:after="40" w:line="252" w:lineRule="auto"/>
            </w:pPr>
            <w:r/>
            <w:r>
              <w:rPr>
                <w:rFonts w:ascii="Calibri" w:hAnsi="Calibri"/>
                <w:b w:val="0"/>
                <w:i w:val="0"/>
                <w:color w:val="1F2A37"/>
                <w:sz w:val="19"/>
              </w:rPr>
              <w:t>After-school tutoring</w:t>
            </w:r>
          </w:p>
        </w:tc>
        <w:tc>
          <w:tcPr>
            <w:tcW w:type="dxa" w:w="2160"/>
          </w:tcPr>
          <w:p>
            <w:pPr>
              <w:spacing w:before="40" w:after="40" w:line="252" w:lineRule="auto"/>
            </w:pPr>
            <w:r/>
            <w:r>
              <w:rPr>
                <w:rFonts w:ascii="Calibri" w:hAnsi="Calibri"/>
                <w:b w:val="0"/>
                <w:i w:val="0"/>
                <w:color w:val="1F2A37"/>
                <w:sz w:val="19"/>
              </w:rPr>
              <w:t>Weekly small-group sessions</w:t>
            </w:r>
          </w:p>
        </w:tc>
        <w:tc>
          <w:tcPr>
            <w:tcW w:type="dxa" w:w="2736"/>
          </w:tcPr>
          <w:p>
            <w:pPr>
              <w:spacing w:before="40" w:after="40" w:line="252" w:lineRule="auto"/>
            </w:pPr>
            <w:r/>
            <w:r>
              <w:rPr>
                <w:rFonts w:ascii="Calibri" w:hAnsi="Calibri"/>
                <w:b w:val="0"/>
                <w:i w:val="0"/>
                <w:color w:val="1F2A37"/>
                <w:sz w:val="19"/>
              </w:rPr>
              <w:t>30 sessions delivered to 40 students</w:t>
            </w:r>
          </w:p>
        </w:tc>
        <w:tc>
          <w:tcPr>
            <w:tcW w:type="dxa" w:w="2592"/>
          </w:tcPr>
          <w:p>
            <w:pPr>
              <w:spacing w:before="40" w:after="40" w:line="252" w:lineRule="auto"/>
            </w:pPr>
            <w:r/>
            <w:r>
              <w:rPr>
                <w:rFonts w:ascii="Calibri" w:hAnsi="Calibri"/>
                <w:b w:val="0"/>
                <w:i w:val="0"/>
                <w:color w:val="1F2A37"/>
                <w:sz w:val="19"/>
              </w:rPr>
              <w:t>Students read more words correct per minute</w:t>
            </w:r>
          </w:p>
        </w:tc>
      </w:tr>
      <w:tr>
        <w:tc>
          <w:tcPr>
            <w:tcW w:type="dxa" w:w="1872"/>
          </w:tcPr>
          <w:p>
            <w:pPr>
              <w:spacing w:before="40" w:after="40" w:line="252" w:lineRule="auto"/>
            </w:pPr>
            <w:r/>
            <w:r>
              <w:rPr>
                <w:rFonts w:ascii="Calibri" w:hAnsi="Calibri"/>
                <w:b w:val="0"/>
                <w:i w:val="0"/>
                <w:color w:val="1F2A37"/>
                <w:sz w:val="19"/>
              </w:rPr>
              <w:t>Workforce training</w:t>
            </w:r>
          </w:p>
        </w:tc>
        <w:tc>
          <w:tcPr>
            <w:tcW w:type="dxa" w:w="2160"/>
          </w:tcPr>
          <w:p>
            <w:pPr>
              <w:spacing w:before="40" w:after="40" w:line="252" w:lineRule="auto"/>
            </w:pPr>
            <w:r/>
            <w:r>
              <w:rPr>
                <w:rFonts w:ascii="Calibri" w:hAnsi="Calibri"/>
                <w:b w:val="0"/>
                <w:i w:val="0"/>
                <w:color w:val="1F2A37"/>
                <w:sz w:val="19"/>
              </w:rPr>
              <w:t>12-week skills course</w:t>
            </w:r>
          </w:p>
        </w:tc>
        <w:tc>
          <w:tcPr>
            <w:tcW w:type="dxa" w:w="2736"/>
          </w:tcPr>
          <w:p>
            <w:pPr>
              <w:spacing w:before="40" w:after="40" w:line="252" w:lineRule="auto"/>
            </w:pPr>
            <w:r/>
            <w:r>
              <w:rPr>
                <w:rFonts w:ascii="Calibri" w:hAnsi="Calibri"/>
                <w:b w:val="0"/>
                <w:i w:val="0"/>
                <w:color w:val="1F2A37"/>
                <w:sz w:val="19"/>
              </w:rPr>
              <w:t>60 adults enrolled across 4 cohorts</w:t>
            </w:r>
          </w:p>
        </w:tc>
        <w:tc>
          <w:tcPr>
            <w:tcW w:type="dxa" w:w="2592"/>
          </w:tcPr>
          <w:p>
            <w:pPr>
              <w:spacing w:before="40" w:after="40" w:line="252" w:lineRule="auto"/>
            </w:pPr>
            <w:r/>
            <w:r>
              <w:rPr>
                <w:rFonts w:ascii="Calibri" w:hAnsi="Calibri"/>
                <w:b w:val="0"/>
                <w:i w:val="0"/>
                <w:color w:val="1F2A37"/>
                <w:sz w:val="19"/>
              </w:rPr>
              <w:t>Completers earn a credential and are hired</w:t>
            </w:r>
          </w:p>
        </w:tc>
      </w:tr>
      <w:tr>
        <w:tc>
          <w:tcPr>
            <w:tcW w:type="dxa" w:w="1872"/>
          </w:tcPr>
          <w:p>
            <w:pPr>
              <w:spacing w:before="40" w:after="40" w:line="252" w:lineRule="auto"/>
            </w:pPr>
            <w:r/>
            <w:r>
              <w:rPr>
                <w:rFonts w:ascii="Calibri" w:hAnsi="Calibri"/>
                <w:b w:val="0"/>
                <w:i w:val="0"/>
                <w:color w:val="1F2A37"/>
                <w:sz w:val="19"/>
              </w:rPr>
              <w:t>Food access</w:t>
            </w:r>
          </w:p>
        </w:tc>
        <w:tc>
          <w:tcPr>
            <w:tcW w:type="dxa" w:w="2160"/>
          </w:tcPr>
          <w:p>
            <w:pPr>
              <w:spacing w:before="40" w:after="40" w:line="252" w:lineRule="auto"/>
            </w:pPr>
            <w:r/>
            <w:r>
              <w:rPr>
                <w:rFonts w:ascii="Calibri" w:hAnsi="Calibri"/>
                <w:b w:val="0"/>
                <w:i w:val="0"/>
                <w:color w:val="1F2A37"/>
                <w:sz w:val="19"/>
              </w:rPr>
              <w:t>Weekly grocery distribution</w:t>
            </w:r>
          </w:p>
        </w:tc>
        <w:tc>
          <w:tcPr>
            <w:tcW w:type="dxa" w:w="2736"/>
          </w:tcPr>
          <w:p>
            <w:pPr>
              <w:spacing w:before="40" w:after="40" w:line="252" w:lineRule="auto"/>
            </w:pPr>
            <w:r/>
            <w:r>
              <w:rPr>
                <w:rFonts w:ascii="Calibri" w:hAnsi="Calibri"/>
                <w:b w:val="0"/>
                <w:i w:val="0"/>
                <w:color w:val="1F2A37"/>
                <w:sz w:val="19"/>
              </w:rPr>
              <w:t>1,200 boxes distributed</w:t>
            </w:r>
          </w:p>
        </w:tc>
        <w:tc>
          <w:tcPr>
            <w:tcW w:type="dxa" w:w="2592"/>
          </w:tcPr>
          <w:p>
            <w:pPr>
              <w:spacing w:before="40" w:after="40" w:line="252" w:lineRule="auto"/>
            </w:pPr>
            <w:r/>
            <w:r>
              <w:rPr>
                <w:rFonts w:ascii="Calibri" w:hAnsi="Calibri"/>
                <w:b w:val="0"/>
                <w:i w:val="0"/>
                <w:color w:val="1F2A37"/>
                <w:sz w:val="19"/>
              </w:rPr>
              <w:t>Households report fewer days without enough food</w:t>
            </w:r>
          </w:p>
        </w:tc>
      </w:tr>
      <w:tr>
        <w:tc>
          <w:tcPr>
            <w:tcW w:type="dxa" w:w="1872"/>
          </w:tcPr>
          <w:p>
            <w:pPr>
              <w:spacing w:before="40" w:after="40" w:line="252" w:lineRule="auto"/>
            </w:pPr>
            <w:r/>
            <w:r>
              <w:rPr>
                <w:rFonts w:ascii="Calibri" w:hAnsi="Calibri"/>
                <w:b w:val="0"/>
                <w:i w:val="0"/>
                <w:color w:val="1F2A37"/>
                <w:sz w:val="19"/>
              </w:rPr>
              <w:t>Clinic navigation</w:t>
            </w:r>
          </w:p>
        </w:tc>
        <w:tc>
          <w:tcPr>
            <w:tcW w:type="dxa" w:w="2160"/>
          </w:tcPr>
          <w:p>
            <w:pPr>
              <w:spacing w:before="40" w:after="40" w:line="252" w:lineRule="auto"/>
            </w:pPr>
            <w:r/>
            <w:r>
              <w:rPr>
                <w:rFonts w:ascii="Calibri" w:hAnsi="Calibri"/>
                <w:b w:val="0"/>
                <w:i w:val="0"/>
                <w:color w:val="1F2A37"/>
                <w:sz w:val="19"/>
              </w:rPr>
              <w:t>One-to-one appointment support</w:t>
            </w:r>
          </w:p>
        </w:tc>
        <w:tc>
          <w:tcPr>
            <w:tcW w:type="dxa" w:w="2736"/>
          </w:tcPr>
          <w:p>
            <w:pPr>
              <w:spacing w:before="40" w:after="40" w:line="252" w:lineRule="auto"/>
            </w:pPr>
            <w:r/>
            <w:r>
              <w:rPr>
                <w:rFonts w:ascii="Calibri" w:hAnsi="Calibri"/>
                <w:b w:val="0"/>
                <w:i w:val="0"/>
                <w:color w:val="1F2A37"/>
                <w:sz w:val="19"/>
              </w:rPr>
              <w:t>300 navigation contacts logged</w:t>
            </w:r>
          </w:p>
        </w:tc>
        <w:tc>
          <w:tcPr>
            <w:tcW w:type="dxa" w:w="2592"/>
          </w:tcPr>
          <w:p>
            <w:pPr>
              <w:spacing w:before="40" w:after="40" w:line="252" w:lineRule="auto"/>
            </w:pPr>
            <w:r/>
            <w:r>
              <w:rPr>
                <w:rFonts w:ascii="Calibri" w:hAnsi="Calibri"/>
                <w:b w:val="0"/>
                <w:i w:val="0"/>
                <w:color w:val="1F2A37"/>
                <w:sz w:val="19"/>
              </w:rPr>
              <w:t>More clients complete a follow-up visit</w:t>
            </w:r>
          </w:p>
        </w:tc>
      </w:tr>
    </w:tbl>
    <w:p>
      <w:pPr>
        <w:spacing w:after="80"/>
      </w:pPr>
    </w:p>
    <w:p>
      <w:pPr>
        <w:pStyle w:val="Heading2"/>
      </w:pPr>
      <w:r>
        <w:t>Pass 3. Attach one indicator to each outcome</w:t>
      </w:r>
    </w:p>
    <w:p>
      <w:r>
        <w:t>An indicator is a countable signal that an outcome occurred. Pick the smallest indicator that would convince a skeptic, then stop. Six indicators per outcome is not more rigorous than one; it is a plan nobody will run.</w:t>
      </w:r>
    </w:p>
    <w:p>
      <w:r>
        <w:t>An indicator is ready when all four of these are true:</w:t>
      </w:r>
    </w:p>
    <w:p>
      <w:pPr>
        <w:pStyle w:val="ListBullet"/>
      </w:pPr>
      <w:r>
        <w:t>Two people reading the same records would arrive at the same number.</w:t>
      </w:r>
    </w:p>
    <w:p>
      <w:pPr>
        <w:pStyle w:val="ListBullet"/>
      </w:pPr>
      <w:r>
        <w:t>It can be collected with the staff and systems the proposal actually describes.</w:t>
      </w:r>
    </w:p>
    <w:p>
      <w:pPr>
        <w:pStyle w:val="ListBullet"/>
      </w:pPr>
      <w:r>
        <w:t>It would change if the program worked, and stay flat if it did not.</w:t>
      </w:r>
    </w:p>
    <w:p>
      <w:pPr>
        <w:pStyle w:val="ListBullet"/>
      </w:pPr>
      <w:r>
        <w:t>It carries a unit, so a target can be attached to it.</w:t>
      </w:r>
    </w:p>
    <w:p>
      <w:pPr>
        <w:pStyle w:val="Heading2"/>
      </w:pPr>
      <w:r>
        <w:t>Pass 4. Name the data source for every indicator</w:t>
      </w:r>
    </w:p>
    <w:p>
      <w:r>
        <w:t>Say which instrument, record, or system produces the number. Naming the instrument is what moves a reviewer from taking your word for it to being able to picture the data arriving.</w:t>
      </w:r>
    </w:p>
    <w:tbl>
      <w:tblPr>
        <w:tblStyle w:val="TableGrid"/>
        <w:tblW w:type="auto" w:w="0"/>
        <w:jc w:val="left"/>
        <w:tblLayout w:type="fixed"/>
        <w:tblLook w:firstColumn="1" w:firstRow="1" w:lastColumn="0" w:lastRow="0" w:noHBand="0" w:noVBand="1" w:val="04A0"/>
      </w:tblPr>
      <w:tblGrid>
        <w:gridCol w:w="4680"/>
        <w:gridCol w:w="4680"/>
      </w:tblGrid>
      <w:tr>
        <w:trPr>
          <w:tblHeader w:val="true"/>
        </w:trPr>
        <w:tc>
          <w:tcPr>
            <w:tcW w:type="dxa" w:w="2880"/>
            <w:shd w:val="clear" w:color="auto" w:fill="E3E9EE"/>
          </w:tcPr>
          <w:p>
            <w:pPr>
              <w:spacing w:before="40" w:after="40" w:line="252" w:lineRule="auto"/>
            </w:pPr>
            <w:r/>
            <w:r>
              <w:rPr>
                <w:rFonts w:ascii="Calibri" w:hAnsi="Calibri"/>
                <w:b/>
                <w:i w:val="0"/>
                <w:color w:val="0F5F63"/>
                <w:sz w:val="19"/>
              </w:rPr>
              <w:t>Weak</w:t>
            </w:r>
          </w:p>
        </w:tc>
        <w:tc>
          <w:tcPr>
            <w:tcW w:type="dxa" w:w="6480"/>
            <w:shd w:val="clear" w:color="auto" w:fill="E3E9EE"/>
          </w:tcPr>
          <w:p>
            <w:pPr>
              <w:spacing w:before="40" w:after="40" w:line="252" w:lineRule="auto"/>
            </w:pPr>
            <w:r/>
            <w:r>
              <w:rPr>
                <w:rFonts w:ascii="Calibri" w:hAnsi="Calibri"/>
                <w:b/>
                <w:i w:val="0"/>
                <w:color w:val="0F5F63"/>
                <w:sz w:val="19"/>
              </w:rPr>
              <w:t>Strong</w:t>
            </w:r>
          </w:p>
        </w:tc>
      </w:tr>
      <w:tr>
        <w:tc>
          <w:tcPr>
            <w:tcW w:type="dxa" w:w="2880"/>
          </w:tcPr>
          <w:p>
            <w:pPr>
              <w:spacing w:before="40" w:after="40" w:line="252" w:lineRule="auto"/>
            </w:pPr>
            <w:r/>
            <w:r>
              <w:rPr>
                <w:rFonts w:ascii="Calibri" w:hAnsi="Calibri"/>
                <w:b w:val="0"/>
                <w:i w:val="0"/>
                <w:color w:val="1F2A37"/>
                <w:sz w:val="19"/>
              </w:rPr>
              <w:t>Participant feedback</w:t>
            </w:r>
          </w:p>
        </w:tc>
        <w:tc>
          <w:tcPr>
            <w:tcW w:type="dxa" w:w="6480"/>
          </w:tcPr>
          <w:p>
            <w:pPr>
              <w:spacing w:before="40" w:after="40" w:line="252" w:lineRule="auto"/>
            </w:pPr>
            <w:r/>
            <w:r>
              <w:rPr>
                <w:rFonts w:ascii="Calibri" w:hAnsi="Calibri"/>
                <w:b w:val="0"/>
                <w:i w:val="0"/>
                <w:color w:val="1F2A37"/>
                <w:sz w:val="19"/>
              </w:rPr>
              <w:t>Pre and post administration of the program's 20-item skills checklist</w:t>
            </w:r>
          </w:p>
        </w:tc>
      </w:tr>
      <w:tr>
        <w:tc>
          <w:tcPr>
            <w:tcW w:type="dxa" w:w="2880"/>
          </w:tcPr>
          <w:p>
            <w:pPr>
              <w:spacing w:before="40" w:after="40" w:line="252" w:lineRule="auto"/>
            </w:pPr>
            <w:r/>
            <w:r>
              <w:rPr>
                <w:rFonts w:ascii="Calibri" w:hAnsi="Calibri"/>
                <w:b w:val="0"/>
                <w:i w:val="0"/>
                <w:color w:val="1F2A37"/>
                <w:sz w:val="19"/>
              </w:rPr>
              <w:t>Program records</w:t>
            </w:r>
          </w:p>
        </w:tc>
        <w:tc>
          <w:tcPr>
            <w:tcW w:type="dxa" w:w="6480"/>
          </w:tcPr>
          <w:p>
            <w:pPr>
              <w:spacing w:before="40" w:after="40" w:line="252" w:lineRule="auto"/>
            </w:pPr>
            <w:r/>
            <w:r>
              <w:rPr>
                <w:rFonts w:ascii="Calibri" w:hAnsi="Calibri"/>
                <w:b w:val="0"/>
                <w:i w:val="0"/>
                <w:color w:val="1F2A37"/>
                <w:sz w:val="19"/>
              </w:rPr>
              <w:t>Sign-in log maintained in the program database, entered every Friday</w:t>
            </w:r>
          </w:p>
        </w:tc>
      </w:tr>
      <w:tr>
        <w:tc>
          <w:tcPr>
            <w:tcW w:type="dxa" w:w="2880"/>
          </w:tcPr>
          <w:p>
            <w:pPr>
              <w:spacing w:before="40" w:after="40" w:line="252" w:lineRule="auto"/>
            </w:pPr>
            <w:r/>
            <w:r>
              <w:rPr>
                <w:rFonts w:ascii="Calibri" w:hAnsi="Calibri"/>
                <w:b w:val="0"/>
                <w:i w:val="0"/>
                <w:color w:val="1F2A37"/>
                <w:sz w:val="19"/>
              </w:rPr>
              <w:t>Assessment data</w:t>
            </w:r>
          </w:p>
        </w:tc>
        <w:tc>
          <w:tcPr>
            <w:tcW w:type="dxa" w:w="6480"/>
          </w:tcPr>
          <w:p>
            <w:pPr>
              <w:spacing w:before="40" w:after="40" w:line="252" w:lineRule="auto"/>
            </w:pPr>
            <w:r/>
            <w:r>
              <w:rPr>
                <w:rFonts w:ascii="Calibri" w:hAnsi="Calibri"/>
                <w:b w:val="0"/>
                <w:i w:val="0"/>
                <w:color w:val="1F2A37"/>
                <w:sz w:val="19"/>
              </w:rPr>
              <w:t>Curriculum-based oral reading fluency probe, grade-level passage, administered by the site coordinator</w:t>
            </w:r>
          </w:p>
        </w:tc>
      </w:tr>
      <w:tr>
        <w:tc>
          <w:tcPr>
            <w:tcW w:type="dxa" w:w="2880"/>
          </w:tcPr>
          <w:p>
            <w:pPr>
              <w:spacing w:before="40" w:after="40" w:line="252" w:lineRule="auto"/>
            </w:pPr>
            <w:r/>
            <w:r>
              <w:rPr>
                <w:rFonts w:ascii="Calibri" w:hAnsi="Calibri"/>
                <w:b w:val="0"/>
                <w:i w:val="0"/>
                <w:color w:val="1F2A37"/>
                <w:sz w:val="19"/>
              </w:rPr>
              <w:t>Employer input</w:t>
            </w:r>
          </w:p>
        </w:tc>
        <w:tc>
          <w:tcPr>
            <w:tcW w:type="dxa" w:w="6480"/>
          </w:tcPr>
          <w:p>
            <w:pPr>
              <w:spacing w:before="40" w:after="40" w:line="252" w:lineRule="auto"/>
            </w:pPr>
            <w:r/>
            <w:r>
              <w:rPr>
                <w:rFonts w:ascii="Calibri" w:hAnsi="Calibri"/>
                <w:b w:val="0"/>
                <w:i w:val="0"/>
                <w:color w:val="1F2A37"/>
                <w:sz w:val="19"/>
              </w:rPr>
              <w:t>Four-item employer survey emailed to every hiring employer at 90 days</w:t>
            </w:r>
          </w:p>
        </w:tc>
      </w:tr>
    </w:tbl>
    <w:p>
      <w:pPr>
        <w:spacing w:after="80"/>
      </w:pPr>
    </w:p>
    <w:p>
      <w:pPr>
        <w:pStyle w:val="Heading2"/>
      </w:pPr>
      <w:r>
        <w:t>Pass 5. Set the collection schedule</w:t>
      </w:r>
    </w:p>
    <w:p>
      <w:r>
        <w:t>Give every measure a baseline point and at least one follow-up, so you finish the grant able to show movement rather than a single number. A baseline collected after services start is not a baseline. If a measure can only be taken once, say so and explain what it is compared against.</w:t>
      </w:r>
    </w:p>
    <w:p>
      <w:r>
        <w:t>Write the dates as windows rather than single days. The first two weeks of September survives a snow day; September 8 does not.</w:t>
      </w:r>
    </w:p>
    <w:p>
      <w:pPr>
        <w:pStyle w:val="Heading2"/>
      </w:pPr>
      <w:r>
        <w:t>Pass 6. Assign a person and pay for the time</w:t>
      </w:r>
    </w:p>
    <w:p>
      <w:r>
        <w:t>Give a role, not a personal name, and make sure the hours appear in the budget. An evaluation plan with no staff time behind it reads as decorative, and a reviewer who cannot find the hours assumes the measurement will not happen once the program gets busy.</w:t>
      </w:r>
    </w:p>
    <w:p>
      <w:r>
        <w:t>Match the size of the design to the size of the team. A two-year community grant that proposes a randomized design with a matched comparison group raises an obvious question: who runs it? Propose only the design your budget staffs, and say plainly why the simpler method fits.</w:t>
      </w:r>
    </w:p>
    <w:p>
      <w:pPr>
        <w:pStyle w:val="Heading2"/>
      </w:pPr>
      <w:r>
        <w:t>Pass 7. State how results get used</w:t>
      </w:r>
    </w:p>
    <w:p>
      <w:r>
        <w:t>Name the internal review point, say what a mid-course adjustment would look like, and give the funder reporting dates. Then add the sentence most applicants leave out: what the team will do if results come in below target.</w:t>
      </w:r>
    </w:p>
    <w:p>
      <w:r>
        <w:t>That last sentence costs you nothing and reads as professional maturity. A target you can miss is a target you did not write to be safe, and a reviewer takes that as honesty.</w:t>
      </w:r>
    </w:p>
    <w:p>
      <w:pPr>
        <w:pStyle w:val="Heading1"/>
      </w:pPr>
      <w:r>
        <w:t>3. Choosing your methods</w:t>
      </w:r>
    </w:p>
    <w:p>
      <w:pPr>
        <w:pStyle w:val="GCGuidance"/>
      </w:pPr>
      <w:r>
        <w:t>Match the strength of the evidence to the size of the award and the burden on participants. A small community grant does not need a control group, and proposing one you cannot staff hurts more than it helps.</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160"/>
            <w:shd w:val="clear" w:color="auto" w:fill="E3E9EE"/>
          </w:tcPr>
          <w:p>
            <w:pPr>
              <w:spacing w:before="40" w:after="40" w:line="252" w:lineRule="auto"/>
            </w:pPr>
            <w:r/>
            <w:r>
              <w:rPr>
                <w:rFonts w:ascii="Calibri" w:hAnsi="Calibri"/>
                <w:b/>
                <w:i w:val="0"/>
                <w:color w:val="0F5F63"/>
                <w:sz w:val="19"/>
              </w:rPr>
              <w:t>Method</w:t>
            </w:r>
          </w:p>
        </w:tc>
        <w:tc>
          <w:tcPr>
            <w:tcW w:type="dxa" w:w="3168"/>
            <w:shd w:val="clear" w:color="auto" w:fill="E3E9EE"/>
          </w:tcPr>
          <w:p>
            <w:pPr>
              <w:spacing w:before="40" w:after="40" w:line="252" w:lineRule="auto"/>
            </w:pPr>
            <w:r/>
            <w:r>
              <w:rPr>
                <w:rFonts w:ascii="Calibri" w:hAnsi="Calibri"/>
                <w:b/>
                <w:i w:val="0"/>
                <w:color w:val="0F5F63"/>
                <w:sz w:val="19"/>
              </w:rPr>
              <w:t>Best for</w:t>
            </w:r>
          </w:p>
        </w:tc>
        <w:tc>
          <w:tcPr>
            <w:tcW w:type="dxa" w:w="1080"/>
            <w:shd w:val="clear" w:color="auto" w:fill="E3E9EE"/>
          </w:tcPr>
          <w:p>
            <w:pPr>
              <w:spacing w:before="40" w:after="40" w:line="252" w:lineRule="auto"/>
            </w:pPr>
            <w:r/>
            <w:r>
              <w:rPr>
                <w:rFonts w:ascii="Calibri" w:hAnsi="Calibri"/>
                <w:b/>
                <w:i w:val="0"/>
                <w:color w:val="0F5F63"/>
                <w:sz w:val="19"/>
              </w:rPr>
              <w:t>Effort</w:t>
            </w:r>
          </w:p>
        </w:tc>
        <w:tc>
          <w:tcPr>
            <w:tcW w:type="dxa" w:w="2952"/>
            <w:shd w:val="clear" w:color="auto" w:fill="E3E9EE"/>
          </w:tcPr>
          <w:p>
            <w:pPr>
              <w:spacing w:before="40" w:after="40" w:line="252" w:lineRule="auto"/>
            </w:pPr>
            <w:r/>
            <w:r>
              <w:rPr>
                <w:rFonts w:ascii="Calibri" w:hAnsi="Calibri"/>
                <w:b/>
                <w:i w:val="0"/>
                <w:color w:val="0F5F63"/>
                <w:sz w:val="19"/>
              </w:rPr>
              <w:t>Watch out for</w:t>
            </w:r>
          </w:p>
        </w:tc>
      </w:tr>
      <w:tr>
        <w:tc>
          <w:tcPr>
            <w:tcW w:type="dxa" w:w="2160"/>
          </w:tcPr>
          <w:p>
            <w:pPr>
              <w:spacing w:before="40" w:after="40" w:line="252" w:lineRule="auto"/>
            </w:pPr>
            <w:r/>
            <w:r>
              <w:rPr>
                <w:rFonts w:ascii="Calibri" w:hAnsi="Calibri"/>
                <w:b w:val="0"/>
                <w:i w:val="0"/>
                <w:color w:val="1F2A37"/>
                <w:sz w:val="19"/>
              </w:rPr>
              <w:t>Pre and post survey</w:t>
            </w:r>
          </w:p>
        </w:tc>
        <w:tc>
          <w:tcPr>
            <w:tcW w:type="dxa" w:w="3168"/>
          </w:tcPr>
          <w:p>
            <w:pPr>
              <w:spacing w:before="40" w:after="40" w:line="252" w:lineRule="auto"/>
            </w:pPr>
            <w:r/>
            <w:r>
              <w:rPr>
                <w:rFonts w:ascii="Calibri" w:hAnsi="Calibri"/>
                <w:b w:val="0"/>
                <w:i w:val="0"/>
                <w:color w:val="1F2A37"/>
                <w:sz w:val="19"/>
              </w:rPr>
              <w:t>Knowledge, confidence, self-reported behavior</w:t>
            </w:r>
          </w:p>
        </w:tc>
        <w:tc>
          <w:tcPr>
            <w:tcW w:type="dxa" w:w="1080"/>
          </w:tcPr>
          <w:p>
            <w:pPr>
              <w:spacing w:before="40" w:after="40" w:line="252" w:lineRule="auto"/>
            </w:pPr>
            <w:r/>
            <w:r>
              <w:rPr>
                <w:rFonts w:ascii="Calibri" w:hAnsi="Calibri"/>
                <w:b w:val="0"/>
                <w:i w:val="0"/>
                <w:color w:val="1F2A37"/>
                <w:sz w:val="19"/>
              </w:rPr>
              <w:t>Low</w:t>
            </w:r>
          </w:p>
        </w:tc>
        <w:tc>
          <w:tcPr>
            <w:tcW w:type="dxa" w:w="2952"/>
          </w:tcPr>
          <w:p>
            <w:pPr>
              <w:spacing w:before="40" w:after="40" w:line="252" w:lineRule="auto"/>
            </w:pPr>
            <w:r/>
            <w:r>
              <w:rPr>
                <w:rFonts w:ascii="Calibri" w:hAnsi="Calibri"/>
                <w:b w:val="0"/>
                <w:i w:val="0"/>
                <w:color w:val="1F2A37"/>
                <w:sz w:val="19"/>
              </w:rPr>
              <w:t>Response drop-off at the post point</w:t>
            </w:r>
          </w:p>
        </w:tc>
      </w:tr>
      <w:tr>
        <w:tc>
          <w:tcPr>
            <w:tcW w:type="dxa" w:w="2160"/>
          </w:tcPr>
          <w:p>
            <w:pPr>
              <w:spacing w:before="40" w:after="40" w:line="252" w:lineRule="auto"/>
            </w:pPr>
            <w:r/>
            <w:r>
              <w:rPr>
                <w:rFonts w:ascii="Calibri" w:hAnsi="Calibri"/>
                <w:b w:val="0"/>
                <w:i w:val="0"/>
                <w:color w:val="1F2A37"/>
                <w:sz w:val="19"/>
              </w:rPr>
              <w:t>Service and attendance records</w:t>
            </w:r>
          </w:p>
        </w:tc>
        <w:tc>
          <w:tcPr>
            <w:tcW w:type="dxa" w:w="3168"/>
          </w:tcPr>
          <w:p>
            <w:pPr>
              <w:spacing w:before="40" w:after="40" w:line="252" w:lineRule="auto"/>
            </w:pPr>
            <w:r/>
            <w:r>
              <w:rPr>
                <w:rFonts w:ascii="Calibri" w:hAnsi="Calibri"/>
                <w:b w:val="0"/>
                <w:i w:val="0"/>
                <w:color w:val="1F2A37"/>
                <w:sz w:val="19"/>
              </w:rPr>
              <w:t>Dosage, reach, retention</w:t>
            </w:r>
          </w:p>
        </w:tc>
        <w:tc>
          <w:tcPr>
            <w:tcW w:type="dxa" w:w="1080"/>
          </w:tcPr>
          <w:p>
            <w:pPr>
              <w:spacing w:before="40" w:after="40" w:line="252" w:lineRule="auto"/>
            </w:pPr>
            <w:r/>
            <w:r>
              <w:rPr>
                <w:rFonts w:ascii="Calibri" w:hAnsi="Calibri"/>
                <w:b w:val="0"/>
                <w:i w:val="0"/>
                <w:color w:val="1F2A37"/>
                <w:sz w:val="19"/>
              </w:rPr>
              <w:t>Very low</w:t>
            </w:r>
          </w:p>
        </w:tc>
        <w:tc>
          <w:tcPr>
            <w:tcW w:type="dxa" w:w="2952"/>
          </w:tcPr>
          <w:p>
            <w:pPr>
              <w:spacing w:before="40" w:after="40" w:line="252" w:lineRule="auto"/>
            </w:pPr>
            <w:r/>
            <w:r>
              <w:rPr>
                <w:rFonts w:ascii="Calibri" w:hAnsi="Calibri"/>
                <w:b w:val="0"/>
                <w:i w:val="0"/>
                <w:color w:val="1F2A37"/>
                <w:sz w:val="19"/>
              </w:rPr>
              <w:t>Counts delivery, says nothing about benefit</w:t>
            </w:r>
          </w:p>
        </w:tc>
      </w:tr>
      <w:tr>
        <w:tc>
          <w:tcPr>
            <w:tcW w:type="dxa" w:w="2160"/>
          </w:tcPr>
          <w:p>
            <w:pPr>
              <w:spacing w:before="40" w:after="40" w:line="252" w:lineRule="auto"/>
            </w:pPr>
            <w:r/>
            <w:r>
              <w:rPr>
                <w:rFonts w:ascii="Calibri" w:hAnsi="Calibri"/>
                <w:b w:val="0"/>
                <w:i w:val="0"/>
                <w:color w:val="1F2A37"/>
                <w:sz w:val="19"/>
              </w:rPr>
              <w:t>Standardized assessment</w:t>
            </w:r>
          </w:p>
        </w:tc>
        <w:tc>
          <w:tcPr>
            <w:tcW w:type="dxa" w:w="3168"/>
          </w:tcPr>
          <w:p>
            <w:pPr>
              <w:spacing w:before="40" w:after="40" w:line="252" w:lineRule="auto"/>
            </w:pPr>
            <w:r/>
            <w:r>
              <w:rPr>
                <w:rFonts w:ascii="Calibri" w:hAnsi="Calibri"/>
                <w:b w:val="0"/>
                <w:i w:val="0"/>
                <w:color w:val="1F2A37"/>
                <w:sz w:val="19"/>
              </w:rPr>
              <w:t>Skills, clinical or academic measures</w:t>
            </w:r>
          </w:p>
        </w:tc>
        <w:tc>
          <w:tcPr>
            <w:tcW w:type="dxa" w:w="1080"/>
          </w:tcPr>
          <w:p>
            <w:pPr>
              <w:spacing w:before="40" w:after="40" w:line="252" w:lineRule="auto"/>
            </w:pPr>
            <w:r/>
            <w:r>
              <w:rPr>
                <w:rFonts w:ascii="Calibri" w:hAnsi="Calibri"/>
                <w:b w:val="0"/>
                <w:i w:val="0"/>
                <w:color w:val="1F2A37"/>
                <w:sz w:val="19"/>
              </w:rPr>
              <w:t>Medium</w:t>
            </w:r>
          </w:p>
        </w:tc>
        <w:tc>
          <w:tcPr>
            <w:tcW w:type="dxa" w:w="2952"/>
          </w:tcPr>
          <w:p>
            <w:pPr>
              <w:spacing w:before="40" w:after="40" w:line="252" w:lineRule="auto"/>
            </w:pPr>
            <w:r/>
            <w:r>
              <w:rPr>
                <w:rFonts w:ascii="Calibri" w:hAnsi="Calibri"/>
                <w:b w:val="0"/>
                <w:i w:val="0"/>
                <w:color w:val="1F2A37"/>
                <w:sz w:val="19"/>
              </w:rPr>
              <w:t>Licensing cost and administration time</w:t>
            </w:r>
          </w:p>
        </w:tc>
      </w:tr>
      <w:tr>
        <w:tc>
          <w:tcPr>
            <w:tcW w:type="dxa" w:w="2160"/>
          </w:tcPr>
          <w:p>
            <w:pPr>
              <w:spacing w:before="40" w:after="40" w:line="252" w:lineRule="auto"/>
            </w:pPr>
            <w:r/>
            <w:r>
              <w:rPr>
                <w:rFonts w:ascii="Calibri" w:hAnsi="Calibri"/>
                <w:b w:val="0"/>
                <w:i w:val="0"/>
                <w:color w:val="1F2A37"/>
                <w:sz w:val="19"/>
              </w:rPr>
              <w:t>Interviews or focus groups</w:t>
            </w:r>
          </w:p>
        </w:tc>
        <w:tc>
          <w:tcPr>
            <w:tcW w:type="dxa" w:w="3168"/>
          </w:tcPr>
          <w:p>
            <w:pPr>
              <w:spacing w:before="40" w:after="40" w:line="252" w:lineRule="auto"/>
            </w:pPr>
            <w:r/>
            <w:r>
              <w:rPr>
                <w:rFonts w:ascii="Calibri" w:hAnsi="Calibri"/>
                <w:b w:val="0"/>
                <w:i w:val="0"/>
                <w:color w:val="1F2A37"/>
                <w:sz w:val="19"/>
              </w:rPr>
              <w:t>Why something worked or stalled</w:t>
            </w:r>
          </w:p>
        </w:tc>
        <w:tc>
          <w:tcPr>
            <w:tcW w:type="dxa" w:w="1080"/>
          </w:tcPr>
          <w:p>
            <w:pPr>
              <w:spacing w:before="40" w:after="40" w:line="252" w:lineRule="auto"/>
            </w:pPr>
            <w:r/>
            <w:r>
              <w:rPr>
                <w:rFonts w:ascii="Calibri" w:hAnsi="Calibri"/>
                <w:b w:val="0"/>
                <w:i w:val="0"/>
                <w:color w:val="1F2A37"/>
                <w:sz w:val="19"/>
              </w:rPr>
              <w:t>Medium</w:t>
            </w:r>
          </w:p>
        </w:tc>
        <w:tc>
          <w:tcPr>
            <w:tcW w:type="dxa" w:w="2952"/>
          </w:tcPr>
          <w:p>
            <w:pPr>
              <w:spacing w:before="40" w:after="40" w:line="252" w:lineRule="auto"/>
            </w:pPr>
            <w:r/>
            <w:r>
              <w:rPr>
                <w:rFonts w:ascii="Calibri" w:hAnsi="Calibri"/>
                <w:b w:val="0"/>
                <w:i w:val="0"/>
                <w:color w:val="1F2A37"/>
                <w:sz w:val="19"/>
              </w:rPr>
              <w:t>Cannot be summarized as a percentage</w:t>
            </w:r>
          </w:p>
        </w:tc>
      </w:tr>
      <w:tr>
        <w:tc>
          <w:tcPr>
            <w:tcW w:type="dxa" w:w="2160"/>
          </w:tcPr>
          <w:p>
            <w:pPr>
              <w:spacing w:before="40" w:after="40" w:line="252" w:lineRule="auto"/>
            </w:pPr>
            <w:r/>
            <w:r>
              <w:rPr>
                <w:rFonts w:ascii="Calibri" w:hAnsi="Calibri"/>
                <w:b w:val="0"/>
                <w:i w:val="0"/>
                <w:color w:val="1F2A37"/>
                <w:sz w:val="19"/>
              </w:rPr>
              <w:t>Administrative data match</w:t>
            </w:r>
          </w:p>
        </w:tc>
        <w:tc>
          <w:tcPr>
            <w:tcW w:type="dxa" w:w="3168"/>
          </w:tcPr>
          <w:p>
            <w:pPr>
              <w:spacing w:before="40" w:after="40" w:line="252" w:lineRule="auto"/>
            </w:pPr>
            <w:r/>
            <w:r>
              <w:rPr>
                <w:rFonts w:ascii="Calibri" w:hAnsi="Calibri"/>
                <w:b w:val="0"/>
                <w:i w:val="0"/>
                <w:color w:val="1F2A37"/>
                <w:sz w:val="19"/>
              </w:rPr>
              <w:t>Longer-term outcomes such as enrollment or wages</w:t>
            </w:r>
          </w:p>
        </w:tc>
        <w:tc>
          <w:tcPr>
            <w:tcW w:type="dxa" w:w="1080"/>
          </w:tcPr>
          <w:p>
            <w:pPr>
              <w:spacing w:before="40" w:after="40" w:line="252" w:lineRule="auto"/>
            </w:pPr>
            <w:r/>
            <w:r>
              <w:rPr>
                <w:rFonts w:ascii="Calibri" w:hAnsi="Calibri"/>
                <w:b w:val="0"/>
                <w:i w:val="0"/>
                <w:color w:val="1F2A37"/>
                <w:sz w:val="19"/>
              </w:rPr>
              <w:t>High</w:t>
            </w:r>
          </w:p>
        </w:tc>
        <w:tc>
          <w:tcPr>
            <w:tcW w:type="dxa" w:w="2952"/>
          </w:tcPr>
          <w:p>
            <w:pPr>
              <w:spacing w:before="40" w:after="40" w:line="252" w:lineRule="auto"/>
            </w:pPr>
            <w:r/>
            <w:r>
              <w:rPr>
                <w:rFonts w:ascii="Calibri" w:hAnsi="Calibri"/>
                <w:b w:val="0"/>
                <w:i w:val="0"/>
                <w:color w:val="1F2A37"/>
                <w:sz w:val="19"/>
              </w:rPr>
              <w:t>Data-sharing agreements take months to execute</w:t>
            </w:r>
          </w:p>
        </w:tc>
      </w:tr>
      <w:tr>
        <w:tc>
          <w:tcPr>
            <w:tcW w:type="dxa" w:w="2160"/>
          </w:tcPr>
          <w:p>
            <w:pPr>
              <w:spacing w:before="40" w:after="40" w:line="252" w:lineRule="auto"/>
            </w:pPr>
            <w:r/>
            <w:r>
              <w:rPr>
                <w:rFonts w:ascii="Calibri" w:hAnsi="Calibri"/>
                <w:b w:val="0"/>
                <w:i w:val="0"/>
                <w:color w:val="1F2A37"/>
                <w:sz w:val="19"/>
              </w:rPr>
              <w:t>Observation rubric</w:t>
            </w:r>
          </w:p>
        </w:tc>
        <w:tc>
          <w:tcPr>
            <w:tcW w:type="dxa" w:w="3168"/>
          </w:tcPr>
          <w:p>
            <w:pPr>
              <w:spacing w:before="40" w:after="40" w:line="252" w:lineRule="auto"/>
            </w:pPr>
            <w:r/>
            <w:r>
              <w:rPr>
                <w:rFonts w:ascii="Calibri" w:hAnsi="Calibri"/>
                <w:b w:val="0"/>
                <w:i w:val="0"/>
                <w:color w:val="1F2A37"/>
                <w:sz w:val="19"/>
              </w:rPr>
              <w:t>Practice change, program fidelity</w:t>
            </w:r>
          </w:p>
        </w:tc>
        <w:tc>
          <w:tcPr>
            <w:tcW w:type="dxa" w:w="1080"/>
          </w:tcPr>
          <w:p>
            <w:pPr>
              <w:spacing w:before="40" w:after="40" w:line="252" w:lineRule="auto"/>
            </w:pPr>
            <w:r/>
            <w:r>
              <w:rPr>
                <w:rFonts w:ascii="Calibri" w:hAnsi="Calibri"/>
                <w:b w:val="0"/>
                <w:i w:val="0"/>
                <w:color w:val="1F2A37"/>
                <w:sz w:val="19"/>
              </w:rPr>
              <w:t>Medium</w:t>
            </w:r>
          </w:p>
        </w:tc>
        <w:tc>
          <w:tcPr>
            <w:tcW w:type="dxa" w:w="2952"/>
          </w:tcPr>
          <w:p>
            <w:pPr>
              <w:spacing w:before="40" w:after="40" w:line="252" w:lineRule="auto"/>
            </w:pPr>
            <w:r/>
            <w:r>
              <w:rPr>
                <w:rFonts w:ascii="Calibri" w:hAnsi="Calibri"/>
                <w:b w:val="0"/>
                <w:i w:val="0"/>
                <w:color w:val="1F2A37"/>
                <w:sz w:val="19"/>
              </w:rPr>
              <w:t>Needs two raters to be credible</w:t>
            </w:r>
          </w:p>
        </w:tc>
      </w:tr>
    </w:tbl>
    <w:p>
      <w:pPr>
        <w:spacing w:after="80"/>
      </w:pPr>
    </w:p>
    <w:p>
      <w:r>
        <w:t>Two methods cover most of what a reader needs. One quantitative measure shows the size of the change, and one qualitative measure explains it. Name both, and say which evaluation question each one answers.</w:t>
      </w:r>
    </w:p>
    <w:p>
      <w:pPr>
        <w:pStyle w:val="Heading2"/>
      </w:pPr>
      <w:r>
        <w:t>What is proportionate at each award size</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2016"/>
            <w:shd w:val="clear" w:color="auto" w:fill="E3E9EE"/>
          </w:tcPr>
          <w:p>
            <w:pPr>
              <w:spacing w:before="40" w:after="40" w:line="252" w:lineRule="auto"/>
            </w:pPr>
            <w:r/>
            <w:r>
              <w:rPr>
                <w:rFonts w:ascii="Calibri" w:hAnsi="Calibri"/>
                <w:b/>
                <w:i w:val="0"/>
                <w:color w:val="0F5F63"/>
                <w:sz w:val="19"/>
              </w:rPr>
              <w:t>Award size</w:t>
            </w:r>
          </w:p>
        </w:tc>
        <w:tc>
          <w:tcPr>
            <w:tcW w:type="dxa" w:w="4032"/>
            <w:shd w:val="clear" w:color="auto" w:fill="E3E9EE"/>
          </w:tcPr>
          <w:p>
            <w:pPr>
              <w:spacing w:before="40" w:after="40" w:line="252" w:lineRule="auto"/>
            </w:pPr>
            <w:r/>
            <w:r>
              <w:rPr>
                <w:rFonts w:ascii="Calibri" w:hAnsi="Calibri"/>
                <w:b/>
                <w:i w:val="0"/>
                <w:color w:val="0F5F63"/>
                <w:sz w:val="19"/>
              </w:rPr>
              <w:t>A design that fits</w:t>
            </w:r>
          </w:p>
        </w:tc>
        <w:tc>
          <w:tcPr>
            <w:tcW w:type="dxa" w:w="3312"/>
            <w:shd w:val="clear" w:color="auto" w:fill="E3E9EE"/>
          </w:tcPr>
          <w:p>
            <w:pPr>
              <w:spacing w:before="40" w:after="40" w:line="252" w:lineRule="auto"/>
            </w:pPr>
            <w:r/>
            <w:r>
              <w:rPr>
                <w:rFonts w:ascii="Calibri" w:hAnsi="Calibri"/>
                <w:b/>
                <w:i w:val="0"/>
                <w:color w:val="0F5F63"/>
                <w:sz w:val="19"/>
              </w:rPr>
              <w:t>Overreach to avoid</w:t>
            </w:r>
          </w:p>
        </w:tc>
      </w:tr>
      <w:tr>
        <w:tc>
          <w:tcPr>
            <w:tcW w:type="dxa" w:w="2016"/>
          </w:tcPr>
          <w:p>
            <w:pPr>
              <w:spacing w:before="40" w:after="40" w:line="252" w:lineRule="auto"/>
            </w:pPr>
            <w:r/>
            <w:r>
              <w:rPr>
                <w:rFonts w:ascii="Calibri" w:hAnsi="Calibri"/>
                <w:b w:val="0"/>
                <w:i w:val="0"/>
                <w:color w:val="1F2A37"/>
                <w:sz w:val="19"/>
              </w:rPr>
              <w:t>Under $25,000</w:t>
            </w:r>
          </w:p>
        </w:tc>
        <w:tc>
          <w:tcPr>
            <w:tcW w:type="dxa" w:w="4032"/>
          </w:tcPr>
          <w:p>
            <w:pPr>
              <w:spacing w:before="40" w:after="40" w:line="252" w:lineRule="auto"/>
            </w:pPr>
            <w:r/>
            <w:r>
              <w:rPr>
                <w:rFonts w:ascii="Calibri" w:hAnsi="Calibri"/>
                <w:b w:val="0"/>
                <w:i w:val="0"/>
                <w:color w:val="1F2A37"/>
                <w:sz w:val="19"/>
              </w:rPr>
              <w:t>Existing records plus one short pre and post survey; two outcomes, honest targets</w:t>
            </w:r>
          </w:p>
        </w:tc>
        <w:tc>
          <w:tcPr>
            <w:tcW w:type="dxa" w:w="3312"/>
          </w:tcPr>
          <w:p>
            <w:pPr>
              <w:spacing w:before="40" w:after="40" w:line="252" w:lineRule="auto"/>
            </w:pPr>
            <w:r/>
            <w:r>
              <w:rPr>
                <w:rFonts w:ascii="Calibri" w:hAnsi="Calibri"/>
                <w:b w:val="0"/>
                <w:i w:val="0"/>
                <w:color w:val="1F2A37"/>
                <w:sz w:val="19"/>
              </w:rPr>
              <w:t>Any new instrument that needs licensing or training</w:t>
            </w:r>
          </w:p>
        </w:tc>
      </w:tr>
      <w:tr>
        <w:tc>
          <w:tcPr>
            <w:tcW w:type="dxa" w:w="2016"/>
          </w:tcPr>
          <w:p>
            <w:pPr>
              <w:spacing w:before="40" w:after="40" w:line="252" w:lineRule="auto"/>
            </w:pPr>
            <w:r/>
            <w:r>
              <w:rPr>
                <w:rFonts w:ascii="Calibri" w:hAnsi="Calibri"/>
                <w:b w:val="0"/>
                <w:i w:val="0"/>
                <w:color w:val="1F2A37"/>
                <w:sz w:val="19"/>
              </w:rPr>
              <w:t>$25,000 to $100,000</w:t>
            </w:r>
          </w:p>
        </w:tc>
        <w:tc>
          <w:tcPr>
            <w:tcW w:type="dxa" w:w="4032"/>
          </w:tcPr>
          <w:p>
            <w:pPr>
              <w:spacing w:before="40" w:after="40" w:line="252" w:lineRule="auto"/>
            </w:pPr>
            <w:r/>
            <w:r>
              <w:rPr>
                <w:rFonts w:ascii="Calibri" w:hAnsi="Calibri"/>
                <w:b w:val="0"/>
                <w:i w:val="0"/>
                <w:color w:val="1F2A37"/>
                <w:sz w:val="19"/>
              </w:rPr>
              <w:t>Pre and post measure with a repeat mid-point, plus a small qualitative element</w:t>
            </w:r>
          </w:p>
        </w:tc>
        <w:tc>
          <w:tcPr>
            <w:tcW w:type="dxa" w:w="3312"/>
          </w:tcPr>
          <w:p>
            <w:pPr>
              <w:spacing w:before="40" w:after="40" w:line="252" w:lineRule="auto"/>
            </w:pPr>
            <w:r/>
            <w:r>
              <w:rPr>
                <w:rFonts w:ascii="Calibri" w:hAnsi="Calibri"/>
                <w:b w:val="0"/>
                <w:i w:val="0"/>
                <w:color w:val="1F2A37"/>
                <w:sz w:val="19"/>
              </w:rPr>
              <w:t>External evaluator contracts that eat the program budget</w:t>
            </w:r>
          </w:p>
        </w:tc>
      </w:tr>
      <w:tr>
        <w:tc>
          <w:tcPr>
            <w:tcW w:type="dxa" w:w="2016"/>
          </w:tcPr>
          <w:p>
            <w:pPr>
              <w:spacing w:before="40" w:after="40" w:line="252" w:lineRule="auto"/>
            </w:pPr>
            <w:r/>
            <w:r>
              <w:rPr>
                <w:rFonts w:ascii="Calibri" w:hAnsi="Calibri"/>
                <w:b w:val="0"/>
                <w:i w:val="0"/>
                <w:color w:val="1F2A37"/>
                <w:sz w:val="19"/>
              </w:rPr>
              <w:t>$100,000 to $500,000</w:t>
            </w:r>
          </w:p>
        </w:tc>
        <w:tc>
          <w:tcPr>
            <w:tcW w:type="dxa" w:w="4032"/>
          </w:tcPr>
          <w:p>
            <w:pPr>
              <w:spacing w:before="40" w:after="40" w:line="252" w:lineRule="auto"/>
            </w:pPr>
            <w:r/>
            <w:r>
              <w:rPr>
                <w:rFonts w:ascii="Calibri" w:hAnsi="Calibri"/>
                <w:b w:val="0"/>
                <w:i w:val="0"/>
                <w:color w:val="1F2A37"/>
                <w:sz w:val="19"/>
              </w:rPr>
              <w:t>Cohort tracking with fixed follow-up intervals; fidelity checks; possible external analysis</w:t>
            </w:r>
          </w:p>
        </w:tc>
        <w:tc>
          <w:tcPr>
            <w:tcW w:type="dxa" w:w="3312"/>
          </w:tcPr>
          <w:p>
            <w:pPr>
              <w:spacing w:before="40" w:after="40" w:line="252" w:lineRule="auto"/>
            </w:pPr>
            <w:r/>
            <w:r>
              <w:rPr>
                <w:rFonts w:ascii="Calibri" w:hAnsi="Calibri"/>
                <w:b w:val="0"/>
                <w:i w:val="0"/>
                <w:color w:val="1F2A37"/>
                <w:sz w:val="19"/>
              </w:rPr>
              <w:t>Promised administrative data you have no agreement for</w:t>
            </w:r>
          </w:p>
        </w:tc>
      </w:tr>
      <w:tr>
        <w:tc>
          <w:tcPr>
            <w:tcW w:type="dxa" w:w="2016"/>
          </w:tcPr>
          <w:p>
            <w:pPr>
              <w:spacing w:before="40" w:after="40" w:line="252" w:lineRule="auto"/>
            </w:pPr>
            <w:r/>
            <w:r>
              <w:rPr>
                <w:rFonts w:ascii="Calibri" w:hAnsi="Calibri"/>
                <w:b w:val="0"/>
                <w:i w:val="0"/>
                <w:color w:val="1F2A37"/>
                <w:sz w:val="19"/>
              </w:rPr>
              <w:t>Above $500,000 or research awards</w:t>
            </w:r>
          </w:p>
        </w:tc>
        <w:tc>
          <w:tcPr>
            <w:tcW w:type="dxa" w:w="4032"/>
          </w:tcPr>
          <w:p>
            <w:pPr>
              <w:spacing w:before="40" w:after="40" w:line="252" w:lineRule="auto"/>
            </w:pPr>
            <w:r/>
            <w:r>
              <w:rPr>
                <w:rFonts w:ascii="Calibri" w:hAnsi="Calibri"/>
                <w:b w:val="0"/>
                <w:i w:val="0"/>
                <w:color w:val="1F2A37"/>
                <w:sz w:val="19"/>
              </w:rPr>
              <w:t>Whatever the notice specifies, including comparison designs, with named evaluator capacity</w:t>
            </w:r>
          </w:p>
        </w:tc>
        <w:tc>
          <w:tcPr>
            <w:tcW w:type="dxa" w:w="3312"/>
          </w:tcPr>
          <w:p>
            <w:pPr>
              <w:spacing w:before="40" w:after="40" w:line="252" w:lineRule="auto"/>
            </w:pPr>
            <w:r/>
            <w:r>
              <w:rPr>
                <w:rFonts w:ascii="Calibri" w:hAnsi="Calibri"/>
                <w:b w:val="0"/>
                <w:i w:val="0"/>
                <w:color w:val="1F2A37"/>
                <w:sz w:val="19"/>
              </w:rPr>
              <w:t>Under-budgeting the evaluator relative to the design proposed</w:t>
            </w:r>
          </w:p>
        </w:tc>
      </w:tr>
    </w:tbl>
    <w:p>
      <w:pPr>
        <w:spacing w:after="80"/>
      </w:pPr>
    </w:p>
    <w:p>
      <w:r>
        <w:br w:type="page"/>
      </w:r>
    </w:p>
    <w:p>
      <w:pPr>
        <w:pStyle w:val="Heading1"/>
      </w:pPr>
      <w:r>
        <w:t>4. Worked example: a complete evaluation plan section</w:t>
      </w:r>
    </w:p>
    <w:p>
      <w:pPr>
        <w:pStyle w:val="GCMeta"/>
      </w:pPr>
      <w:r>
        <w:t>Riverbend Literacy Collaborative is an invented composite organization. Figures are illustrative. Scenario: a $60,000 request over two years from a small literacy nonprofit running after-school tutoring for third graders at two school sites, serving about 40 students per year across 30 sessions.</w:t>
      </w:r>
    </w:p>
    <w:p>
      <w:pPr>
        <w:pStyle w:val="GCGuidance"/>
      </w:pPr>
      <w:r>
        <w:t>Everything from here to the end of Section 4 is written as it would appear in the proposal. Adapt the wording directly. The commentary resumes in the last subsection.</w:t>
      </w:r>
    </w:p>
    <w:p>
      <w:pPr>
        <w:pStyle w:val="Heading2"/>
      </w:pPr>
      <w:r>
        <w:t>Evaluation questions</w:t>
      </w:r>
    </w:p>
    <w:p>
      <w:pPr>
        <w:pStyle w:val="ListNumber"/>
      </w:pPr>
      <w:r>
        <w:t>Do participating students improve oral reading fluency over the school year?</w:t>
      </w:r>
    </w:p>
    <w:p>
      <w:pPr>
        <w:pStyle w:val="ListNumber"/>
      </w:pPr>
      <w:r>
        <w:t>Does the number of tutoring sessions a student attends relate to the size of that improvement?</w:t>
      </w:r>
    </w:p>
    <w:p>
      <w:pPr>
        <w:pStyle w:val="ListNumber"/>
      </w:pPr>
      <w:r>
        <w:t>Do families find the program schedule workable enough to keep attending?</w:t>
      </w:r>
    </w:p>
    <w:p>
      <w:pPr>
        <w:pStyle w:val="ListNumber"/>
      </w:pPr>
      <w:r>
        <w:t>Are tutors delivering the tutoring model as designed?</w:t>
      </w:r>
    </w:p>
    <w:p>
      <w:pPr>
        <w:pStyle w:val="Heading2"/>
      </w:pPr>
      <w:r>
        <w:t>Outcomes, indicators, and targets</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1800"/>
            <w:shd w:val="clear" w:color="auto" w:fill="E3E9EE"/>
          </w:tcPr>
          <w:p>
            <w:pPr>
              <w:spacing w:before="40" w:after="40" w:line="252" w:lineRule="auto"/>
            </w:pPr>
            <w:r/>
            <w:r>
              <w:rPr>
                <w:rFonts w:ascii="Calibri" w:hAnsi="Calibri"/>
                <w:b/>
                <w:i w:val="0"/>
                <w:color w:val="0F5F63"/>
                <w:sz w:val="19"/>
              </w:rPr>
              <w:t>Outcome</w:t>
            </w:r>
          </w:p>
        </w:tc>
        <w:tc>
          <w:tcPr>
            <w:tcW w:type="dxa" w:w="1944"/>
            <w:shd w:val="clear" w:color="auto" w:fill="E3E9EE"/>
          </w:tcPr>
          <w:p>
            <w:pPr>
              <w:spacing w:before="40" w:after="40" w:line="252" w:lineRule="auto"/>
            </w:pPr>
            <w:r/>
            <w:r>
              <w:rPr>
                <w:rFonts w:ascii="Calibri" w:hAnsi="Calibri"/>
                <w:b/>
                <w:i w:val="0"/>
                <w:color w:val="0F5F63"/>
                <w:sz w:val="19"/>
              </w:rPr>
              <w:t>Indicator</w:t>
            </w:r>
          </w:p>
        </w:tc>
        <w:tc>
          <w:tcPr>
            <w:tcW w:type="dxa" w:w="2160"/>
            <w:shd w:val="clear" w:color="auto" w:fill="E3E9EE"/>
          </w:tcPr>
          <w:p>
            <w:pPr>
              <w:spacing w:before="40" w:after="40" w:line="252" w:lineRule="auto"/>
            </w:pPr>
            <w:r/>
            <w:r>
              <w:rPr>
                <w:rFonts w:ascii="Calibri" w:hAnsi="Calibri"/>
                <w:b/>
                <w:i w:val="0"/>
                <w:color w:val="0F5F63"/>
                <w:sz w:val="19"/>
              </w:rPr>
              <w:t>Data source</w:t>
            </w:r>
          </w:p>
        </w:tc>
        <w:tc>
          <w:tcPr>
            <w:tcW w:type="dxa" w:w="1440"/>
            <w:shd w:val="clear" w:color="auto" w:fill="E3E9EE"/>
          </w:tcPr>
          <w:p>
            <w:pPr>
              <w:spacing w:before="40" w:after="40" w:line="252" w:lineRule="auto"/>
            </w:pPr>
            <w:r/>
            <w:r>
              <w:rPr>
                <w:rFonts w:ascii="Calibri" w:hAnsi="Calibri"/>
                <w:b/>
                <w:i w:val="0"/>
                <w:color w:val="0F5F63"/>
                <w:sz w:val="19"/>
              </w:rPr>
              <w:t>Schedule</w:t>
            </w:r>
          </w:p>
        </w:tc>
        <w:tc>
          <w:tcPr>
            <w:tcW w:type="dxa" w:w="2016"/>
            <w:shd w:val="clear" w:color="auto" w:fill="E3E9EE"/>
          </w:tcPr>
          <w:p>
            <w:pPr>
              <w:spacing w:before="40" w:after="40" w:line="252" w:lineRule="auto"/>
            </w:pPr>
            <w:r/>
            <w:r>
              <w:rPr>
                <w:rFonts w:ascii="Calibri" w:hAnsi="Calibri"/>
                <w:b/>
                <w:i w:val="0"/>
                <w:color w:val="0F5F63"/>
                <w:sz w:val="19"/>
              </w:rPr>
              <w:t>Target</w:t>
            </w:r>
          </w:p>
        </w:tc>
      </w:tr>
      <w:tr>
        <w:tc>
          <w:tcPr>
            <w:tcW w:type="dxa" w:w="1800"/>
          </w:tcPr>
          <w:p>
            <w:pPr>
              <w:spacing w:before="40" w:after="40" w:line="252" w:lineRule="auto"/>
            </w:pPr>
            <w:r/>
            <w:r>
              <w:rPr>
                <w:rFonts w:ascii="Calibri" w:hAnsi="Calibri"/>
                <w:b w:val="0"/>
                <w:i w:val="0"/>
                <w:color w:val="1F2A37"/>
                <w:sz w:val="19"/>
              </w:rPr>
              <w:t>Students improve oral reading fluency</w:t>
            </w:r>
          </w:p>
        </w:tc>
        <w:tc>
          <w:tcPr>
            <w:tcW w:type="dxa" w:w="1944"/>
          </w:tcPr>
          <w:p>
            <w:pPr>
              <w:spacing w:before="40" w:after="40" w:line="252" w:lineRule="auto"/>
            </w:pPr>
            <w:r/>
            <w:r>
              <w:rPr>
                <w:rFonts w:ascii="Calibri" w:hAnsi="Calibri"/>
                <w:b w:val="0"/>
                <w:i w:val="0"/>
                <w:color w:val="1F2A37"/>
                <w:sz w:val="19"/>
              </w:rPr>
              <w:t>Words correct per minute on a grade-level passage</w:t>
            </w:r>
          </w:p>
        </w:tc>
        <w:tc>
          <w:tcPr>
            <w:tcW w:type="dxa" w:w="2160"/>
          </w:tcPr>
          <w:p>
            <w:pPr>
              <w:spacing w:before="40" w:after="40" w:line="252" w:lineRule="auto"/>
            </w:pPr>
            <w:r/>
            <w:r>
              <w:rPr>
                <w:rFonts w:ascii="Calibri" w:hAnsi="Calibri"/>
                <w:b w:val="0"/>
                <w:i w:val="0"/>
                <w:color w:val="1F2A37"/>
                <w:sz w:val="19"/>
              </w:rPr>
              <w:t>Curriculum-based fluency probe administered by the site coordinator</w:t>
            </w:r>
          </w:p>
        </w:tc>
        <w:tc>
          <w:tcPr>
            <w:tcW w:type="dxa" w:w="1440"/>
          </w:tcPr>
          <w:p>
            <w:pPr>
              <w:spacing w:before="40" w:after="40" w:line="252" w:lineRule="auto"/>
            </w:pPr>
            <w:r/>
            <w:r>
              <w:rPr>
                <w:rFonts w:ascii="Calibri" w:hAnsi="Calibri"/>
                <w:b w:val="0"/>
                <w:i w:val="0"/>
                <w:color w:val="1F2A37"/>
                <w:sz w:val="19"/>
              </w:rPr>
              <w:t>September, January, May</w:t>
            </w:r>
          </w:p>
        </w:tc>
        <w:tc>
          <w:tcPr>
            <w:tcW w:type="dxa" w:w="2016"/>
          </w:tcPr>
          <w:p>
            <w:pPr>
              <w:spacing w:before="40" w:after="40" w:line="252" w:lineRule="auto"/>
            </w:pPr>
            <w:r/>
            <w:r>
              <w:rPr>
                <w:rFonts w:ascii="Calibri" w:hAnsi="Calibri"/>
                <w:b w:val="0"/>
                <w:i w:val="0"/>
                <w:color w:val="1F2A37"/>
                <w:sz w:val="19"/>
              </w:rPr>
              <w:t>70% of enrolled students gain at least 20 wcpm from baseline by May</w:t>
            </w:r>
          </w:p>
        </w:tc>
      </w:tr>
      <w:tr>
        <w:tc>
          <w:tcPr>
            <w:tcW w:type="dxa" w:w="1800"/>
          </w:tcPr>
          <w:p>
            <w:pPr>
              <w:spacing w:before="40" w:after="40" w:line="252" w:lineRule="auto"/>
            </w:pPr>
            <w:r/>
            <w:r>
              <w:rPr>
                <w:rFonts w:ascii="Calibri" w:hAnsi="Calibri"/>
                <w:b w:val="0"/>
                <w:i w:val="0"/>
                <w:color w:val="1F2A37"/>
                <w:sz w:val="19"/>
              </w:rPr>
              <w:t>Students receive a meaningful amount of tutoring</w:t>
            </w:r>
          </w:p>
        </w:tc>
        <w:tc>
          <w:tcPr>
            <w:tcW w:type="dxa" w:w="1944"/>
          </w:tcPr>
          <w:p>
            <w:pPr>
              <w:spacing w:before="40" w:after="40" w:line="252" w:lineRule="auto"/>
            </w:pPr>
            <w:r/>
            <w:r>
              <w:rPr>
                <w:rFonts w:ascii="Calibri" w:hAnsi="Calibri"/>
                <w:b w:val="0"/>
                <w:i w:val="0"/>
                <w:color w:val="1F2A37"/>
                <w:sz w:val="19"/>
              </w:rPr>
              <w:t>Sessions attended per student, out of 30 offered</w:t>
            </w:r>
          </w:p>
        </w:tc>
        <w:tc>
          <w:tcPr>
            <w:tcW w:type="dxa" w:w="2160"/>
          </w:tcPr>
          <w:p>
            <w:pPr>
              <w:spacing w:before="40" w:after="40" w:line="252" w:lineRule="auto"/>
            </w:pPr>
            <w:r/>
            <w:r>
              <w:rPr>
                <w:rFonts w:ascii="Calibri" w:hAnsi="Calibri"/>
                <w:b w:val="0"/>
                <w:i w:val="0"/>
                <w:color w:val="1F2A37"/>
                <w:sz w:val="19"/>
              </w:rPr>
              <w:t>Sign-in log in the program database</w:t>
            </w:r>
          </w:p>
        </w:tc>
        <w:tc>
          <w:tcPr>
            <w:tcW w:type="dxa" w:w="1440"/>
          </w:tcPr>
          <w:p>
            <w:pPr>
              <w:spacing w:before="40" w:after="40" w:line="252" w:lineRule="auto"/>
            </w:pPr>
            <w:r/>
            <w:r>
              <w:rPr>
                <w:rFonts w:ascii="Calibri" w:hAnsi="Calibri"/>
                <w:b w:val="0"/>
                <w:i w:val="0"/>
                <w:color w:val="1F2A37"/>
                <w:sz w:val="19"/>
              </w:rPr>
              <w:t>Entered weekly</w:t>
            </w:r>
          </w:p>
        </w:tc>
        <w:tc>
          <w:tcPr>
            <w:tcW w:type="dxa" w:w="2016"/>
          </w:tcPr>
          <w:p>
            <w:pPr>
              <w:spacing w:before="40" w:after="40" w:line="252" w:lineRule="auto"/>
            </w:pPr>
            <w:r/>
            <w:r>
              <w:rPr>
                <w:rFonts w:ascii="Calibri" w:hAnsi="Calibri"/>
                <w:b w:val="0"/>
                <w:i w:val="0"/>
                <w:color w:val="1F2A37"/>
                <w:sz w:val="19"/>
              </w:rPr>
              <w:t>Median attendance of 24 of 30 sessions</w:t>
            </w:r>
          </w:p>
        </w:tc>
      </w:tr>
      <w:tr>
        <w:tc>
          <w:tcPr>
            <w:tcW w:type="dxa" w:w="1800"/>
          </w:tcPr>
          <w:p>
            <w:pPr>
              <w:spacing w:before="40" w:after="40" w:line="252" w:lineRule="auto"/>
            </w:pPr>
            <w:r/>
            <w:r>
              <w:rPr>
                <w:rFonts w:ascii="Calibri" w:hAnsi="Calibri"/>
                <w:b w:val="0"/>
                <w:i w:val="0"/>
                <w:color w:val="1F2A37"/>
                <w:sz w:val="19"/>
              </w:rPr>
              <w:t>Families can fit the program into their week</w:t>
            </w:r>
          </w:p>
        </w:tc>
        <w:tc>
          <w:tcPr>
            <w:tcW w:type="dxa" w:w="1944"/>
          </w:tcPr>
          <w:p>
            <w:pPr>
              <w:spacing w:before="40" w:after="40" w:line="252" w:lineRule="auto"/>
            </w:pPr>
            <w:r/>
            <w:r>
              <w:rPr>
                <w:rFonts w:ascii="Calibri" w:hAnsi="Calibri"/>
                <w:b w:val="0"/>
                <w:i w:val="0"/>
                <w:color w:val="1F2A37"/>
                <w:sz w:val="19"/>
              </w:rPr>
              <w:t>Share of responding families rating the schedule workable</w:t>
            </w:r>
          </w:p>
        </w:tc>
        <w:tc>
          <w:tcPr>
            <w:tcW w:type="dxa" w:w="2160"/>
          </w:tcPr>
          <w:p>
            <w:pPr>
              <w:spacing w:before="40" w:after="40" w:line="252" w:lineRule="auto"/>
            </w:pPr>
            <w:r/>
            <w:r>
              <w:rPr>
                <w:rFonts w:ascii="Calibri" w:hAnsi="Calibri"/>
                <w:b w:val="0"/>
                <w:i w:val="0"/>
                <w:color w:val="1F2A37"/>
                <w:sz w:val="19"/>
              </w:rPr>
              <w:t>Two-item family survey, paper and text link</w:t>
            </w:r>
          </w:p>
        </w:tc>
        <w:tc>
          <w:tcPr>
            <w:tcW w:type="dxa" w:w="1440"/>
          </w:tcPr>
          <w:p>
            <w:pPr>
              <w:spacing w:before="40" w:after="40" w:line="252" w:lineRule="auto"/>
            </w:pPr>
            <w:r/>
            <w:r>
              <w:rPr>
                <w:rFonts w:ascii="Calibri" w:hAnsi="Calibri"/>
                <w:b w:val="0"/>
                <w:i w:val="0"/>
                <w:color w:val="1F2A37"/>
                <w:sz w:val="19"/>
              </w:rPr>
              <w:t>November and May</w:t>
            </w:r>
          </w:p>
        </w:tc>
        <w:tc>
          <w:tcPr>
            <w:tcW w:type="dxa" w:w="2016"/>
          </w:tcPr>
          <w:p>
            <w:pPr>
              <w:spacing w:before="40" w:after="40" w:line="252" w:lineRule="auto"/>
            </w:pPr>
            <w:r/>
            <w:r>
              <w:rPr>
                <w:rFonts w:ascii="Calibri" w:hAnsi="Calibri"/>
                <w:b w:val="0"/>
                <w:i w:val="0"/>
                <w:color w:val="1F2A37"/>
                <w:sz w:val="19"/>
              </w:rPr>
              <w:t>80% of responding families rate the schedule workable in May</w:t>
            </w:r>
          </w:p>
        </w:tc>
      </w:tr>
      <w:tr>
        <w:tc>
          <w:tcPr>
            <w:tcW w:type="dxa" w:w="1800"/>
          </w:tcPr>
          <w:p>
            <w:pPr>
              <w:spacing w:before="40" w:after="40" w:line="252" w:lineRule="auto"/>
            </w:pPr>
            <w:r/>
            <w:r>
              <w:rPr>
                <w:rFonts w:ascii="Calibri" w:hAnsi="Calibri"/>
                <w:b w:val="0"/>
                <w:i w:val="0"/>
                <w:color w:val="1F2A37"/>
                <w:sz w:val="19"/>
              </w:rPr>
              <w:t>Tutors deliver the model as designed</w:t>
            </w:r>
          </w:p>
        </w:tc>
        <w:tc>
          <w:tcPr>
            <w:tcW w:type="dxa" w:w="1944"/>
          </w:tcPr>
          <w:p>
            <w:pPr>
              <w:spacing w:before="40" w:after="40" w:line="252" w:lineRule="auto"/>
            </w:pPr>
            <w:r/>
            <w:r>
              <w:rPr>
                <w:rFonts w:ascii="Calibri" w:hAnsi="Calibri"/>
                <w:b w:val="0"/>
                <w:i w:val="0"/>
                <w:color w:val="1F2A37"/>
                <w:sz w:val="19"/>
              </w:rPr>
              <w:t>Share of observed sessions meeting all five fidelity criteria</w:t>
            </w:r>
          </w:p>
        </w:tc>
        <w:tc>
          <w:tcPr>
            <w:tcW w:type="dxa" w:w="2160"/>
          </w:tcPr>
          <w:p>
            <w:pPr>
              <w:spacing w:before="40" w:after="40" w:line="252" w:lineRule="auto"/>
            </w:pPr>
            <w:r/>
            <w:r>
              <w:rPr>
                <w:rFonts w:ascii="Calibri" w:hAnsi="Calibri"/>
                <w:b w:val="0"/>
                <w:i w:val="0"/>
                <w:color w:val="1F2A37"/>
                <w:sz w:val="19"/>
              </w:rPr>
              <w:t>Observation checklist completed by the program director</w:t>
            </w:r>
          </w:p>
        </w:tc>
        <w:tc>
          <w:tcPr>
            <w:tcW w:type="dxa" w:w="1440"/>
          </w:tcPr>
          <w:p>
            <w:pPr>
              <w:spacing w:before="40" w:after="40" w:line="252" w:lineRule="auto"/>
            </w:pPr>
            <w:r/>
            <w:r>
              <w:rPr>
                <w:rFonts w:ascii="Calibri" w:hAnsi="Calibri"/>
                <w:b w:val="0"/>
                <w:i w:val="0"/>
                <w:color w:val="1F2A37"/>
                <w:sz w:val="19"/>
              </w:rPr>
              <w:t>Two observations per tutor per year</w:t>
            </w:r>
          </w:p>
        </w:tc>
        <w:tc>
          <w:tcPr>
            <w:tcW w:type="dxa" w:w="2016"/>
          </w:tcPr>
          <w:p>
            <w:pPr>
              <w:spacing w:before="40" w:after="40" w:line="252" w:lineRule="auto"/>
            </w:pPr>
            <w:r/>
            <w:r>
              <w:rPr>
                <w:rFonts w:ascii="Calibri" w:hAnsi="Calibri"/>
                <w:b w:val="0"/>
                <w:i w:val="0"/>
                <w:color w:val="1F2A37"/>
                <w:sz w:val="19"/>
              </w:rPr>
              <w:t>90% of observed sessions meet all five criteria</w:t>
            </w:r>
          </w:p>
        </w:tc>
      </w:tr>
    </w:tbl>
    <w:p>
      <w:pPr>
        <w:spacing w:after="80"/>
      </w:pPr>
    </w:p>
    <w:p>
      <w:pPr>
        <w:pStyle w:val="Heading2"/>
      </w:pPr>
      <w:r>
        <w:t>Data collection schedule</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1728"/>
            <w:shd w:val="clear" w:color="auto" w:fill="E3E9EE"/>
          </w:tcPr>
          <w:p>
            <w:pPr>
              <w:spacing w:before="40" w:after="40" w:line="252" w:lineRule="auto"/>
            </w:pPr>
            <w:r/>
            <w:r>
              <w:rPr>
                <w:rFonts w:ascii="Calibri" w:hAnsi="Calibri"/>
                <w:b/>
                <w:i w:val="0"/>
                <w:color w:val="0F5F63"/>
                <w:sz w:val="19"/>
              </w:rPr>
              <w:t>Measure</w:t>
            </w:r>
          </w:p>
        </w:tc>
        <w:tc>
          <w:tcPr>
            <w:tcW w:type="dxa" w:w="2232"/>
            <w:shd w:val="clear" w:color="auto" w:fill="E3E9EE"/>
          </w:tcPr>
          <w:p>
            <w:pPr>
              <w:spacing w:before="40" w:after="40" w:line="252" w:lineRule="auto"/>
            </w:pPr>
            <w:r/>
            <w:r>
              <w:rPr>
                <w:rFonts w:ascii="Calibri" w:hAnsi="Calibri"/>
                <w:b/>
                <w:i w:val="0"/>
                <w:color w:val="0F5F63"/>
                <w:sz w:val="19"/>
              </w:rPr>
              <w:t>Baseline</w:t>
            </w:r>
          </w:p>
        </w:tc>
        <w:tc>
          <w:tcPr>
            <w:tcW w:type="dxa" w:w="2232"/>
            <w:shd w:val="clear" w:color="auto" w:fill="E3E9EE"/>
          </w:tcPr>
          <w:p>
            <w:pPr>
              <w:spacing w:before="40" w:after="40" w:line="252" w:lineRule="auto"/>
            </w:pPr>
            <w:r/>
            <w:r>
              <w:rPr>
                <w:rFonts w:ascii="Calibri" w:hAnsi="Calibri"/>
                <w:b/>
                <w:i w:val="0"/>
                <w:color w:val="0F5F63"/>
                <w:sz w:val="19"/>
              </w:rPr>
              <w:t>Mid-point</w:t>
            </w:r>
          </w:p>
        </w:tc>
        <w:tc>
          <w:tcPr>
            <w:tcW w:type="dxa" w:w="1656"/>
            <w:shd w:val="clear" w:color="auto" w:fill="E3E9EE"/>
          </w:tcPr>
          <w:p>
            <w:pPr>
              <w:spacing w:before="40" w:after="40" w:line="252" w:lineRule="auto"/>
            </w:pPr>
            <w:r/>
            <w:r>
              <w:rPr>
                <w:rFonts w:ascii="Calibri" w:hAnsi="Calibri"/>
                <w:b/>
                <w:i w:val="0"/>
                <w:color w:val="0F5F63"/>
                <w:sz w:val="19"/>
              </w:rPr>
              <w:t>End of year</w:t>
            </w:r>
          </w:p>
        </w:tc>
        <w:tc>
          <w:tcPr>
            <w:tcW w:type="dxa" w:w="1512"/>
            <w:shd w:val="clear" w:color="auto" w:fill="E3E9EE"/>
          </w:tcPr>
          <w:p>
            <w:pPr>
              <w:spacing w:before="40" w:after="40" w:line="252" w:lineRule="auto"/>
            </w:pPr>
            <w:r/>
            <w:r>
              <w:rPr>
                <w:rFonts w:ascii="Calibri" w:hAnsi="Calibri"/>
                <w:b/>
                <w:i w:val="0"/>
                <w:color w:val="0F5F63"/>
                <w:sz w:val="19"/>
              </w:rPr>
              <w:t>Who collects</w:t>
            </w:r>
          </w:p>
        </w:tc>
      </w:tr>
      <w:tr>
        <w:tc>
          <w:tcPr>
            <w:tcW w:type="dxa" w:w="1728"/>
          </w:tcPr>
          <w:p>
            <w:pPr>
              <w:spacing w:before="40" w:after="40" w:line="252" w:lineRule="auto"/>
            </w:pPr>
            <w:r/>
            <w:r>
              <w:rPr>
                <w:rFonts w:ascii="Calibri" w:hAnsi="Calibri"/>
                <w:b w:val="0"/>
                <w:i w:val="0"/>
                <w:color w:val="1F2A37"/>
                <w:sz w:val="19"/>
              </w:rPr>
              <w:t>Fluency probe</w:t>
            </w:r>
          </w:p>
        </w:tc>
        <w:tc>
          <w:tcPr>
            <w:tcW w:type="dxa" w:w="2232"/>
          </w:tcPr>
          <w:p>
            <w:pPr>
              <w:spacing w:before="40" w:after="40" w:line="252" w:lineRule="auto"/>
            </w:pPr>
            <w:r/>
            <w:r>
              <w:rPr>
                <w:rFonts w:ascii="Calibri" w:hAnsi="Calibri"/>
                <w:b w:val="0"/>
                <w:i w:val="0"/>
                <w:color w:val="1F2A37"/>
                <w:sz w:val="19"/>
              </w:rPr>
              <w:t>First two weeks of September</w:t>
            </w:r>
          </w:p>
        </w:tc>
        <w:tc>
          <w:tcPr>
            <w:tcW w:type="dxa" w:w="2232"/>
          </w:tcPr>
          <w:p>
            <w:pPr>
              <w:spacing w:before="40" w:after="40" w:line="252" w:lineRule="auto"/>
            </w:pPr>
            <w:r/>
            <w:r>
              <w:rPr>
                <w:rFonts w:ascii="Calibri" w:hAnsi="Calibri"/>
                <w:b w:val="0"/>
                <w:i w:val="0"/>
                <w:color w:val="1F2A37"/>
                <w:sz w:val="19"/>
              </w:rPr>
              <w:t>Second week of January</w:t>
            </w:r>
          </w:p>
        </w:tc>
        <w:tc>
          <w:tcPr>
            <w:tcW w:type="dxa" w:w="1656"/>
          </w:tcPr>
          <w:p>
            <w:pPr>
              <w:spacing w:before="40" w:after="40" w:line="252" w:lineRule="auto"/>
            </w:pPr>
            <w:r/>
            <w:r>
              <w:rPr>
                <w:rFonts w:ascii="Calibri" w:hAnsi="Calibri"/>
                <w:b w:val="0"/>
                <w:i w:val="0"/>
                <w:color w:val="1F2A37"/>
                <w:sz w:val="19"/>
              </w:rPr>
              <w:t>First two weeks of May</w:t>
            </w:r>
          </w:p>
        </w:tc>
        <w:tc>
          <w:tcPr>
            <w:tcW w:type="dxa" w:w="1512"/>
          </w:tcPr>
          <w:p>
            <w:pPr>
              <w:spacing w:before="40" w:after="40" w:line="252" w:lineRule="auto"/>
            </w:pPr>
            <w:r/>
            <w:r>
              <w:rPr>
                <w:rFonts w:ascii="Calibri" w:hAnsi="Calibri"/>
                <w:b w:val="0"/>
                <w:i w:val="0"/>
                <w:color w:val="1F2A37"/>
                <w:sz w:val="19"/>
              </w:rPr>
              <w:t>Site coordinator</w:t>
            </w:r>
          </w:p>
        </w:tc>
      </w:tr>
      <w:tr>
        <w:tc>
          <w:tcPr>
            <w:tcW w:type="dxa" w:w="1728"/>
          </w:tcPr>
          <w:p>
            <w:pPr>
              <w:spacing w:before="40" w:after="40" w:line="252" w:lineRule="auto"/>
            </w:pPr>
            <w:r/>
            <w:r>
              <w:rPr>
                <w:rFonts w:ascii="Calibri" w:hAnsi="Calibri"/>
                <w:b w:val="0"/>
                <w:i w:val="0"/>
                <w:color w:val="1F2A37"/>
                <w:sz w:val="19"/>
              </w:rPr>
              <w:t>Attendance</w:t>
            </w:r>
          </w:p>
        </w:tc>
        <w:tc>
          <w:tcPr>
            <w:tcW w:type="dxa" w:w="2232"/>
          </w:tcPr>
          <w:p>
            <w:pPr>
              <w:spacing w:before="40" w:after="40" w:line="252" w:lineRule="auto"/>
            </w:pPr>
            <w:r/>
            <w:r>
              <w:rPr>
                <w:rFonts w:ascii="Calibri" w:hAnsi="Calibri"/>
                <w:b w:val="0"/>
                <w:i w:val="0"/>
                <w:color w:val="1F2A37"/>
                <w:sz w:val="19"/>
              </w:rPr>
              <w:t>Week 1 of programming</w:t>
            </w:r>
          </w:p>
        </w:tc>
        <w:tc>
          <w:tcPr>
            <w:tcW w:type="dxa" w:w="2232"/>
          </w:tcPr>
          <w:p>
            <w:pPr>
              <w:spacing w:before="40" w:after="40" w:line="252" w:lineRule="auto"/>
            </w:pPr>
            <w:r/>
            <w:r>
              <w:rPr>
                <w:rFonts w:ascii="Calibri" w:hAnsi="Calibri"/>
                <w:b w:val="0"/>
                <w:i w:val="0"/>
                <w:color w:val="1F2A37"/>
                <w:sz w:val="19"/>
              </w:rPr>
              <w:t>Entered every Friday, reviewed in January</w:t>
            </w:r>
          </w:p>
        </w:tc>
        <w:tc>
          <w:tcPr>
            <w:tcW w:type="dxa" w:w="1656"/>
          </w:tcPr>
          <w:p>
            <w:pPr>
              <w:spacing w:before="40" w:after="40" w:line="252" w:lineRule="auto"/>
            </w:pPr>
            <w:r/>
            <w:r>
              <w:rPr>
                <w:rFonts w:ascii="Calibri" w:hAnsi="Calibri"/>
                <w:b w:val="0"/>
                <w:i w:val="0"/>
                <w:color w:val="1F2A37"/>
                <w:sz w:val="19"/>
              </w:rPr>
              <w:t>Final session week</w:t>
            </w:r>
          </w:p>
        </w:tc>
        <w:tc>
          <w:tcPr>
            <w:tcW w:type="dxa" w:w="1512"/>
          </w:tcPr>
          <w:p>
            <w:pPr>
              <w:spacing w:before="40" w:after="40" w:line="252" w:lineRule="auto"/>
            </w:pPr>
            <w:r/>
            <w:r>
              <w:rPr>
                <w:rFonts w:ascii="Calibri" w:hAnsi="Calibri"/>
                <w:b w:val="0"/>
                <w:i w:val="0"/>
                <w:color w:val="1F2A37"/>
                <w:sz w:val="19"/>
              </w:rPr>
              <w:t>Site coordinator</w:t>
            </w:r>
          </w:p>
        </w:tc>
      </w:tr>
      <w:tr>
        <w:tc>
          <w:tcPr>
            <w:tcW w:type="dxa" w:w="1728"/>
          </w:tcPr>
          <w:p>
            <w:pPr>
              <w:spacing w:before="40" w:after="40" w:line="252" w:lineRule="auto"/>
            </w:pPr>
            <w:r/>
            <w:r>
              <w:rPr>
                <w:rFonts w:ascii="Calibri" w:hAnsi="Calibri"/>
                <w:b w:val="0"/>
                <w:i w:val="0"/>
                <w:color w:val="1F2A37"/>
                <w:sz w:val="19"/>
              </w:rPr>
              <w:t>Family survey</w:t>
            </w:r>
          </w:p>
        </w:tc>
        <w:tc>
          <w:tcPr>
            <w:tcW w:type="dxa" w:w="2232"/>
          </w:tcPr>
          <w:p>
            <w:pPr>
              <w:spacing w:before="40" w:after="40" w:line="252" w:lineRule="auto"/>
            </w:pPr>
            <w:r>
              <w:t>No baseline; first administration in November</w:t>
            </w:r>
            <w:r>
              <w:rPr>
                <w:rFonts w:ascii="Calibri" w:hAnsi="Calibri"/>
                <w:b w:val="0"/>
                <w:i w:val="0"/>
                <w:color w:val="1F2A37"/>
                <w:sz w:val="19"/>
              </w:rPr>
            </w:r>
          </w:p>
        </w:tc>
        <w:tc>
          <w:tcPr>
            <w:tcW w:type="dxa" w:w="2232"/>
          </w:tcPr>
          <w:p>
            <w:pPr>
              <w:spacing w:before="40" w:after="40" w:line="252" w:lineRule="auto"/>
            </w:pPr>
            <w:r/>
            <w:r>
              <w:rPr>
                <w:rFonts w:ascii="Calibri" w:hAnsi="Calibri"/>
                <w:b w:val="0"/>
                <w:i w:val="0"/>
                <w:color w:val="1F2A37"/>
                <w:sz w:val="19"/>
              </w:rPr>
              <w:t>November</w:t>
            </w:r>
          </w:p>
        </w:tc>
        <w:tc>
          <w:tcPr>
            <w:tcW w:type="dxa" w:w="1656"/>
          </w:tcPr>
          <w:p>
            <w:pPr>
              <w:spacing w:before="40" w:after="40" w:line="252" w:lineRule="auto"/>
            </w:pPr>
            <w:r/>
            <w:r>
              <w:rPr>
                <w:rFonts w:ascii="Calibri" w:hAnsi="Calibri"/>
                <w:b w:val="0"/>
                <w:i w:val="0"/>
                <w:color w:val="1F2A37"/>
                <w:sz w:val="19"/>
              </w:rPr>
              <w:t>May</w:t>
            </w:r>
          </w:p>
        </w:tc>
        <w:tc>
          <w:tcPr>
            <w:tcW w:type="dxa" w:w="1512"/>
          </w:tcPr>
          <w:p>
            <w:pPr>
              <w:spacing w:before="40" w:after="40" w:line="252" w:lineRule="auto"/>
            </w:pPr>
            <w:r/>
            <w:r>
              <w:rPr>
                <w:rFonts w:ascii="Calibri" w:hAnsi="Calibri"/>
                <w:b w:val="0"/>
                <w:i w:val="0"/>
                <w:color w:val="1F2A37"/>
                <w:sz w:val="19"/>
              </w:rPr>
              <w:t>Program director</w:t>
            </w:r>
          </w:p>
        </w:tc>
      </w:tr>
      <w:tr>
        <w:tc>
          <w:tcPr>
            <w:tcW w:type="dxa" w:w="1728"/>
          </w:tcPr>
          <w:p>
            <w:pPr>
              <w:spacing w:before="40" w:after="40" w:line="252" w:lineRule="auto"/>
            </w:pPr>
            <w:r/>
            <w:r>
              <w:rPr>
                <w:rFonts w:ascii="Calibri" w:hAnsi="Calibri"/>
                <w:b w:val="0"/>
                <w:i w:val="0"/>
                <w:color w:val="1F2A37"/>
                <w:sz w:val="19"/>
              </w:rPr>
              <w:t>Fidelity observation</w:t>
            </w:r>
          </w:p>
        </w:tc>
        <w:tc>
          <w:tcPr>
            <w:tcW w:type="dxa" w:w="2232"/>
          </w:tcPr>
          <w:p>
            <w:pPr>
              <w:spacing w:before="40" w:after="40" w:line="252" w:lineRule="auto"/>
            </w:pPr>
            <w:r/>
            <w:r>
              <w:rPr>
                <w:rFonts w:ascii="Calibri" w:hAnsi="Calibri"/>
                <w:b w:val="0"/>
                <w:i w:val="0"/>
                <w:color w:val="1F2A37"/>
                <w:sz w:val="19"/>
              </w:rPr>
              <w:t>October, one per tutor</w:t>
            </w:r>
          </w:p>
        </w:tc>
        <w:tc>
          <w:tcPr>
            <w:tcW w:type="dxa" w:w="2232"/>
          </w:tcPr>
          <w:p>
            <w:pPr>
              <w:spacing w:before="40" w:after="40" w:line="252" w:lineRule="auto"/>
            </w:pPr>
            <w:r/>
            <w:r>
              <w:rPr>
                <w:rFonts w:ascii="Calibri" w:hAnsi="Calibri"/>
                <w:b w:val="0"/>
                <w:i w:val="0"/>
                <w:color w:val="1F2A37"/>
                <w:sz w:val="19"/>
              </w:rPr>
              <w:t>January</w:t>
            </w:r>
          </w:p>
        </w:tc>
        <w:tc>
          <w:tcPr>
            <w:tcW w:type="dxa" w:w="1656"/>
          </w:tcPr>
          <w:p>
            <w:pPr>
              <w:spacing w:before="40" w:after="40" w:line="252" w:lineRule="auto"/>
            </w:pPr>
            <w:r/>
            <w:r>
              <w:rPr>
                <w:rFonts w:ascii="Calibri" w:hAnsi="Calibri"/>
                <w:b w:val="0"/>
                <w:i w:val="0"/>
                <w:color w:val="1F2A37"/>
                <w:sz w:val="19"/>
              </w:rPr>
              <w:t>April</w:t>
            </w:r>
          </w:p>
        </w:tc>
        <w:tc>
          <w:tcPr>
            <w:tcW w:type="dxa" w:w="1512"/>
          </w:tcPr>
          <w:p>
            <w:pPr>
              <w:spacing w:before="40" w:after="40" w:line="252" w:lineRule="auto"/>
            </w:pPr>
            <w:r/>
            <w:r>
              <w:rPr>
                <w:rFonts w:ascii="Calibri" w:hAnsi="Calibri"/>
                <w:b w:val="0"/>
                <w:i w:val="0"/>
                <w:color w:val="1F2A37"/>
                <w:sz w:val="19"/>
              </w:rPr>
              <w:t>Program director</w:t>
            </w:r>
          </w:p>
        </w:tc>
      </w:tr>
    </w:tbl>
    <w:p>
      <w:pPr>
        <w:spacing w:after="80"/>
      </w:pPr>
    </w:p>
    <w:p>
      <w:pPr>
        <w:pStyle w:val="Heading2"/>
      </w:pPr>
      <w:r>
        <w:t>Analysis approach</w:t>
      </w:r>
    </w:p>
    <w:p>
      <w:r>
        <w:t>Fluency scores are analyzed three ways: the mean gain in words correct per minute from September to May, the share of students meeting the 20 wcpm gain threshold, and both of those figures split by attendance band (fewer than 15 sessions, 15 to 23 sessions, 24 or more). The attendance split answers the second evaluation question without requiring a comparison group. Family survey results are reported as the percentage rating the schedule workable, with the number of responding families stated alongside so the denominator is visible, and open comments grouped into recurring themes. Fidelity observations are reported as the share of sessions meeting all five criteria, and any criterion missed in more than a quarter of observations is flagged for tutor coaching. All analysis is descriptive. The program does not claim that measured gains are caused by tutoring alone, and the report will say so. The family survey has no pre-service baseline: it is first administered in November, so results are read as November-to-May movement rather than as change from a pre-service starting point.</w:t>
      </w:r>
    </w:p>
    <w:p>
      <w:pPr>
        <w:pStyle w:val="Heading2"/>
      </w:pPr>
      <w:r>
        <w:t>Responsibility and staffing</w:t>
      </w:r>
    </w:p>
    <w:p>
      <w:r>
        <w:t>The site coordinator, budgeted at 0.05 FTE across the grant period, administers the fluency probes, maintains the sign-in log, and enters all scores in the program database within three business days of collection. The program director, budgeted at 0.03 FTE, conducts the fidelity observations, runs the analysis, writes the internal February memo, and prepares the report to [Funder name]. No external evaluator is proposed: the measures are routine instruments already in use in the program, the analysis is descriptive, and an outside contract at this award size would consume budget without adding credibility. If [Funder name] requires an independent evaluator, the organization will contract one and adjust the direct service line accordingly.</w:t>
      </w:r>
    </w:p>
    <w:p>
      <w:pPr>
        <w:pStyle w:val="Heading2"/>
      </w:pPr>
      <w:r>
        <w:t>Reporting and use of findings</w:t>
      </w:r>
    </w:p>
    <w:p>
      <w:r>
        <w:t>Staff review the January fluency results at a standing February program meeting. The program director circulates a two-page memo beforehand showing gains by attendance band and any fidelity criterion being missed. That meeting is the decision point for the spring term: tutor coaching, session structure, and any change to family communication come out of it. Families receive a one-page summary of their own student's September to May scores in June. The program director submits results to [Funder name] in the annual report due each June, using the same indicator names and targets stated here so that the two documents can be read side by side. A closeout report at the end of the grant period presents both years together.</w:t>
      </w:r>
    </w:p>
    <w:p>
      <w:pPr>
        <w:pStyle w:val="Heading2"/>
      </w:pPr>
      <w:r>
        <w:t>If results come in below target</w:t>
      </w:r>
    </w:p>
    <w:p>
      <w:r>
        <w:t>The 70 percent target may not be met. If fewer than half of students have reached the 20 wcpm gain at the January check, the February meeting will examine three things in order: whether the students furthest behind are the ones missing sessions, whether tutors are delivering all five fidelity criteria, and whether the tutoring model fits the students enrolled this year. The program will report what it found and what it changed rather than restating the target. A missed target with a documented response is more useful to [Funder name] than a target set low enough to be safe.</w:t>
      </w:r>
    </w:p>
    <w:p>
      <w:pPr>
        <w:pStyle w:val="Heading2"/>
      </w:pPr>
      <w:r>
        <w:t>Evaluation budget</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4032"/>
            <w:shd w:val="clear" w:color="auto" w:fill="E3E9EE"/>
          </w:tcPr>
          <w:p>
            <w:pPr>
              <w:spacing w:before="40" w:after="40" w:line="252" w:lineRule="auto"/>
            </w:pPr>
            <w:r/>
            <w:r>
              <w:rPr>
                <w:rFonts w:ascii="Calibri" w:hAnsi="Calibri"/>
                <w:b/>
                <w:i w:val="0"/>
                <w:color w:val="0F5F63"/>
                <w:sz w:val="19"/>
              </w:rPr>
              <w:t>Line item</w:t>
            </w:r>
          </w:p>
        </w:tc>
        <w:tc>
          <w:tcPr>
            <w:tcW w:type="dxa" w:w="3600"/>
            <w:shd w:val="clear" w:color="auto" w:fill="E3E9EE"/>
          </w:tcPr>
          <w:p>
            <w:pPr>
              <w:spacing w:before="40" w:after="40" w:line="252" w:lineRule="auto"/>
            </w:pPr>
            <w:r/>
            <w:r>
              <w:rPr>
                <w:rFonts w:ascii="Calibri" w:hAnsi="Calibri"/>
                <w:b/>
                <w:i w:val="0"/>
                <w:color w:val="0F5F63"/>
                <w:sz w:val="19"/>
              </w:rPr>
              <w:t>Basis</w:t>
            </w:r>
          </w:p>
        </w:tc>
        <w:tc>
          <w:tcPr>
            <w:tcW w:type="dxa" w:w="1728"/>
            <w:shd w:val="clear" w:color="auto" w:fill="E3E9EE"/>
          </w:tcPr>
          <w:p>
            <w:pPr>
              <w:spacing w:before="40" w:after="40" w:line="252" w:lineRule="auto"/>
            </w:pPr>
            <w:r/>
            <w:r>
              <w:rPr>
                <w:rFonts w:ascii="Calibri" w:hAnsi="Calibri"/>
                <w:b/>
                <w:i w:val="0"/>
                <w:color w:val="0F5F63"/>
                <w:sz w:val="19"/>
              </w:rPr>
              <w:t>Two-year total</w:t>
            </w:r>
          </w:p>
        </w:tc>
      </w:tr>
      <w:tr>
        <w:tc>
          <w:tcPr>
            <w:tcW w:type="dxa" w:w="4032"/>
          </w:tcPr>
          <w:p>
            <w:pPr>
              <w:spacing w:before="40" w:after="40" w:line="252" w:lineRule="auto"/>
            </w:pPr>
            <w:r/>
            <w:r>
              <w:rPr>
                <w:rFonts w:ascii="Calibri" w:hAnsi="Calibri"/>
                <w:b w:val="0"/>
                <w:i w:val="0"/>
                <w:color w:val="1F2A37"/>
                <w:sz w:val="19"/>
              </w:rPr>
              <w:t>Site coordinator time: probe administration and data entry</w:t>
            </w:r>
          </w:p>
        </w:tc>
        <w:tc>
          <w:tcPr>
            <w:tcW w:type="dxa" w:w="3600"/>
          </w:tcPr>
          <w:p>
            <w:pPr>
              <w:spacing w:before="40" w:after="40" w:line="252" w:lineRule="auto"/>
            </w:pPr>
            <w:r/>
            <w:r>
              <w:rPr>
                <w:rFonts w:ascii="Calibri" w:hAnsi="Calibri"/>
                <w:b w:val="0"/>
                <w:i w:val="0"/>
                <w:color w:val="1F2A37"/>
                <w:sz w:val="19"/>
              </w:rPr>
              <w:t>0.05 FTE for 2 years, salary and benefits</w:t>
            </w:r>
          </w:p>
        </w:tc>
        <w:tc>
          <w:tcPr>
            <w:tcW w:type="dxa" w:w="1728"/>
          </w:tcPr>
          <w:p>
            <w:pPr>
              <w:spacing w:before="40" w:after="40" w:line="252" w:lineRule="auto"/>
            </w:pPr>
            <w:r/>
            <w:r>
              <w:rPr>
                <w:rFonts w:ascii="Calibri" w:hAnsi="Calibri"/>
                <w:b w:val="0"/>
                <w:i w:val="0"/>
                <w:color w:val="1F2A37"/>
                <w:sz w:val="19"/>
              </w:rPr>
              <w:t>$3,400</w:t>
            </w:r>
          </w:p>
        </w:tc>
      </w:tr>
      <w:tr>
        <w:tc>
          <w:tcPr>
            <w:tcW w:type="dxa" w:w="4032"/>
          </w:tcPr>
          <w:p>
            <w:pPr>
              <w:spacing w:before="40" w:after="40" w:line="252" w:lineRule="auto"/>
            </w:pPr>
            <w:r/>
            <w:r>
              <w:rPr>
                <w:rFonts w:ascii="Calibri" w:hAnsi="Calibri"/>
                <w:b w:val="0"/>
                <w:i w:val="0"/>
                <w:color w:val="1F2A37"/>
                <w:sz w:val="19"/>
              </w:rPr>
              <w:t>Program director time: observations, analysis, reporting</w:t>
            </w:r>
          </w:p>
        </w:tc>
        <w:tc>
          <w:tcPr>
            <w:tcW w:type="dxa" w:w="3600"/>
          </w:tcPr>
          <w:p>
            <w:pPr>
              <w:spacing w:before="40" w:after="40" w:line="252" w:lineRule="auto"/>
            </w:pPr>
            <w:r/>
            <w:r>
              <w:rPr>
                <w:rFonts w:ascii="Calibri" w:hAnsi="Calibri"/>
                <w:b w:val="0"/>
                <w:i w:val="0"/>
                <w:color w:val="1F2A37"/>
                <w:sz w:val="19"/>
              </w:rPr>
              <w:t>0.03 FTE for 2 years, salary and benefits</w:t>
            </w:r>
          </w:p>
        </w:tc>
        <w:tc>
          <w:tcPr>
            <w:tcW w:type="dxa" w:w="1728"/>
          </w:tcPr>
          <w:p>
            <w:pPr>
              <w:spacing w:before="40" w:after="40" w:line="252" w:lineRule="auto"/>
            </w:pPr>
            <w:r/>
            <w:r>
              <w:rPr>
                <w:rFonts w:ascii="Calibri" w:hAnsi="Calibri"/>
                <w:b w:val="0"/>
                <w:i w:val="0"/>
                <w:color w:val="1F2A37"/>
                <w:sz w:val="19"/>
              </w:rPr>
              <w:t>$2,900</w:t>
            </w:r>
          </w:p>
        </w:tc>
      </w:tr>
      <w:tr>
        <w:tc>
          <w:tcPr>
            <w:tcW w:type="dxa" w:w="4032"/>
          </w:tcPr>
          <w:p>
            <w:pPr>
              <w:spacing w:before="40" w:after="40" w:line="252" w:lineRule="auto"/>
            </w:pPr>
            <w:r/>
            <w:r>
              <w:rPr>
                <w:rFonts w:ascii="Calibri" w:hAnsi="Calibri"/>
                <w:b w:val="0"/>
                <w:i w:val="0"/>
                <w:color w:val="1F2A37"/>
                <w:sz w:val="19"/>
              </w:rPr>
              <w:t>Fluency probe materials, printing, scoring sheets</w:t>
            </w:r>
          </w:p>
        </w:tc>
        <w:tc>
          <w:tcPr>
            <w:tcW w:type="dxa" w:w="3600"/>
          </w:tcPr>
          <w:p>
            <w:pPr>
              <w:spacing w:before="40" w:after="40" w:line="252" w:lineRule="auto"/>
            </w:pPr>
            <w:r/>
            <w:r>
              <w:rPr>
                <w:rFonts w:ascii="Calibri" w:hAnsi="Calibri"/>
                <w:b w:val="0"/>
                <w:i w:val="0"/>
                <w:color w:val="1F2A37"/>
                <w:sz w:val="19"/>
              </w:rPr>
              <w:t>Approx. 80 students x 3 administrations x 2 years</w:t>
            </w:r>
          </w:p>
        </w:tc>
        <w:tc>
          <w:tcPr>
            <w:tcW w:type="dxa" w:w="1728"/>
          </w:tcPr>
          <w:p>
            <w:pPr>
              <w:spacing w:before="40" w:after="40" w:line="252" w:lineRule="auto"/>
            </w:pPr>
            <w:r/>
            <w:r>
              <w:rPr>
                <w:rFonts w:ascii="Calibri" w:hAnsi="Calibri"/>
                <w:b w:val="0"/>
                <w:i w:val="0"/>
                <w:color w:val="1F2A37"/>
                <w:sz w:val="19"/>
              </w:rPr>
              <w:t>$300</w:t>
            </w:r>
          </w:p>
        </w:tc>
      </w:tr>
      <w:tr>
        <w:tc>
          <w:tcPr>
            <w:tcW w:type="dxa" w:w="4032"/>
          </w:tcPr>
          <w:p>
            <w:pPr>
              <w:spacing w:before="40" w:after="40" w:line="252" w:lineRule="auto"/>
            </w:pPr>
            <w:r/>
            <w:r>
              <w:rPr>
                <w:rFonts w:ascii="Calibri" w:hAnsi="Calibri"/>
                <w:b w:val="0"/>
                <w:i w:val="0"/>
                <w:color w:val="1F2A37"/>
                <w:sz w:val="19"/>
              </w:rPr>
              <w:t>Family survey administration, translation, reply postage</w:t>
            </w:r>
          </w:p>
        </w:tc>
        <w:tc>
          <w:tcPr>
            <w:tcW w:type="dxa" w:w="3600"/>
          </w:tcPr>
          <w:p>
            <w:pPr>
              <w:spacing w:before="40" w:after="40" w:line="252" w:lineRule="auto"/>
            </w:pPr>
            <w:r/>
            <w:r>
              <w:rPr>
                <w:rFonts w:ascii="Calibri" w:hAnsi="Calibri"/>
                <w:b w:val="0"/>
                <w:i w:val="0"/>
                <w:color w:val="1F2A37"/>
                <w:sz w:val="19"/>
              </w:rPr>
              <w:t>2 administrations per year</w:t>
            </w:r>
          </w:p>
        </w:tc>
        <w:tc>
          <w:tcPr>
            <w:tcW w:type="dxa" w:w="1728"/>
          </w:tcPr>
          <w:p>
            <w:pPr>
              <w:spacing w:before="40" w:after="40" w:line="252" w:lineRule="auto"/>
            </w:pPr>
            <w:r/>
            <w:r>
              <w:rPr>
                <w:rFonts w:ascii="Calibri" w:hAnsi="Calibri"/>
                <w:b w:val="0"/>
                <w:i w:val="0"/>
                <w:color w:val="1F2A37"/>
                <w:sz w:val="19"/>
              </w:rPr>
              <w:t>$250</w:t>
            </w:r>
          </w:p>
        </w:tc>
      </w:tr>
      <w:tr>
        <w:tc>
          <w:tcPr>
            <w:tcW w:type="dxa" w:w="4032"/>
          </w:tcPr>
          <w:p>
            <w:pPr>
              <w:spacing w:before="40" w:after="40" w:line="252" w:lineRule="auto"/>
            </w:pPr>
            <w:r/>
            <w:r>
              <w:rPr>
                <w:rFonts w:ascii="Calibri" w:hAnsi="Calibri"/>
                <w:b w:val="0"/>
                <w:i w:val="0"/>
                <w:color w:val="1F2A37"/>
                <w:sz w:val="19"/>
              </w:rPr>
              <w:t>Program database maintenance, evaluation share</w:t>
            </w:r>
          </w:p>
        </w:tc>
        <w:tc>
          <w:tcPr>
            <w:tcW w:type="dxa" w:w="3600"/>
          </w:tcPr>
          <w:p>
            <w:pPr>
              <w:spacing w:before="40" w:after="40" w:line="252" w:lineRule="auto"/>
            </w:pPr>
            <w:r/>
            <w:r>
              <w:rPr>
                <w:rFonts w:ascii="Calibri" w:hAnsi="Calibri"/>
                <w:b w:val="0"/>
                <w:i w:val="0"/>
                <w:color w:val="1F2A37"/>
                <w:sz w:val="19"/>
              </w:rPr>
              <w:t>15% of the annual license</w:t>
            </w:r>
          </w:p>
        </w:tc>
        <w:tc>
          <w:tcPr>
            <w:tcW w:type="dxa" w:w="1728"/>
          </w:tcPr>
          <w:p>
            <w:pPr>
              <w:spacing w:before="40" w:after="40" w:line="252" w:lineRule="auto"/>
            </w:pPr>
            <w:r/>
            <w:r>
              <w:rPr>
                <w:rFonts w:ascii="Calibri" w:hAnsi="Calibri"/>
                <w:b w:val="0"/>
                <w:i w:val="0"/>
                <w:color w:val="1F2A37"/>
                <w:sz w:val="19"/>
              </w:rPr>
              <w:t>$400</w:t>
            </w:r>
          </w:p>
        </w:tc>
      </w:tr>
      <w:tr>
        <w:tc>
          <w:tcPr>
            <w:tcW w:type="dxa" w:w="4032"/>
            <w:shd w:val="clear" w:color="auto" w:fill="E3E9EE"/>
          </w:tcPr>
          <w:p>
            <w:pPr>
              <w:spacing w:before="40" w:after="40" w:line="252" w:lineRule="auto"/>
            </w:pPr>
            <w:r/>
            <w:r>
              <w:rPr>
                <w:rFonts w:ascii="Calibri" w:hAnsi="Calibri"/>
                <w:b/>
                <w:i w:val="0"/>
                <w:color w:val="1F2A37"/>
                <w:sz w:val="19"/>
              </w:rPr>
              <w:t>Total evaluation cost</w:t>
            </w:r>
          </w:p>
        </w:tc>
        <w:tc>
          <w:tcPr>
            <w:tcW w:type="dxa" w:w="3600"/>
            <w:shd w:val="clear" w:color="auto" w:fill="E3E9EE"/>
          </w:tcPr>
          <w:p>
            <w:pPr>
              <w:spacing w:before="40" w:after="40" w:line="252" w:lineRule="auto"/>
            </w:pPr>
            <w:r/>
            <w:r>
              <w:rPr>
                <w:rFonts w:ascii="Calibri" w:hAnsi="Calibri"/>
                <w:b/>
                <w:i w:val="0"/>
                <w:color w:val="1F2A37"/>
                <w:sz w:val="19"/>
              </w:rPr>
              <w:t>12.1% of the $60,000 request</w:t>
            </w:r>
          </w:p>
        </w:tc>
        <w:tc>
          <w:tcPr>
            <w:tcW w:type="dxa" w:w="1728"/>
            <w:shd w:val="clear" w:color="auto" w:fill="E3E9EE"/>
          </w:tcPr>
          <w:p>
            <w:pPr>
              <w:spacing w:before="40" w:after="40" w:line="252" w:lineRule="auto"/>
            </w:pPr>
            <w:r/>
            <w:r>
              <w:rPr>
                <w:rFonts w:ascii="Calibri" w:hAnsi="Calibri"/>
                <w:b/>
                <w:i w:val="0"/>
                <w:color w:val="1F2A37"/>
                <w:sz w:val="19"/>
              </w:rPr>
              <w:t>$7,250</w:t>
            </w:r>
          </w:p>
        </w:tc>
      </w:tr>
    </w:tbl>
    <w:p>
      <w:pPr>
        <w:spacing w:after="80"/>
      </w:pPr>
    </w:p>
    <w:p>
      <w:pPr>
        <w:pStyle w:val="GCCaption"/>
      </w:pPr>
      <w:r>
        <w:t>Illustrative figures for a composite example. Twelve percent sits at the high end for a project this size. A leaner version that drops the fidelity observations and one survey administration lands nearer ten percent and still answers the first two evaluation questions.</w:t>
      </w:r>
    </w:p>
    <w:p>
      <w:pPr>
        <w:pStyle w:val="Heading2"/>
      </w:pPr>
      <w:r>
        <w:t>Why this version scores well</w:t>
      </w:r>
    </w:p>
    <w:p>
      <w:pPr>
        <w:pStyle w:val="ListBullet"/>
      </w:pPr>
      <w:r>
        <w:t>Every objective has exactly one matching indicator, and every indicator names an instrument.</w:t>
      </w:r>
    </w:p>
    <w:p>
      <w:pPr>
        <w:pStyle w:val="ListBullet"/>
      </w:pPr>
      <w:r>
        <w:t>Each target carries a number and a date, so it can be judged met or missed.</w:t>
      </w:r>
    </w:p>
    <w:p>
      <w:pPr>
        <w:pStyle w:val="ListBullet"/>
      </w:pPr>
      <w:r>
        <w:t>The baseline is collected before services start, in the first two weeks of September.</w:t>
      </w:r>
    </w:p>
    <w:p>
      <w:pPr>
        <w:pStyle w:val="ListBullet"/>
      </w:pPr>
      <w:r>
        <w:t>The staff time is real, appears in the budget, and is small enough to be believable.</w:t>
      </w:r>
    </w:p>
    <w:p>
      <w:pPr>
        <w:pStyle w:val="ListBullet"/>
      </w:pPr>
      <w:r>
        <w:t>The February review means the data changes something while the grant is still running.</w:t>
      </w:r>
    </w:p>
    <w:p>
      <w:pPr>
        <w:pStyle w:val="ListBullet"/>
      </w:pPr>
      <w:r>
        <w:t>The plan says what happens if the target is missed.</w:t>
      </w:r>
    </w:p>
    <w:p>
      <w:pPr>
        <w:pStyle w:val="ListBullet"/>
      </w:pPr>
      <w:r>
        <w:t>The analysis stops short of claiming causation, which reads as competence rather than weakness.</w:t>
      </w:r>
    </w:p>
    <w:p>
      <w:r>
        <w:br w:type="page"/>
      </w:r>
    </w:p>
    <w:p>
      <w:pPr>
        <w:pStyle w:val="Heading1"/>
      </w:pPr>
      <w:r>
        <w:t>5. Second worked example: a different program type</w:t>
      </w:r>
    </w:p>
    <w:p>
      <w:pPr>
        <w:pStyle w:val="GCMeta"/>
      </w:pPr>
      <w:r>
        <w:t>Eastfield Works is an invented composite organization. Figures are illustrative. Scenario: a $150,000 request for one year from a workforce nonprofit running a 12-week manufacturing skills course, four cohorts of about 15 adults each.</w:t>
      </w:r>
    </w:p>
    <w:p>
      <w:pPr>
        <w:pStyle w:val="GCGuidance"/>
      </w:pPr>
      <w:r>
        <w:t>Read this one for the differences. The outcome that matters happens after the service ends, which changes the schedule, the denominator, and what can honestly be promised.</w:t>
      </w:r>
    </w:p>
    <w:p>
      <w:pPr>
        <w:pStyle w:val="Heading2"/>
      </w:pPr>
      <w:r>
        <w:t>Evaluation questions</w:t>
      </w:r>
    </w:p>
    <w:p>
      <w:pPr>
        <w:pStyle w:val="ListNumber"/>
      </w:pPr>
      <w:r>
        <w:t>Do enrolled adults complete the course and earn the industry credential?</w:t>
      </w:r>
    </w:p>
    <w:p>
      <w:pPr>
        <w:pStyle w:val="ListNumber"/>
      </w:pPr>
      <w:r>
        <w:t>Do completers find employment in the target sector within 90 days?</w:t>
      </w:r>
    </w:p>
    <w:p>
      <w:pPr>
        <w:pStyle w:val="ListNumber"/>
      </w:pPr>
      <w:r>
        <w:t>What prevents enrolled adults from completing, and can the program address it?</w:t>
      </w:r>
    </w:p>
    <w:p>
      <w:pPr>
        <w:pStyle w:val="Heading2"/>
      </w:pPr>
      <w:r>
        <w:t>Outcomes, indicators, and targets</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1728"/>
            <w:shd w:val="clear" w:color="auto" w:fill="E3E9EE"/>
          </w:tcPr>
          <w:p>
            <w:pPr>
              <w:spacing w:before="40" w:after="40" w:line="252" w:lineRule="auto"/>
            </w:pPr>
            <w:r/>
            <w:r>
              <w:rPr>
                <w:rFonts w:ascii="Calibri" w:hAnsi="Calibri"/>
                <w:b/>
                <w:i w:val="0"/>
                <w:color w:val="0F5F63"/>
                <w:sz w:val="19"/>
              </w:rPr>
              <w:t>Outcome</w:t>
            </w:r>
          </w:p>
        </w:tc>
        <w:tc>
          <w:tcPr>
            <w:tcW w:type="dxa" w:w="2016"/>
            <w:shd w:val="clear" w:color="auto" w:fill="E3E9EE"/>
          </w:tcPr>
          <w:p>
            <w:pPr>
              <w:spacing w:before="40" w:after="40" w:line="252" w:lineRule="auto"/>
            </w:pPr>
            <w:r/>
            <w:r>
              <w:rPr>
                <w:rFonts w:ascii="Calibri" w:hAnsi="Calibri"/>
                <w:b/>
                <w:i w:val="0"/>
                <w:color w:val="0F5F63"/>
                <w:sz w:val="19"/>
              </w:rPr>
              <w:t>Indicator</w:t>
            </w:r>
          </w:p>
        </w:tc>
        <w:tc>
          <w:tcPr>
            <w:tcW w:type="dxa" w:w="2160"/>
            <w:shd w:val="clear" w:color="auto" w:fill="E3E9EE"/>
          </w:tcPr>
          <w:p>
            <w:pPr>
              <w:spacing w:before="40" w:after="40" w:line="252" w:lineRule="auto"/>
            </w:pPr>
            <w:r/>
            <w:r>
              <w:rPr>
                <w:rFonts w:ascii="Calibri" w:hAnsi="Calibri"/>
                <w:b/>
                <w:i w:val="0"/>
                <w:color w:val="0F5F63"/>
                <w:sz w:val="19"/>
              </w:rPr>
              <w:t>Data source</w:t>
            </w:r>
          </w:p>
        </w:tc>
        <w:tc>
          <w:tcPr>
            <w:tcW w:type="dxa" w:w="1584"/>
            <w:shd w:val="clear" w:color="auto" w:fill="E3E9EE"/>
          </w:tcPr>
          <w:p>
            <w:pPr>
              <w:spacing w:before="40" w:after="40" w:line="252" w:lineRule="auto"/>
            </w:pPr>
            <w:r/>
            <w:r>
              <w:rPr>
                <w:rFonts w:ascii="Calibri" w:hAnsi="Calibri"/>
                <w:b/>
                <w:i w:val="0"/>
                <w:color w:val="0F5F63"/>
                <w:sz w:val="19"/>
              </w:rPr>
              <w:t>Schedule</w:t>
            </w:r>
          </w:p>
        </w:tc>
        <w:tc>
          <w:tcPr>
            <w:tcW w:type="dxa" w:w="1872"/>
            <w:shd w:val="clear" w:color="auto" w:fill="E3E9EE"/>
          </w:tcPr>
          <w:p>
            <w:pPr>
              <w:spacing w:before="40" w:after="40" w:line="252" w:lineRule="auto"/>
            </w:pPr>
            <w:r/>
            <w:r>
              <w:rPr>
                <w:rFonts w:ascii="Calibri" w:hAnsi="Calibri"/>
                <w:b/>
                <w:i w:val="0"/>
                <w:color w:val="0F5F63"/>
                <w:sz w:val="19"/>
              </w:rPr>
              <w:t>Target</w:t>
            </w:r>
          </w:p>
        </w:tc>
      </w:tr>
      <w:tr>
        <w:tc>
          <w:tcPr>
            <w:tcW w:type="dxa" w:w="1728"/>
          </w:tcPr>
          <w:p>
            <w:pPr>
              <w:spacing w:before="40" w:after="40" w:line="252" w:lineRule="auto"/>
            </w:pPr>
            <w:r/>
            <w:r>
              <w:rPr>
                <w:rFonts w:ascii="Calibri" w:hAnsi="Calibri"/>
                <w:b w:val="0"/>
                <w:i w:val="0"/>
                <w:color w:val="1F2A37"/>
                <w:sz w:val="19"/>
              </w:rPr>
              <w:t>Participants complete training</w:t>
            </w:r>
          </w:p>
        </w:tc>
        <w:tc>
          <w:tcPr>
            <w:tcW w:type="dxa" w:w="2016"/>
          </w:tcPr>
          <w:p>
            <w:pPr>
              <w:spacing w:before="40" w:after="40" w:line="252" w:lineRule="auto"/>
            </w:pPr>
            <w:r/>
            <w:r>
              <w:rPr>
                <w:rFonts w:ascii="Calibri" w:hAnsi="Calibri"/>
                <w:b w:val="0"/>
                <w:i w:val="0"/>
                <w:color w:val="1F2A37"/>
                <w:sz w:val="19"/>
              </w:rPr>
              <w:t>Share of enrolled participants completing all 12 weeks</w:t>
            </w:r>
          </w:p>
        </w:tc>
        <w:tc>
          <w:tcPr>
            <w:tcW w:type="dxa" w:w="2160"/>
          </w:tcPr>
          <w:p>
            <w:pPr>
              <w:spacing w:before="40" w:after="40" w:line="252" w:lineRule="auto"/>
            </w:pPr>
            <w:r/>
            <w:r>
              <w:rPr>
                <w:rFonts w:ascii="Calibri" w:hAnsi="Calibri"/>
                <w:b w:val="0"/>
                <w:i w:val="0"/>
                <w:color w:val="1F2A37"/>
                <w:sz w:val="19"/>
              </w:rPr>
              <w:t>Course attendance and completion records</w:t>
            </w:r>
          </w:p>
        </w:tc>
        <w:tc>
          <w:tcPr>
            <w:tcW w:type="dxa" w:w="1584"/>
          </w:tcPr>
          <w:p>
            <w:pPr>
              <w:spacing w:before="40" w:after="40" w:line="252" w:lineRule="auto"/>
            </w:pPr>
            <w:r/>
            <w:r>
              <w:rPr>
                <w:rFonts w:ascii="Calibri" w:hAnsi="Calibri"/>
                <w:b w:val="0"/>
                <w:i w:val="0"/>
                <w:color w:val="1F2A37"/>
                <w:sz w:val="19"/>
              </w:rPr>
              <w:t>End of each cohort</w:t>
            </w:r>
          </w:p>
        </w:tc>
        <w:tc>
          <w:tcPr>
            <w:tcW w:type="dxa" w:w="1872"/>
          </w:tcPr>
          <w:p>
            <w:pPr>
              <w:spacing w:before="40" w:after="40" w:line="252" w:lineRule="auto"/>
            </w:pPr>
            <w:r/>
            <w:r>
              <w:rPr>
                <w:rFonts w:ascii="Calibri" w:hAnsi="Calibri"/>
                <w:b w:val="0"/>
                <w:i w:val="0"/>
                <w:color w:val="1F2A37"/>
                <w:sz w:val="19"/>
              </w:rPr>
              <w:t>75% of enrolled participants complete</w:t>
            </w:r>
          </w:p>
        </w:tc>
      </w:tr>
      <w:tr>
        <w:tc>
          <w:tcPr>
            <w:tcW w:type="dxa" w:w="1728"/>
          </w:tcPr>
          <w:p>
            <w:pPr>
              <w:spacing w:before="40" w:after="40" w:line="252" w:lineRule="auto"/>
            </w:pPr>
            <w:r/>
            <w:r>
              <w:rPr>
                <w:rFonts w:ascii="Calibri" w:hAnsi="Calibri"/>
                <w:b w:val="0"/>
                <w:i w:val="0"/>
                <w:color w:val="1F2A37"/>
                <w:sz w:val="19"/>
              </w:rPr>
              <w:t>Participants earn the credential</w:t>
            </w:r>
          </w:p>
        </w:tc>
        <w:tc>
          <w:tcPr>
            <w:tcW w:type="dxa" w:w="2016"/>
          </w:tcPr>
          <w:p>
            <w:pPr>
              <w:spacing w:before="40" w:after="40" w:line="252" w:lineRule="auto"/>
            </w:pPr>
            <w:r/>
            <w:r>
              <w:rPr>
                <w:rFonts w:ascii="Calibri" w:hAnsi="Calibri"/>
                <w:b w:val="0"/>
                <w:i w:val="0"/>
                <w:color w:val="1F2A37"/>
                <w:sz w:val="19"/>
              </w:rPr>
              <w:t>Share of completers passing the credential exam within two attempts</w:t>
            </w:r>
          </w:p>
        </w:tc>
        <w:tc>
          <w:tcPr>
            <w:tcW w:type="dxa" w:w="2160"/>
          </w:tcPr>
          <w:p>
            <w:pPr>
              <w:spacing w:before="40" w:after="40" w:line="252" w:lineRule="auto"/>
            </w:pPr>
            <w:r/>
            <w:r>
              <w:rPr>
                <w:rFonts w:ascii="Calibri" w:hAnsi="Calibri"/>
                <w:b w:val="0"/>
                <w:i w:val="0"/>
                <w:color w:val="1F2A37"/>
                <w:sz w:val="19"/>
              </w:rPr>
              <w:t>Results issued by the certifying body</w:t>
            </w:r>
          </w:p>
        </w:tc>
        <w:tc>
          <w:tcPr>
            <w:tcW w:type="dxa" w:w="1584"/>
          </w:tcPr>
          <w:p>
            <w:pPr>
              <w:spacing w:before="40" w:after="40" w:line="252" w:lineRule="auto"/>
            </w:pPr>
            <w:r/>
            <w:r>
              <w:rPr>
                <w:rFonts w:ascii="Calibri" w:hAnsi="Calibri"/>
                <w:b w:val="0"/>
                <w:i w:val="0"/>
                <w:color w:val="1F2A37"/>
                <w:sz w:val="19"/>
              </w:rPr>
              <w:t>Within 30 days of each cohort end</w:t>
            </w:r>
          </w:p>
        </w:tc>
        <w:tc>
          <w:tcPr>
            <w:tcW w:type="dxa" w:w="1872"/>
          </w:tcPr>
          <w:p>
            <w:pPr>
              <w:spacing w:before="40" w:after="40" w:line="252" w:lineRule="auto"/>
            </w:pPr>
            <w:r/>
            <w:r>
              <w:rPr>
                <w:rFonts w:ascii="Calibri" w:hAnsi="Calibri"/>
                <w:b w:val="0"/>
                <w:i w:val="0"/>
                <w:color w:val="1F2A37"/>
                <w:sz w:val="19"/>
              </w:rPr>
              <w:t>80% of completers earn the credential</w:t>
            </w:r>
          </w:p>
        </w:tc>
      </w:tr>
      <w:tr>
        <w:tc>
          <w:tcPr>
            <w:tcW w:type="dxa" w:w="1728"/>
          </w:tcPr>
          <w:p>
            <w:pPr>
              <w:spacing w:before="40" w:after="40" w:line="252" w:lineRule="auto"/>
            </w:pPr>
            <w:r/>
            <w:r>
              <w:rPr>
                <w:rFonts w:ascii="Calibri" w:hAnsi="Calibri"/>
                <w:b w:val="0"/>
                <w:i w:val="0"/>
                <w:color w:val="1F2A37"/>
                <w:sz w:val="19"/>
              </w:rPr>
              <w:t>Completers reach employment</w:t>
            </w:r>
          </w:p>
        </w:tc>
        <w:tc>
          <w:tcPr>
            <w:tcW w:type="dxa" w:w="2016"/>
          </w:tcPr>
          <w:p>
            <w:pPr>
              <w:spacing w:before="40" w:after="40" w:line="252" w:lineRule="auto"/>
            </w:pPr>
            <w:r/>
            <w:r>
              <w:rPr>
                <w:rFonts w:ascii="Calibri" w:hAnsi="Calibri"/>
                <w:b w:val="0"/>
                <w:i w:val="0"/>
                <w:color w:val="1F2A37"/>
                <w:sz w:val="19"/>
              </w:rPr>
              <w:t>Share of completers employed in the sector within 90 days</w:t>
            </w:r>
          </w:p>
        </w:tc>
        <w:tc>
          <w:tcPr>
            <w:tcW w:type="dxa" w:w="2160"/>
          </w:tcPr>
          <w:p>
            <w:pPr>
              <w:spacing w:before="40" w:after="40" w:line="252" w:lineRule="auto"/>
            </w:pPr>
            <w:r/>
            <w:r>
              <w:rPr>
                <w:rFonts w:ascii="Calibri" w:hAnsi="Calibri"/>
                <w:b w:val="0"/>
                <w:i w:val="0"/>
                <w:color w:val="1F2A37"/>
                <w:sz w:val="19"/>
              </w:rPr>
              <w:t>Follow-up call log plus employer confirmation where consented</w:t>
            </w:r>
          </w:p>
        </w:tc>
        <w:tc>
          <w:tcPr>
            <w:tcW w:type="dxa" w:w="1584"/>
          </w:tcPr>
          <w:p>
            <w:pPr>
              <w:spacing w:before="40" w:after="40" w:line="252" w:lineRule="auto"/>
            </w:pPr>
            <w:r/>
            <w:r>
              <w:rPr>
                <w:rFonts w:ascii="Calibri" w:hAnsi="Calibri"/>
                <w:b w:val="0"/>
                <w:i w:val="0"/>
                <w:color w:val="1F2A37"/>
                <w:sz w:val="19"/>
              </w:rPr>
              <w:t>30, 60, and 90 days after each cohort</w:t>
            </w:r>
          </w:p>
        </w:tc>
        <w:tc>
          <w:tcPr>
            <w:tcW w:type="dxa" w:w="1872"/>
          </w:tcPr>
          <w:p>
            <w:pPr>
              <w:spacing w:before="40" w:after="40" w:line="252" w:lineRule="auto"/>
            </w:pPr>
            <w:r/>
            <w:r>
              <w:rPr>
                <w:rFonts w:ascii="Calibri" w:hAnsi="Calibri"/>
                <w:b w:val="0"/>
                <w:i w:val="0"/>
                <w:color w:val="1F2A37"/>
                <w:sz w:val="19"/>
              </w:rPr>
              <w:t>60% employed within 90 days</w:t>
            </w:r>
          </w:p>
        </w:tc>
      </w:tr>
      <w:tr>
        <w:tc>
          <w:tcPr>
            <w:tcW w:type="dxa" w:w="1728"/>
          </w:tcPr>
          <w:p>
            <w:pPr>
              <w:spacing w:before="40" w:after="40" w:line="252" w:lineRule="auto"/>
            </w:pPr>
            <w:r/>
            <w:r>
              <w:rPr>
                <w:rFonts w:ascii="Calibri" w:hAnsi="Calibri"/>
                <w:b w:val="0"/>
                <w:i w:val="0"/>
                <w:color w:val="1F2A37"/>
                <w:sz w:val="19"/>
              </w:rPr>
              <w:t>Non-completion is understood</w:t>
            </w:r>
          </w:p>
        </w:tc>
        <w:tc>
          <w:tcPr>
            <w:tcW w:type="dxa" w:w="2016"/>
          </w:tcPr>
          <w:p>
            <w:pPr>
              <w:spacing w:before="40" w:after="40" w:line="252" w:lineRule="auto"/>
            </w:pPr>
            <w:r/>
            <w:r>
              <w:rPr>
                <w:rFonts w:ascii="Calibri" w:hAnsi="Calibri"/>
                <w:b w:val="0"/>
                <w:i w:val="0"/>
                <w:color w:val="1F2A37"/>
                <w:sz w:val="19"/>
              </w:rPr>
              <w:t>Themes from structured exit conversations</w:t>
            </w:r>
          </w:p>
        </w:tc>
        <w:tc>
          <w:tcPr>
            <w:tcW w:type="dxa" w:w="2160"/>
          </w:tcPr>
          <w:p>
            <w:pPr>
              <w:spacing w:before="40" w:after="40" w:line="252" w:lineRule="auto"/>
            </w:pPr>
            <w:r/>
            <w:r>
              <w:rPr>
                <w:rFonts w:ascii="Calibri" w:hAnsi="Calibri"/>
                <w:b w:val="0"/>
                <w:i w:val="0"/>
                <w:color w:val="1F2A37"/>
                <w:sz w:val="19"/>
              </w:rPr>
              <w:t>15-minute exit interview protocol</w:t>
            </w:r>
          </w:p>
        </w:tc>
        <w:tc>
          <w:tcPr>
            <w:tcW w:type="dxa" w:w="1584"/>
          </w:tcPr>
          <w:p>
            <w:pPr>
              <w:spacing w:before="40" w:after="40" w:line="252" w:lineRule="auto"/>
            </w:pPr>
            <w:r/>
            <w:r>
              <w:rPr>
                <w:rFonts w:ascii="Calibri" w:hAnsi="Calibri"/>
                <w:b w:val="0"/>
                <w:i w:val="0"/>
                <w:color w:val="1F2A37"/>
                <w:sz w:val="19"/>
              </w:rPr>
              <w:t>Within two weeks of a participant leaving</w:t>
            </w:r>
          </w:p>
        </w:tc>
        <w:tc>
          <w:tcPr>
            <w:tcW w:type="dxa" w:w="1872"/>
          </w:tcPr>
          <w:p>
            <w:pPr>
              <w:spacing w:before="40" w:after="40" w:line="252" w:lineRule="auto"/>
            </w:pPr>
            <w:r/>
            <w:r>
              <w:rPr>
                <w:rFonts w:ascii="Calibri" w:hAnsi="Calibri"/>
                <w:b w:val="0"/>
                <w:i w:val="0"/>
                <w:color w:val="1F2A37"/>
                <w:sz w:val="19"/>
              </w:rPr>
              <w:t>Interview attempted with every non-completer; themes reported quarterly</w:t>
            </w:r>
          </w:p>
        </w:tc>
      </w:tr>
    </w:tbl>
    <w:p>
      <w:pPr>
        <w:spacing w:after="80"/>
      </w:pPr>
    </w:p>
    <w:p>
      <w:pPr>
        <w:pStyle w:val="Heading2"/>
      </w:pPr>
      <w:r>
        <w:t>The narrative that goes with it</w:t>
      </w:r>
    </w:p>
    <w:p>
      <w:r>
        <w:t>The workforce coordinator records attendance daily and flags any participant missing two consecutive sessions for outreach in the same week. Credential results come directly from the certifying body and are entered within five business days. Employment follow-up is by telephone at 30, 60, and 90 days, with employer confirmation requested where the participant consents. Placement results are reported as a share of completers, with the number reached and the number unreachable stated alongside, so a reader can see the denominator rather than a percentage of an unknown group. The program director conducts exit interviews with participants who leave before week 12 and reports themes quarterly, and the first quarterly review is the point at which enrollment screening and support services are adjusted.</w:t>
      </w:r>
    </w:p>
    <w:p>
      <w:r>
        <w:t>The organization has applied for a state wage-record data-sharing agreement that would verify placement and six-month wage retention. That agreement is not yet executed, so no six-month outcome is promised in this proposal. If it is signed during the grant year, those results will be added to the closeout report as supplementary information.</w:t>
      </w:r>
    </w:p>
    <w:p>
      <w:pPr>
        <w:pStyle w:val="Heading2"/>
      </w:pPr>
      <w:r>
        <w:t>What changed between the two examples, and why</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1584"/>
            <w:shd w:val="clear" w:color="auto" w:fill="E3E9EE"/>
          </w:tcPr>
          <w:p>
            <w:pPr>
              <w:spacing w:before="40" w:after="40" w:line="252" w:lineRule="auto"/>
            </w:pPr>
            <w:r/>
            <w:r>
              <w:rPr>
                <w:rFonts w:ascii="Calibri" w:hAnsi="Calibri"/>
                <w:b/>
                <w:i w:val="0"/>
                <w:color w:val="0F5F63"/>
                <w:sz w:val="19"/>
              </w:rPr>
              <w:t>Choice</w:t>
            </w:r>
          </w:p>
        </w:tc>
        <w:tc>
          <w:tcPr>
            <w:tcW w:type="dxa" w:w="2592"/>
            <w:shd w:val="clear" w:color="auto" w:fill="E3E9EE"/>
          </w:tcPr>
          <w:p>
            <w:pPr>
              <w:spacing w:before="40" w:after="40" w:line="252" w:lineRule="auto"/>
            </w:pPr>
            <w:r/>
            <w:r>
              <w:rPr>
                <w:rFonts w:ascii="Calibri" w:hAnsi="Calibri"/>
                <w:b/>
                <w:i w:val="0"/>
                <w:color w:val="0F5F63"/>
                <w:sz w:val="19"/>
              </w:rPr>
              <w:t>Riverbend (small literacy award)</w:t>
            </w:r>
          </w:p>
        </w:tc>
        <w:tc>
          <w:tcPr>
            <w:tcW w:type="dxa" w:w="2736"/>
            <w:shd w:val="clear" w:color="auto" w:fill="E3E9EE"/>
          </w:tcPr>
          <w:p>
            <w:pPr>
              <w:spacing w:before="40" w:after="40" w:line="252" w:lineRule="auto"/>
            </w:pPr>
            <w:r/>
            <w:r>
              <w:rPr>
                <w:rFonts w:ascii="Calibri" w:hAnsi="Calibri"/>
                <w:b/>
                <w:i w:val="0"/>
                <w:color w:val="0F5F63"/>
                <w:sz w:val="19"/>
              </w:rPr>
              <w:t>Eastfield (mid-size workforce award)</w:t>
            </w:r>
          </w:p>
        </w:tc>
        <w:tc>
          <w:tcPr>
            <w:tcW w:type="dxa" w:w="2448"/>
            <w:shd w:val="clear" w:color="auto" w:fill="E3E9EE"/>
          </w:tcPr>
          <w:p>
            <w:pPr>
              <w:spacing w:before="40" w:after="40" w:line="252" w:lineRule="auto"/>
            </w:pPr>
            <w:r/>
            <w:r>
              <w:rPr>
                <w:rFonts w:ascii="Calibri" w:hAnsi="Calibri"/>
                <w:b/>
                <w:i w:val="0"/>
                <w:color w:val="0F5F63"/>
                <w:sz w:val="19"/>
              </w:rPr>
              <w:t>Why it differs</w:t>
            </w:r>
          </w:p>
        </w:tc>
      </w:tr>
      <w:tr>
        <w:tc>
          <w:tcPr>
            <w:tcW w:type="dxa" w:w="1584"/>
          </w:tcPr>
          <w:p>
            <w:pPr>
              <w:spacing w:before="40" w:after="40" w:line="252" w:lineRule="auto"/>
            </w:pPr>
            <w:r/>
            <w:r>
              <w:rPr>
                <w:rFonts w:ascii="Calibri" w:hAnsi="Calibri"/>
                <w:b w:val="0"/>
                <w:i w:val="0"/>
                <w:color w:val="1F2A37"/>
                <w:sz w:val="19"/>
              </w:rPr>
              <w:t>Core design</w:t>
            </w:r>
          </w:p>
        </w:tc>
        <w:tc>
          <w:tcPr>
            <w:tcW w:type="dxa" w:w="2592"/>
          </w:tcPr>
          <w:p>
            <w:pPr>
              <w:spacing w:before="40" w:after="40" w:line="252" w:lineRule="auto"/>
            </w:pPr>
            <w:r/>
            <w:r>
              <w:rPr>
                <w:rFonts w:ascii="Calibri" w:hAnsi="Calibri"/>
                <w:b w:val="0"/>
                <w:i w:val="0"/>
                <w:color w:val="1F2A37"/>
                <w:sz w:val="19"/>
              </w:rPr>
              <w:t>Pre and post measure with attendance bands</w:t>
            </w:r>
          </w:p>
        </w:tc>
        <w:tc>
          <w:tcPr>
            <w:tcW w:type="dxa" w:w="2736"/>
          </w:tcPr>
          <w:p>
            <w:pPr>
              <w:spacing w:before="40" w:after="40" w:line="252" w:lineRule="auto"/>
            </w:pPr>
            <w:r/>
            <w:r>
              <w:rPr>
                <w:rFonts w:ascii="Calibri" w:hAnsi="Calibri"/>
                <w:b w:val="0"/>
                <w:i w:val="0"/>
                <w:color w:val="1F2A37"/>
                <w:sz w:val="19"/>
              </w:rPr>
              <w:t>Cohort tracking with follow-up at fixed intervals</w:t>
            </w:r>
          </w:p>
        </w:tc>
        <w:tc>
          <w:tcPr>
            <w:tcW w:type="dxa" w:w="2448"/>
          </w:tcPr>
          <w:p>
            <w:pPr>
              <w:spacing w:before="40" w:after="40" w:line="252" w:lineRule="auto"/>
            </w:pPr>
            <w:r/>
            <w:r>
              <w:rPr>
                <w:rFonts w:ascii="Calibri" w:hAnsi="Calibri"/>
                <w:b w:val="0"/>
                <w:i w:val="0"/>
                <w:color w:val="1F2A37"/>
                <w:sz w:val="19"/>
              </w:rPr>
              <w:t>The employment outcome happens after service ends</w:t>
            </w:r>
          </w:p>
        </w:tc>
      </w:tr>
      <w:tr>
        <w:tc>
          <w:tcPr>
            <w:tcW w:type="dxa" w:w="1584"/>
          </w:tcPr>
          <w:p>
            <w:pPr>
              <w:spacing w:before="40" w:after="40" w:line="252" w:lineRule="auto"/>
            </w:pPr>
            <w:r/>
            <w:r>
              <w:rPr>
                <w:rFonts w:ascii="Calibri" w:hAnsi="Calibri"/>
                <w:b w:val="0"/>
                <w:i w:val="0"/>
                <w:color w:val="1F2A37"/>
                <w:sz w:val="19"/>
              </w:rPr>
              <w:t>Qualitative element</w:t>
            </w:r>
          </w:p>
        </w:tc>
        <w:tc>
          <w:tcPr>
            <w:tcW w:type="dxa" w:w="2592"/>
          </w:tcPr>
          <w:p>
            <w:pPr>
              <w:spacing w:before="40" w:after="40" w:line="252" w:lineRule="auto"/>
            </w:pPr>
            <w:r/>
            <w:r>
              <w:rPr>
                <w:rFonts w:ascii="Calibri" w:hAnsi="Calibri"/>
                <w:b w:val="0"/>
                <w:i w:val="0"/>
                <w:color w:val="1F2A37"/>
                <w:sz w:val="19"/>
              </w:rPr>
              <w:t>Two-item family survey</w:t>
            </w:r>
          </w:p>
        </w:tc>
        <w:tc>
          <w:tcPr>
            <w:tcW w:type="dxa" w:w="2736"/>
          </w:tcPr>
          <w:p>
            <w:pPr>
              <w:spacing w:before="40" w:after="40" w:line="252" w:lineRule="auto"/>
            </w:pPr>
            <w:r/>
            <w:r>
              <w:rPr>
                <w:rFonts w:ascii="Calibri" w:hAnsi="Calibri"/>
                <w:b w:val="0"/>
                <w:i w:val="0"/>
                <w:color w:val="1F2A37"/>
                <w:sz w:val="19"/>
              </w:rPr>
              <w:t>Structured exit interviews with non-completers</w:t>
            </w:r>
          </w:p>
        </w:tc>
        <w:tc>
          <w:tcPr>
            <w:tcW w:type="dxa" w:w="2448"/>
          </w:tcPr>
          <w:p>
            <w:pPr>
              <w:spacing w:before="40" w:after="40" w:line="252" w:lineRule="auto"/>
            </w:pPr>
            <w:r/>
            <w:r>
              <w:rPr>
                <w:rFonts w:ascii="Calibri" w:hAnsi="Calibri"/>
                <w:b w:val="0"/>
                <w:i w:val="0"/>
                <w:color w:val="1F2A37"/>
                <w:sz w:val="19"/>
              </w:rPr>
              <w:t>The unanswered question is different in each program</w:t>
            </w:r>
          </w:p>
        </w:tc>
      </w:tr>
      <w:tr>
        <w:tc>
          <w:tcPr>
            <w:tcW w:type="dxa" w:w="1584"/>
          </w:tcPr>
          <w:p>
            <w:pPr>
              <w:spacing w:before="40" w:after="40" w:line="252" w:lineRule="auto"/>
            </w:pPr>
            <w:r/>
            <w:r>
              <w:rPr>
                <w:rFonts w:ascii="Calibri" w:hAnsi="Calibri"/>
                <w:b w:val="0"/>
                <w:i w:val="0"/>
                <w:color w:val="1F2A37"/>
                <w:sz w:val="19"/>
              </w:rPr>
              <w:t>Independence</w:t>
            </w:r>
          </w:p>
        </w:tc>
        <w:tc>
          <w:tcPr>
            <w:tcW w:type="dxa" w:w="2592"/>
          </w:tcPr>
          <w:p>
            <w:pPr>
              <w:spacing w:before="40" w:after="40" w:line="252" w:lineRule="auto"/>
            </w:pPr>
            <w:r/>
            <w:r>
              <w:rPr>
                <w:rFonts w:ascii="Calibri" w:hAnsi="Calibri"/>
                <w:b w:val="0"/>
                <w:i w:val="0"/>
                <w:color w:val="1F2A37"/>
                <w:sz w:val="19"/>
              </w:rPr>
              <w:t>None proposed; measures are routine and internal</w:t>
            </w:r>
          </w:p>
        </w:tc>
        <w:tc>
          <w:tcPr>
            <w:tcW w:type="dxa" w:w="2736"/>
          </w:tcPr>
          <w:p>
            <w:pPr>
              <w:spacing w:before="40" w:after="40" w:line="252" w:lineRule="auto"/>
            </w:pPr>
            <w:r/>
            <w:r>
              <w:rPr>
                <w:rFonts w:ascii="Calibri" w:hAnsi="Calibri"/>
                <w:b w:val="0"/>
                <w:i w:val="0"/>
                <w:color w:val="1F2A37"/>
                <w:sz w:val="19"/>
              </w:rPr>
              <w:t>None proposed; the certifying body and employers supply third-party data</w:t>
            </w:r>
          </w:p>
        </w:tc>
        <w:tc>
          <w:tcPr>
            <w:tcW w:type="dxa" w:w="2448"/>
          </w:tcPr>
          <w:p>
            <w:pPr>
              <w:spacing w:before="40" w:after="40" w:line="252" w:lineRule="auto"/>
            </w:pPr>
            <w:r/>
            <w:r>
              <w:rPr>
                <w:rFonts w:ascii="Calibri" w:hAnsi="Calibri"/>
                <w:b w:val="0"/>
                <w:i w:val="0"/>
                <w:color w:val="1F2A37"/>
                <w:sz w:val="19"/>
              </w:rPr>
              <w:t>External data can substitute for an external evaluator</w:t>
            </w:r>
          </w:p>
        </w:tc>
      </w:tr>
      <w:tr>
        <w:tc>
          <w:tcPr>
            <w:tcW w:type="dxa" w:w="1584"/>
          </w:tcPr>
          <w:p>
            <w:pPr>
              <w:spacing w:before="40" w:after="40" w:line="252" w:lineRule="auto"/>
            </w:pPr>
            <w:r/>
            <w:r>
              <w:rPr>
                <w:rFonts w:ascii="Calibri" w:hAnsi="Calibri"/>
                <w:b w:val="0"/>
                <w:i w:val="0"/>
                <w:color w:val="1F2A37"/>
                <w:sz w:val="19"/>
              </w:rPr>
              <w:t>Denominator</w:t>
            </w:r>
          </w:p>
        </w:tc>
        <w:tc>
          <w:tcPr>
            <w:tcW w:type="dxa" w:w="2592"/>
          </w:tcPr>
          <w:p>
            <w:pPr>
              <w:spacing w:before="40" w:after="40" w:line="252" w:lineRule="auto"/>
            </w:pPr>
            <w:r/>
            <w:r>
              <w:rPr>
                <w:rFonts w:ascii="Calibri" w:hAnsi="Calibri"/>
                <w:b w:val="0"/>
                <w:i w:val="0"/>
                <w:color w:val="1F2A37"/>
                <w:sz w:val="19"/>
              </w:rPr>
              <w:t>Enrolled students</w:t>
            </w:r>
          </w:p>
        </w:tc>
        <w:tc>
          <w:tcPr>
            <w:tcW w:type="dxa" w:w="2736"/>
          </w:tcPr>
          <w:p>
            <w:pPr>
              <w:spacing w:before="40" w:after="40" w:line="252" w:lineRule="auto"/>
            </w:pPr>
            <w:r/>
            <w:r>
              <w:rPr>
                <w:rFonts w:ascii="Calibri" w:hAnsi="Calibri"/>
                <w:b w:val="0"/>
                <w:i w:val="0"/>
                <w:color w:val="1F2A37"/>
                <w:sz w:val="19"/>
              </w:rPr>
              <w:t>Completers, with the contact rate stated</w:t>
            </w:r>
          </w:p>
        </w:tc>
        <w:tc>
          <w:tcPr>
            <w:tcW w:type="dxa" w:w="2448"/>
          </w:tcPr>
          <w:p>
            <w:pPr>
              <w:spacing w:before="40" w:after="40" w:line="252" w:lineRule="auto"/>
            </w:pPr>
            <w:r/>
            <w:r>
              <w:rPr>
                <w:rFonts w:ascii="Calibri" w:hAnsi="Calibri"/>
                <w:b w:val="0"/>
                <w:i w:val="0"/>
                <w:color w:val="1F2A37"/>
                <w:sz w:val="19"/>
              </w:rPr>
              <w:t>Follow-up loss changes what a percentage means</w:t>
            </w:r>
          </w:p>
        </w:tc>
      </w:tr>
      <w:tr>
        <w:tc>
          <w:tcPr>
            <w:tcW w:type="dxa" w:w="1584"/>
          </w:tcPr>
          <w:p>
            <w:pPr>
              <w:spacing w:before="40" w:after="40" w:line="252" w:lineRule="auto"/>
            </w:pPr>
            <w:r/>
            <w:r>
              <w:rPr>
                <w:rFonts w:ascii="Calibri" w:hAnsi="Calibri"/>
                <w:b w:val="0"/>
                <w:i w:val="0"/>
                <w:color w:val="1F2A37"/>
                <w:sz w:val="19"/>
              </w:rPr>
              <w:t>Long-term outcome</w:t>
            </w:r>
          </w:p>
        </w:tc>
        <w:tc>
          <w:tcPr>
            <w:tcW w:type="dxa" w:w="2592"/>
          </w:tcPr>
          <w:p>
            <w:pPr>
              <w:spacing w:before="40" w:after="40" w:line="252" w:lineRule="auto"/>
            </w:pPr>
            <w:r/>
            <w:r>
              <w:rPr>
                <w:rFonts w:ascii="Calibri" w:hAnsi="Calibri"/>
                <w:b w:val="0"/>
                <w:i w:val="0"/>
                <w:color w:val="1F2A37"/>
                <w:sz w:val="19"/>
              </w:rPr>
              <w:t>Not claimed</w:t>
            </w:r>
          </w:p>
        </w:tc>
        <w:tc>
          <w:tcPr>
            <w:tcW w:type="dxa" w:w="2736"/>
          </w:tcPr>
          <w:p>
            <w:pPr>
              <w:spacing w:before="40" w:after="40" w:line="252" w:lineRule="auto"/>
            </w:pPr>
            <w:r/>
            <w:r>
              <w:rPr>
                <w:rFonts w:ascii="Calibri" w:hAnsi="Calibri"/>
                <w:b w:val="0"/>
                <w:i w:val="0"/>
                <w:color w:val="1F2A37"/>
                <w:sz w:val="19"/>
              </w:rPr>
              <w:t>Named but not promised, pending a data agreement</w:t>
            </w:r>
          </w:p>
        </w:tc>
        <w:tc>
          <w:tcPr>
            <w:tcW w:type="dxa" w:w="2448"/>
          </w:tcPr>
          <w:p>
            <w:pPr>
              <w:spacing w:before="40" w:after="40" w:line="252" w:lineRule="auto"/>
            </w:pPr>
            <w:r/>
            <w:r>
              <w:rPr>
                <w:rFonts w:ascii="Calibri" w:hAnsi="Calibri"/>
                <w:b w:val="0"/>
                <w:i w:val="0"/>
                <w:color w:val="1F2A37"/>
                <w:sz w:val="19"/>
              </w:rPr>
              <w:t>Never promise data access you do not yet hold</w:t>
            </w:r>
          </w:p>
        </w:tc>
      </w:tr>
    </w:tbl>
    <w:p>
      <w:pPr>
        <w:spacing w:after="80"/>
      </w:pPr>
    </w:p>
    <w:p>
      <w:r>
        <w:br w:type="page"/>
      </w:r>
    </w:p>
    <w:p>
      <w:pPr>
        <w:pStyle w:val="Heading1"/>
      </w:pPr>
      <w:r>
        <w:t>6. Your evaluation plan worksheets</w:t>
      </w:r>
    </w:p>
    <w:p>
      <w:pPr>
        <w:pStyle w:val="GCGuidance"/>
      </w:pPr>
      <w:r>
        <w:t>Fill these in before you write prose. Each worksheet opens with one example row in grey italic. Replace it. If a row cannot be completed, the plan is not ready and the gap is usually upstream in the objectives.</w:t>
      </w:r>
    </w:p>
    <w:p>
      <w:pPr>
        <w:pStyle w:val="Heading2"/>
      </w:pPr>
      <w:r>
        <w:t>Worksheet 1. Objectives to evaluation questions</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600"/>
            <w:shd w:val="clear" w:color="auto" w:fill="E3E9EE"/>
          </w:tcPr>
          <w:p>
            <w:pPr>
              <w:spacing w:before="40" w:after="40" w:line="252" w:lineRule="auto"/>
            </w:pPr>
            <w:r/>
            <w:r>
              <w:rPr>
                <w:rFonts w:ascii="Calibri" w:hAnsi="Calibri"/>
                <w:b/>
                <w:i w:val="0"/>
                <w:color w:val="0F5F63"/>
                <w:sz w:val="19"/>
              </w:rPr>
              <w:t>Objective (as written in your proposal)</w:t>
            </w:r>
          </w:p>
        </w:tc>
        <w:tc>
          <w:tcPr>
            <w:tcW w:type="dxa" w:w="3744"/>
            <w:shd w:val="clear" w:color="auto" w:fill="E3E9EE"/>
          </w:tcPr>
          <w:p>
            <w:pPr>
              <w:spacing w:before="40" w:after="40" w:line="252" w:lineRule="auto"/>
            </w:pPr>
            <w:r/>
            <w:r>
              <w:rPr>
                <w:rFonts w:ascii="Calibri" w:hAnsi="Calibri"/>
                <w:b/>
                <w:i w:val="0"/>
                <w:color w:val="0F5F63"/>
                <w:sz w:val="19"/>
              </w:rPr>
              <w:t>Matching evaluation question</w:t>
            </w:r>
          </w:p>
        </w:tc>
        <w:tc>
          <w:tcPr>
            <w:tcW w:type="dxa" w:w="2016"/>
            <w:shd w:val="clear" w:color="auto" w:fill="E3E9EE"/>
          </w:tcPr>
          <w:p>
            <w:pPr>
              <w:spacing w:before="40" w:after="40" w:line="252" w:lineRule="auto"/>
            </w:pPr>
            <w:r/>
            <w:r>
              <w:rPr>
                <w:rFonts w:ascii="Calibri" w:hAnsi="Calibri"/>
                <w:b/>
                <w:i w:val="0"/>
                <w:color w:val="0F5F63"/>
                <w:sz w:val="19"/>
              </w:rPr>
              <w:t>Outcome or output?</w:t>
            </w:r>
          </w:p>
        </w:tc>
      </w:tr>
      <w:tr>
        <w:tc>
          <w:tcPr>
            <w:tcW w:type="dxa" w:w="3600"/>
            <w:shd w:val="clear" w:color="auto" w:fill="FBFCFD"/>
          </w:tcPr>
          <w:p>
            <w:pPr>
              <w:spacing w:before="40" w:after="40" w:line="252" w:lineRule="auto"/>
            </w:pPr>
            <w:r/>
            <w:r>
              <w:rPr>
                <w:rFonts w:ascii="Calibri" w:hAnsi="Calibri"/>
                <w:b w:val="0"/>
                <w:i/>
                <w:color w:val="4B5A6B"/>
                <w:sz w:val="19"/>
              </w:rPr>
              <w:t>Increase third-grade reading fluency among 40 enrolled students during the school year</w:t>
            </w:r>
          </w:p>
        </w:tc>
        <w:tc>
          <w:tcPr>
            <w:tcW w:type="dxa" w:w="3744"/>
            <w:shd w:val="clear" w:color="auto" w:fill="FBFCFD"/>
          </w:tcPr>
          <w:p>
            <w:pPr>
              <w:spacing w:before="40" w:after="40" w:line="252" w:lineRule="auto"/>
            </w:pPr>
            <w:r/>
            <w:r>
              <w:rPr>
                <w:rFonts w:ascii="Calibri" w:hAnsi="Calibri"/>
                <w:b w:val="0"/>
                <w:i/>
                <w:color w:val="4B5A6B"/>
                <w:sz w:val="19"/>
              </w:rPr>
              <w:t>Do participating students improve oral reading fluency over the school year?</w:t>
            </w:r>
          </w:p>
        </w:tc>
        <w:tc>
          <w:tcPr>
            <w:tcW w:type="dxa" w:w="2016"/>
            <w:shd w:val="clear" w:color="auto" w:fill="FBFCFD"/>
          </w:tcPr>
          <w:p>
            <w:pPr>
              <w:spacing w:before="40" w:after="40" w:line="252" w:lineRule="auto"/>
            </w:pPr>
            <w:r/>
            <w:r>
              <w:rPr>
                <w:rFonts w:ascii="Calibri" w:hAnsi="Calibri"/>
                <w:b w:val="0"/>
                <w:i/>
                <w:color w:val="4B5A6B"/>
                <w:sz w:val="19"/>
              </w:rPr>
              <w:t>Outcome</w:t>
            </w:r>
          </w:p>
        </w:tc>
      </w:tr>
      <w:tr>
        <w:trPr>
          <w:trHeight w:val="460"/>
        </w:trPr>
        <w:tc>
          <w:tcPr>
            <w:tcW w:type="dxa" w:w="3600"/>
          </w:tcPr>
          <w:p>
            <w:pPr>
              <w:spacing w:before="40" w:after="40" w:line="252" w:lineRule="auto"/>
            </w:pPr>
            <w:r/>
          </w:p>
        </w:tc>
        <w:tc>
          <w:tcPr>
            <w:tcW w:type="dxa" w:w="3744"/>
          </w:tcPr>
          <w:p>
            <w:pPr>
              <w:spacing w:before="40" w:after="40" w:line="252" w:lineRule="auto"/>
            </w:pPr>
            <w:r/>
          </w:p>
        </w:tc>
        <w:tc>
          <w:tcPr>
            <w:tcW w:type="dxa" w:w="2016"/>
          </w:tcPr>
          <w:p>
            <w:pPr>
              <w:spacing w:before="40" w:after="40" w:line="252" w:lineRule="auto"/>
            </w:pPr>
            <w:r/>
          </w:p>
        </w:tc>
      </w:tr>
      <w:tr>
        <w:trPr>
          <w:trHeight w:val="460"/>
        </w:trPr>
        <w:tc>
          <w:tcPr>
            <w:tcW w:type="dxa" w:w="3600"/>
          </w:tcPr>
          <w:p>
            <w:pPr>
              <w:spacing w:before="40" w:after="40" w:line="252" w:lineRule="auto"/>
            </w:pPr>
            <w:r/>
          </w:p>
        </w:tc>
        <w:tc>
          <w:tcPr>
            <w:tcW w:type="dxa" w:w="3744"/>
          </w:tcPr>
          <w:p>
            <w:pPr>
              <w:spacing w:before="40" w:after="40" w:line="252" w:lineRule="auto"/>
            </w:pPr>
            <w:r/>
          </w:p>
        </w:tc>
        <w:tc>
          <w:tcPr>
            <w:tcW w:type="dxa" w:w="2016"/>
          </w:tcPr>
          <w:p>
            <w:pPr>
              <w:spacing w:before="40" w:after="40" w:line="252" w:lineRule="auto"/>
            </w:pPr>
            <w:r/>
          </w:p>
        </w:tc>
      </w:tr>
      <w:tr>
        <w:trPr>
          <w:trHeight w:val="460"/>
        </w:trPr>
        <w:tc>
          <w:tcPr>
            <w:tcW w:type="dxa" w:w="3600"/>
          </w:tcPr>
          <w:p>
            <w:pPr>
              <w:spacing w:before="40" w:after="40" w:line="252" w:lineRule="auto"/>
            </w:pPr>
            <w:r/>
          </w:p>
        </w:tc>
        <w:tc>
          <w:tcPr>
            <w:tcW w:type="dxa" w:w="3744"/>
          </w:tcPr>
          <w:p>
            <w:pPr>
              <w:spacing w:before="40" w:after="40" w:line="252" w:lineRule="auto"/>
            </w:pPr>
            <w:r/>
          </w:p>
        </w:tc>
        <w:tc>
          <w:tcPr>
            <w:tcW w:type="dxa" w:w="2016"/>
          </w:tcPr>
          <w:p>
            <w:pPr>
              <w:spacing w:before="40" w:after="40" w:line="252" w:lineRule="auto"/>
            </w:pPr>
            <w:r/>
          </w:p>
        </w:tc>
      </w:tr>
      <w:tr>
        <w:trPr>
          <w:trHeight w:val="460"/>
        </w:trPr>
        <w:tc>
          <w:tcPr>
            <w:tcW w:type="dxa" w:w="3600"/>
          </w:tcPr>
          <w:p>
            <w:pPr>
              <w:spacing w:before="40" w:after="40" w:line="252" w:lineRule="auto"/>
            </w:pPr>
            <w:r/>
          </w:p>
        </w:tc>
        <w:tc>
          <w:tcPr>
            <w:tcW w:type="dxa" w:w="3744"/>
          </w:tcPr>
          <w:p>
            <w:pPr>
              <w:spacing w:before="40" w:after="40" w:line="252" w:lineRule="auto"/>
            </w:pPr>
            <w:r/>
          </w:p>
        </w:tc>
        <w:tc>
          <w:tcPr>
            <w:tcW w:type="dxa" w:w="2016"/>
          </w:tcPr>
          <w:p>
            <w:pPr>
              <w:spacing w:before="40" w:after="40" w:line="252" w:lineRule="auto"/>
            </w:pPr>
            <w:r/>
          </w:p>
        </w:tc>
      </w:tr>
    </w:tbl>
    <w:p>
      <w:pPr>
        <w:spacing w:after="80"/>
      </w:pPr>
    </w:p>
    <w:p>
      <w:pPr>
        <w:pStyle w:val="Heading2"/>
      </w:pPr>
      <w:r>
        <w:t>Worksheet 2. Outcomes, indicators, sources, schedule, targets</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1872"/>
            <w:shd w:val="clear" w:color="auto" w:fill="E3E9EE"/>
          </w:tcPr>
          <w:p>
            <w:pPr>
              <w:spacing w:before="40" w:after="40" w:line="252" w:lineRule="auto"/>
            </w:pPr>
            <w:r/>
            <w:r>
              <w:rPr>
                <w:rFonts w:ascii="Calibri" w:hAnsi="Calibri"/>
                <w:b/>
                <w:i w:val="0"/>
                <w:color w:val="0F5F63"/>
                <w:sz w:val="19"/>
              </w:rPr>
              <w:t>Outcome</w:t>
            </w:r>
          </w:p>
        </w:tc>
        <w:tc>
          <w:tcPr>
            <w:tcW w:type="dxa" w:w="1872"/>
            <w:shd w:val="clear" w:color="auto" w:fill="E3E9EE"/>
          </w:tcPr>
          <w:p>
            <w:pPr>
              <w:spacing w:before="40" w:after="40" w:line="252" w:lineRule="auto"/>
            </w:pPr>
            <w:r/>
            <w:r>
              <w:rPr>
                <w:rFonts w:ascii="Calibri" w:hAnsi="Calibri"/>
                <w:b/>
                <w:i w:val="0"/>
                <w:color w:val="0F5F63"/>
                <w:sz w:val="19"/>
              </w:rPr>
              <w:t>Indicator</w:t>
            </w:r>
          </w:p>
        </w:tc>
        <w:tc>
          <w:tcPr>
            <w:tcW w:type="dxa" w:w="2160"/>
            <w:shd w:val="clear" w:color="auto" w:fill="E3E9EE"/>
          </w:tcPr>
          <w:p>
            <w:pPr>
              <w:spacing w:before="40" w:after="40" w:line="252" w:lineRule="auto"/>
            </w:pPr>
            <w:r/>
            <w:r>
              <w:rPr>
                <w:rFonts w:ascii="Calibri" w:hAnsi="Calibri"/>
                <w:b/>
                <w:i w:val="0"/>
                <w:color w:val="0F5F63"/>
                <w:sz w:val="19"/>
              </w:rPr>
              <w:t>Data source</w:t>
            </w:r>
          </w:p>
        </w:tc>
        <w:tc>
          <w:tcPr>
            <w:tcW w:type="dxa" w:w="1584"/>
            <w:shd w:val="clear" w:color="auto" w:fill="E3E9EE"/>
          </w:tcPr>
          <w:p>
            <w:pPr>
              <w:spacing w:before="40" w:after="40" w:line="252" w:lineRule="auto"/>
            </w:pPr>
            <w:r/>
            <w:r>
              <w:rPr>
                <w:rFonts w:ascii="Calibri" w:hAnsi="Calibri"/>
                <w:b/>
                <w:i w:val="0"/>
                <w:color w:val="0F5F63"/>
                <w:sz w:val="19"/>
              </w:rPr>
              <w:t>Schedule</w:t>
            </w:r>
          </w:p>
        </w:tc>
        <w:tc>
          <w:tcPr>
            <w:tcW w:type="dxa" w:w="1872"/>
            <w:shd w:val="clear" w:color="auto" w:fill="E3E9EE"/>
          </w:tcPr>
          <w:p>
            <w:pPr>
              <w:spacing w:before="40" w:after="40" w:line="252" w:lineRule="auto"/>
            </w:pPr>
            <w:r/>
            <w:r>
              <w:rPr>
                <w:rFonts w:ascii="Calibri" w:hAnsi="Calibri"/>
                <w:b/>
                <w:i w:val="0"/>
                <w:color w:val="0F5F63"/>
                <w:sz w:val="19"/>
              </w:rPr>
              <w:t>Target</w:t>
            </w:r>
          </w:p>
        </w:tc>
      </w:tr>
      <w:tr>
        <w:tc>
          <w:tcPr>
            <w:tcW w:type="dxa" w:w="1872"/>
            <w:shd w:val="clear" w:color="auto" w:fill="FBFCFD"/>
          </w:tcPr>
          <w:p>
            <w:pPr>
              <w:spacing w:before="40" w:after="40" w:line="252" w:lineRule="auto"/>
            </w:pPr>
            <w:r/>
            <w:r>
              <w:rPr>
                <w:rFonts w:ascii="Calibri" w:hAnsi="Calibri"/>
                <w:b w:val="0"/>
                <w:i/>
                <w:color w:val="4B5A6B"/>
                <w:sz w:val="19"/>
              </w:rPr>
              <w:t>Students improve oral reading fluency</w:t>
            </w:r>
          </w:p>
        </w:tc>
        <w:tc>
          <w:tcPr>
            <w:tcW w:type="dxa" w:w="1872"/>
            <w:shd w:val="clear" w:color="auto" w:fill="FBFCFD"/>
          </w:tcPr>
          <w:p>
            <w:pPr>
              <w:spacing w:before="40" w:after="40" w:line="252" w:lineRule="auto"/>
            </w:pPr>
            <w:r/>
            <w:r>
              <w:rPr>
                <w:rFonts w:ascii="Calibri" w:hAnsi="Calibri"/>
                <w:b w:val="0"/>
                <w:i/>
                <w:color w:val="4B5A6B"/>
                <w:sz w:val="19"/>
              </w:rPr>
              <w:t>Words correct per minute</w:t>
            </w:r>
          </w:p>
        </w:tc>
        <w:tc>
          <w:tcPr>
            <w:tcW w:type="dxa" w:w="2160"/>
            <w:shd w:val="clear" w:color="auto" w:fill="FBFCFD"/>
          </w:tcPr>
          <w:p>
            <w:pPr>
              <w:spacing w:before="40" w:after="40" w:line="252" w:lineRule="auto"/>
            </w:pPr>
            <w:r/>
            <w:r>
              <w:rPr>
                <w:rFonts w:ascii="Calibri" w:hAnsi="Calibri"/>
                <w:b w:val="0"/>
                <w:i/>
                <w:color w:val="4B5A6B"/>
                <w:sz w:val="19"/>
              </w:rPr>
              <w:t>Curriculum-based fluency probe</w:t>
            </w:r>
          </w:p>
        </w:tc>
        <w:tc>
          <w:tcPr>
            <w:tcW w:type="dxa" w:w="1584"/>
            <w:shd w:val="clear" w:color="auto" w:fill="FBFCFD"/>
          </w:tcPr>
          <w:p>
            <w:pPr>
              <w:spacing w:before="40" w:after="40" w:line="252" w:lineRule="auto"/>
            </w:pPr>
            <w:r/>
            <w:r>
              <w:rPr>
                <w:rFonts w:ascii="Calibri" w:hAnsi="Calibri"/>
                <w:b w:val="0"/>
                <w:i/>
                <w:color w:val="4B5A6B"/>
                <w:sz w:val="19"/>
              </w:rPr>
              <w:t>Sept, Jan, May</w:t>
            </w:r>
          </w:p>
        </w:tc>
        <w:tc>
          <w:tcPr>
            <w:tcW w:type="dxa" w:w="1872"/>
            <w:shd w:val="clear" w:color="auto" w:fill="FBFCFD"/>
          </w:tcPr>
          <w:p>
            <w:pPr>
              <w:spacing w:before="40" w:after="40" w:line="252" w:lineRule="auto"/>
            </w:pPr>
            <w:r/>
            <w:r>
              <w:rPr>
                <w:rFonts w:ascii="Calibri" w:hAnsi="Calibri"/>
                <w:b w:val="0"/>
                <w:i/>
                <w:color w:val="4B5A6B"/>
                <w:sz w:val="19"/>
              </w:rPr>
              <w:t>70% gain 20+ wcpm by May</w:t>
            </w:r>
          </w:p>
        </w:tc>
      </w:tr>
      <w:tr>
        <w:trPr>
          <w:trHeight w:val="460"/>
        </w:trPr>
        <w:tc>
          <w:tcPr>
            <w:tcW w:type="dxa" w:w="1872"/>
          </w:tcPr>
          <w:p>
            <w:pPr>
              <w:spacing w:before="40" w:after="40" w:line="252" w:lineRule="auto"/>
            </w:pPr>
            <w:r/>
          </w:p>
        </w:tc>
        <w:tc>
          <w:tcPr>
            <w:tcW w:type="dxa" w:w="1872"/>
          </w:tcPr>
          <w:p>
            <w:pPr>
              <w:spacing w:before="40" w:after="40" w:line="252" w:lineRule="auto"/>
            </w:pPr>
            <w:r/>
          </w:p>
        </w:tc>
        <w:tc>
          <w:tcPr>
            <w:tcW w:type="dxa" w:w="2160"/>
          </w:tcPr>
          <w:p>
            <w:pPr>
              <w:spacing w:before="40" w:after="40" w:line="252" w:lineRule="auto"/>
            </w:pPr>
            <w:r/>
          </w:p>
        </w:tc>
        <w:tc>
          <w:tcPr>
            <w:tcW w:type="dxa" w:w="1584"/>
          </w:tcPr>
          <w:p>
            <w:pPr>
              <w:spacing w:before="40" w:after="40" w:line="252" w:lineRule="auto"/>
            </w:pPr>
            <w:r/>
          </w:p>
        </w:tc>
        <w:tc>
          <w:tcPr>
            <w:tcW w:type="dxa" w:w="1872"/>
          </w:tcPr>
          <w:p>
            <w:pPr>
              <w:spacing w:before="40" w:after="40" w:line="252" w:lineRule="auto"/>
            </w:pPr>
            <w:r/>
          </w:p>
        </w:tc>
      </w:tr>
      <w:tr>
        <w:trPr>
          <w:trHeight w:val="460"/>
        </w:trPr>
        <w:tc>
          <w:tcPr>
            <w:tcW w:type="dxa" w:w="1872"/>
          </w:tcPr>
          <w:p>
            <w:pPr>
              <w:spacing w:before="40" w:after="40" w:line="252" w:lineRule="auto"/>
            </w:pPr>
            <w:r/>
          </w:p>
        </w:tc>
        <w:tc>
          <w:tcPr>
            <w:tcW w:type="dxa" w:w="1872"/>
          </w:tcPr>
          <w:p>
            <w:pPr>
              <w:spacing w:before="40" w:after="40" w:line="252" w:lineRule="auto"/>
            </w:pPr>
            <w:r/>
          </w:p>
        </w:tc>
        <w:tc>
          <w:tcPr>
            <w:tcW w:type="dxa" w:w="2160"/>
          </w:tcPr>
          <w:p>
            <w:pPr>
              <w:spacing w:before="40" w:after="40" w:line="252" w:lineRule="auto"/>
            </w:pPr>
            <w:r/>
          </w:p>
        </w:tc>
        <w:tc>
          <w:tcPr>
            <w:tcW w:type="dxa" w:w="1584"/>
          </w:tcPr>
          <w:p>
            <w:pPr>
              <w:spacing w:before="40" w:after="40" w:line="252" w:lineRule="auto"/>
            </w:pPr>
            <w:r/>
          </w:p>
        </w:tc>
        <w:tc>
          <w:tcPr>
            <w:tcW w:type="dxa" w:w="1872"/>
          </w:tcPr>
          <w:p>
            <w:pPr>
              <w:spacing w:before="40" w:after="40" w:line="252" w:lineRule="auto"/>
            </w:pPr>
            <w:r/>
          </w:p>
        </w:tc>
      </w:tr>
      <w:tr>
        <w:trPr>
          <w:trHeight w:val="460"/>
        </w:trPr>
        <w:tc>
          <w:tcPr>
            <w:tcW w:type="dxa" w:w="1872"/>
          </w:tcPr>
          <w:p>
            <w:pPr>
              <w:spacing w:before="40" w:after="40" w:line="252" w:lineRule="auto"/>
            </w:pPr>
            <w:r/>
          </w:p>
        </w:tc>
        <w:tc>
          <w:tcPr>
            <w:tcW w:type="dxa" w:w="1872"/>
          </w:tcPr>
          <w:p>
            <w:pPr>
              <w:spacing w:before="40" w:after="40" w:line="252" w:lineRule="auto"/>
            </w:pPr>
            <w:r/>
          </w:p>
        </w:tc>
        <w:tc>
          <w:tcPr>
            <w:tcW w:type="dxa" w:w="2160"/>
          </w:tcPr>
          <w:p>
            <w:pPr>
              <w:spacing w:before="40" w:after="40" w:line="252" w:lineRule="auto"/>
            </w:pPr>
            <w:r/>
          </w:p>
        </w:tc>
        <w:tc>
          <w:tcPr>
            <w:tcW w:type="dxa" w:w="1584"/>
          </w:tcPr>
          <w:p>
            <w:pPr>
              <w:spacing w:before="40" w:after="40" w:line="252" w:lineRule="auto"/>
            </w:pPr>
            <w:r/>
          </w:p>
        </w:tc>
        <w:tc>
          <w:tcPr>
            <w:tcW w:type="dxa" w:w="1872"/>
          </w:tcPr>
          <w:p>
            <w:pPr>
              <w:spacing w:before="40" w:after="40" w:line="252" w:lineRule="auto"/>
            </w:pPr>
            <w:r/>
          </w:p>
        </w:tc>
      </w:tr>
      <w:tr>
        <w:trPr>
          <w:trHeight w:val="460"/>
        </w:trPr>
        <w:tc>
          <w:tcPr>
            <w:tcW w:type="dxa" w:w="1872"/>
          </w:tcPr>
          <w:p>
            <w:pPr>
              <w:spacing w:before="40" w:after="40" w:line="252" w:lineRule="auto"/>
            </w:pPr>
            <w:r/>
          </w:p>
        </w:tc>
        <w:tc>
          <w:tcPr>
            <w:tcW w:type="dxa" w:w="1872"/>
          </w:tcPr>
          <w:p>
            <w:pPr>
              <w:spacing w:before="40" w:after="40" w:line="252" w:lineRule="auto"/>
            </w:pPr>
            <w:r/>
          </w:p>
        </w:tc>
        <w:tc>
          <w:tcPr>
            <w:tcW w:type="dxa" w:w="2160"/>
          </w:tcPr>
          <w:p>
            <w:pPr>
              <w:spacing w:before="40" w:after="40" w:line="252" w:lineRule="auto"/>
            </w:pPr>
            <w:r/>
          </w:p>
        </w:tc>
        <w:tc>
          <w:tcPr>
            <w:tcW w:type="dxa" w:w="1584"/>
          </w:tcPr>
          <w:p>
            <w:pPr>
              <w:spacing w:before="40" w:after="40" w:line="252" w:lineRule="auto"/>
            </w:pPr>
            <w:r/>
          </w:p>
        </w:tc>
        <w:tc>
          <w:tcPr>
            <w:tcW w:type="dxa" w:w="1872"/>
          </w:tcPr>
          <w:p>
            <w:pPr>
              <w:spacing w:before="40" w:after="40" w:line="252" w:lineRule="auto"/>
            </w:pPr>
            <w:r/>
          </w:p>
        </w:tc>
      </w:tr>
      <w:tr>
        <w:trPr>
          <w:trHeight w:val="460"/>
        </w:trPr>
        <w:tc>
          <w:tcPr>
            <w:tcW w:type="dxa" w:w="1872"/>
          </w:tcPr>
          <w:p>
            <w:pPr>
              <w:spacing w:before="40" w:after="40" w:line="252" w:lineRule="auto"/>
            </w:pPr>
            <w:r/>
          </w:p>
        </w:tc>
        <w:tc>
          <w:tcPr>
            <w:tcW w:type="dxa" w:w="1872"/>
          </w:tcPr>
          <w:p>
            <w:pPr>
              <w:spacing w:before="40" w:after="40" w:line="252" w:lineRule="auto"/>
            </w:pPr>
            <w:r/>
          </w:p>
        </w:tc>
        <w:tc>
          <w:tcPr>
            <w:tcW w:type="dxa" w:w="2160"/>
          </w:tcPr>
          <w:p>
            <w:pPr>
              <w:spacing w:before="40" w:after="40" w:line="252" w:lineRule="auto"/>
            </w:pPr>
            <w:r/>
          </w:p>
        </w:tc>
        <w:tc>
          <w:tcPr>
            <w:tcW w:type="dxa" w:w="1584"/>
          </w:tcPr>
          <w:p>
            <w:pPr>
              <w:spacing w:before="40" w:after="40" w:line="252" w:lineRule="auto"/>
            </w:pPr>
            <w:r/>
          </w:p>
        </w:tc>
        <w:tc>
          <w:tcPr>
            <w:tcW w:type="dxa" w:w="1872"/>
          </w:tcPr>
          <w:p>
            <w:pPr>
              <w:spacing w:before="40" w:after="40" w:line="252" w:lineRule="auto"/>
            </w:pPr>
            <w:r/>
          </w:p>
        </w:tc>
      </w:tr>
      <w:tr>
        <w:trPr>
          <w:trHeight w:val="460"/>
        </w:trPr>
        <w:tc>
          <w:tcPr>
            <w:tcW w:type="dxa" w:w="1872"/>
          </w:tcPr>
          <w:p>
            <w:pPr>
              <w:spacing w:before="40" w:after="40" w:line="252" w:lineRule="auto"/>
            </w:pPr>
            <w:r/>
          </w:p>
        </w:tc>
        <w:tc>
          <w:tcPr>
            <w:tcW w:type="dxa" w:w="1872"/>
          </w:tcPr>
          <w:p>
            <w:pPr>
              <w:spacing w:before="40" w:after="40" w:line="252" w:lineRule="auto"/>
            </w:pPr>
            <w:r/>
          </w:p>
        </w:tc>
        <w:tc>
          <w:tcPr>
            <w:tcW w:type="dxa" w:w="2160"/>
          </w:tcPr>
          <w:p>
            <w:pPr>
              <w:spacing w:before="40" w:after="40" w:line="252" w:lineRule="auto"/>
            </w:pPr>
            <w:r/>
          </w:p>
        </w:tc>
        <w:tc>
          <w:tcPr>
            <w:tcW w:type="dxa" w:w="1584"/>
          </w:tcPr>
          <w:p>
            <w:pPr>
              <w:spacing w:before="40" w:after="40" w:line="252" w:lineRule="auto"/>
            </w:pPr>
            <w:r/>
          </w:p>
        </w:tc>
        <w:tc>
          <w:tcPr>
            <w:tcW w:type="dxa" w:w="1872"/>
          </w:tcPr>
          <w:p>
            <w:pPr>
              <w:spacing w:before="40" w:after="40" w:line="252" w:lineRule="auto"/>
            </w:pPr>
            <w:r/>
          </w:p>
        </w:tc>
      </w:tr>
    </w:tbl>
    <w:p>
      <w:pPr>
        <w:spacing w:after="80"/>
      </w:pPr>
    </w:p>
    <w:p>
      <w:pPr>
        <w:pStyle w:val="Heading2"/>
      </w:pPr>
      <w:r>
        <w:t>Worksheet 3. Data collection calendar</w:t>
      </w:r>
    </w:p>
    <w:tbl>
      <w:tblPr>
        <w:tblStyle w:val="TableGrid"/>
        <w:tblW w:type="auto" w:w="0"/>
        <w:jc w:val="left"/>
        <w:tblLayout w:type="fixed"/>
        <w:tblLook w:firstColumn="1" w:firstRow="1" w:lastColumn="0" w:lastRow="0" w:noHBand="0" w:noVBand="1" w:val="04A0"/>
      </w:tblPr>
      <w:tblGrid>
        <w:gridCol w:w="1872"/>
        <w:gridCol w:w="1872"/>
        <w:gridCol w:w="1872"/>
        <w:gridCol w:w="1872"/>
        <w:gridCol w:w="1872"/>
      </w:tblGrid>
      <w:tr>
        <w:trPr>
          <w:tblHeader w:val="true"/>
        </w:trPr>
        <w:tc>
          <w:tcPr>
            <w:tcW w:type="dxa" w:w="1728"/>
            <w:shd w:val="clear" w:color="auto" w:fill="E3E9EE"/>
          </w:tcPr>
          <w:p>
            <w:pPr>
              <w:spacing w:before="40" w:after="40" w:line="252" w:lineRule="auto"/>
            </w:pPr>
            <w:r/>
            <w:r>
              <w:rPr>
                <w:rFonts w:ascii="Calibri" w:hAnsi="Calibri"/>
                <w:b/>
                <w:i w:val="0"/>
                <w:color w:val="0F5F63"/>
                <w:sz w:val="19"/>
              </w:rPr>
              <w:t>Measure</w:t>
            </w:r>
          </w:p>
        </w:tc>
        <w:tc>
          <w:tcPr>
            <w:tcW w:type="dxa" w:w="2232"/>
            <w:shd w:val="clear" w:color="auto" w:fill="E3E9EE"/>
          </w:tcPr>
          <w:p>
            <w:pPr>
              <w:spacing w:before="40" w:after="40" w:line="252" w:lineRule="auto"/>
            </w:pPr>
            <w:r/>
            <w:r>
              <w:rPr>
                <w:rFonts w:ascii="Calibri" w:hAnsi="Calibri"/>
                <w:b/>
                <w:i w:val="0"/>
                <w:color w:val="0F5F63"/>
                <w:sz w:val="19"/>
              </w:rPr>
              <w:t>Baseline (date window)</w:t>
            </w:r>
          </w:p>
        </w:tc>
        <w:tc>
          <w:tcPr>
            <w:tcW w:type="dxa" w:w="2232"/>
            <w:shd w:val="clear" w:color="auto" w:fill="E3E9EE"/>
          </w:tcPr>
          <w:p>
            <w:pPr>
              <w:spacing w:before="40" w:after="40" w:line="252" w:lineRule="auto"/>
            </w:pPr>
            <w:r/>
            <w:r>
              <w:rPr>
                <w:rFonts w:ascii="Calibri" w:hAnsi="Calibri"/>
                <w:b/>
                <w:i w:val="0"/>
                <w:color w:val="0F5F63"/>
                <w:sz w:val="19"/>
              </w:rPr>
              <w:t>Follow-up points</w:t>
            </w:r>
          </w:p>
        </w:tc>
        <w:tc>
          <w:tcPr>
            <w:tcW w:type="dxa" w:w="1656"/>
            <w:shd w:val="clear" w:color="auto" w:fill="E3E9EE"/>
          </w:tcPr>
          <w:p>
            <w:pPr>
              <w:spacing w:before="40" w:after="40" w:line="252" w:lineRule="auto"/>
            </w:pPr>
            <w:r/>
            <w:r>
              <w:rPr>
                <w:rFonts w:ascii="Calibri" w:hAnsi="Calibri"/>
                <w:b/>
                <w:i w:val="0"/>
                <w:color w:val="0F5F63"/>
                <w:sz w:val="19"/>
              </w:rPr>
              <w:t>Final measure</w:t>
            </w:r>
          </w:p>
        </w:tc>
        <w:tc>
          <w:tcPr>
            <w:tcW w:type="dxa" w:w="1512"/>
            <w:shd w:val="clear" w:color="auto" w:fill="E3E9EE"/>
          </w:tcPr>
          <w:p>
            <w:pPr>
              <w:spacing w:before="40" w:after="40" w:line="252" w:lineRule="auto"/>
            </w:pPr>
            <w:r/>
            <w:r>
              <w:rPr>
                <w:rFonts w:ascii="Calibri" w:hAnsi="Calibri"/>
                <w:b/>
                <w:i w:val="0"/>
                <w:color w:val="0F5F63"/>
                <w:sz w:val="19"/>
              </w:rPr>
              <w:t>Responsible role</w:t>
            </w:r>
          </w:p>
        </w:tc>
      </w:tr>
      <w:tr>
        <w:tc>
          <w:tcPr>
            <w:tcW w:type="dxa" w:w="1728"/>
            <w:shd w:val="clear" w:color="auto" w:fill="FBFCFD"/>
          </w:tcPr>
          <w:p>
            <w:pPr>
              <w:spacing w:before="40" w:after="40" w:line="252" w:lineRule="auto"/>
            </w:pPr>
            <w:r/>
            <w:r>
              <w:rPr>
                <w:rFonts w:ascii="Calibri" w:hAnsi="Calibri"/>
                <w:b w:val="0"/>
                <w:i/>
                <w:color w:val="4B5A6B"/>
                <w:sz w:val="19"/>
              </w:rPr>
              <w:t>Fluency probe</w:t>
            </w:r>
          </w:p>
        </w:tc>
        <w:tc>
          <w:tcPr>
            <w:tcW w:type="dxa" w:w="2232"/>
            <w:shd w:val="clear" w:color="auto" w:fill="FBFCFD"/>
          </w:tcPr>
          <w:p>
            <w:pPr>
              <w:spacing w:before="40" w:after="40" w:line="252" w:lineRule="auto"/>
            </w:pPr>
            <w:r/>
            <w:r>
              <w:rPr>
                <w:rFonts w:ascii="Calibri" w:hAnsi="Calibri"/>
                <w:b w:val="0"/>
                <w:i/>
                <w:color w:val="4B5A6B"/>
                <w:sz w:val="19"/>
              </w:rPr>
              <w:t>First two weeks of September</w:t>
            </w:r>
          </w:p>
        </w:tc>
        <w:tc>
          <w:tcPr>
            <w:tcW w:type="dxa" w:w="2232"/>
            <w:shd w:val="clear" w:color="auto" w:fill="FBFCFD"/>
          </w:tcPr>
          <w:p>
            <w:pPr>
              <w:spacing w:before="40" w:after="40" w:line="252" w:lineRule="auto"/>
            </w:pPr>
            <w:r/>
            <w:r>
              <w:rPr>
                <w:rFonts w:ascii="Calibri" w:hAnsi="Calibri"/>
                <w:b w:val="0"/>
                <w:i/>
                <w:color w:val="4B5A6B"/>
                <w:sz w:val="19"/>
              </w:rPr>
              <w:t>Second week of January</w:t>
            </w:r>
          </w:p>
        </w:tc>
        <w:tc>
          <w:tcPr>
            <w:tcW w:type="dxa" w:w="1656"/>
            <w:shd w:val="clear" w:color="auto" w:fill="FBFCFD"/>
          </w:tcPr>
          <w:p>
            <w:pPr>
              <w:spacing w:before="40" w:after="40" w:line="252" w:lineRule="auto"/>
            </w:pPr>
            <w:r/>
            <w:r>
              <w:rPr>
                <w:rFonts w:ascii="Calibri" w:hAnsi="Calibri"/>
                <w:b w:val="0"/>
                <w:i/>
                <w:color w:val="4B5A6B"/>
                <w:sz w:val="19"/>
              </w:rPr>
              <w:t>First two weeks of May</w:t>
            </w:r>
          </w:p>
        </w:tc>
        <w:tc>
          <w:tcPr>
            <w:tcW w:type="dxa" w:w="1512"/>
            <w:shd w:val="clear" w:color="auto" w:fill="FBFCFD"/>
          </w:tcPr>
          <w:p>
            <w:pPr>
              <w:spacing w:before="40" w:after="40" w:line="252" w:lineRule="auto"/>
            </w:pPr>
            <w:r/>
            <w:r>
              <w:rPr>
                <w:rFonts w:ascii="Calibri" w:hAnsi="Calibri"/>
                <w:b w:val="0"/>
                <w:i/>
                <w:color w:val="4B5A6B"/>
                <w:sz w:val="19"/>
              </w:rPr>
              <w:t>Site coordinator</w:t>
            </w:r>
          </w:p>
        </w:tc>
      </w:tr>
      <w:tr>
        <w:trPr>
          <w:trHeight w:val="460"/>
        </w:trPr>
        <w:tc>
          <w:tcPr>
            <w:tcW w:type="dxa" w:w="1728"/>
          </w:tcPr>
          <w:p>
            <w:pPr>
              <w:spacing w:before="40" w:after="40" w:line="252" w:lineRule="auto"/>
            </w:pPr>
            <w:r/>
          </w:p>
        </w:tc>
        <w:tc>
          <w:tcPr>
            <w:tcW w:type="dxa" w:w="2232"/>
          </w:tcPr>
          <w:p>
            <w:pPr>
              <w:spacing w:before="40" w:after="40" w:line="252" w:lineRule="auto"/>
            </w:pPr>
            <w:r/>
          </w:p>
        </w:tc>
        <w:tc>
          <w:tcPr>
            <w:tcW w:type="dxa" w:w="2232"/>
          </w:tcPr>
          <w:p>
            <w:pPr>
              <w:spacing w:before="40" w:after="40" w:line="252" w:lineRule="auto"/>
            </w:pPr>
            <w:r/>
          </w:p>
        </w:tc>
        <w:tc>
          <w:tcPr>
            <w:tcW w:type="dxa" w:w="1656"/>
          </w:tcPr>
          <w:p>
            <w:pPr>
              <w:spacing w:before="40" w:after="40" w:line="252" w:lineRule="auto"/>
            </w:pPr>
            <w:r/>
          </w:p>
        </w:tc>
        <w:tc>
          <w:tcPr>
            <w:tcW w:type="dxa" w:w="1512"/>
          </w:tcPr>
          <w:p>
            <w:pPr>
              <w:spacing w:before="40" w:after="40" w:line="252" w:lineRule="auto"/>
            </w:pPr>
            <w:r/>
          </w:p>
        </w:tc>
      </w:tr>
      <w:tr>
        <w:trPr>
          <w:trHeight w:val="460"/>
        </w:trPr>
        <w:tc>
          <w:tcPr>
            <w:tcW w:type="dxa" w:w="1728"/>
          </w:tcPr>
          <w:p>
            <w:pPr>
              <w:spacing w:before="40" w:after="40" w:line="252" w:lineRule="auto"/>
            </w:pPr>
            <w:r/>
          </w:p>
        </w:tc>
        <w:tc>
          <w:tcPr>
            <w:tcW w:type="dxa" w:w="2232"/>
          </w:tcPr>
          <w:p>
            <w:pPr>
              <w:spacing w:before="40" w:after="40" w:line="252" w:lineRule="auto"/>
            </w:pPr>
            <w:r/>
          </w:p>
        </w:tc>
        <w:tc>
          <w:tcPr>
            <w:tcW w:type="dxa" w:w="2232"/>
          </w:tcPr>
          <w:p>
            <w:pPr>
              <w:spacing w:before="40" w:after="40" w:line="252" w:lineRule="auto"/>
            </w:pPr>
            <w:r/>
          </w:p>
        </w:tc>
        <w:tc>
          <w:tcPr>
            <w:tcW w:type="dxa" w:w="1656"/>
          </w:tcPr>
          <w:p>
            <w:pPr>
              <w:spacing w:before="40" w:after="40" w:line="252" w:lineRule="auto"/>
            </w:pPr>
            <w:r/>
          </w:p>
        </w:tc>
        <w:tc>
          <w:tcPr>
            <w:tcW w:type="dxa" w:w="1512"/>
          </w:tcPr>
          <w:p>
            <w:pPr>
              <w:spacing w:before="40" w:after="40" w:line="252" w:lineRule="auto"/>
            </w:pPr>
            <w:r/>
          </w:p>
        </w:tc>
      </w:tr>
      <w:tr>
        <w:trPr>
          <w:trHeight w:val="460"/>
        </w:trPr>
        <w:tc>
          <w:tcPr>
            <w:tcW w:type="dxa" w:w="1728"/>
          </w:tcPr>
          <w:p>
            <w:pPr>
              <w:spacing w:before="40" w:after="40" w:line="252" w:lineRule="auto"/>
            </w:pPr>
            <w:r/>
          </w:p>
        </w:tc>
        <w:tc>
          <w:tcPr>
            <w:tcW w:type="dxa" w:w="2232"/>
          </w:tcPr>
          <w:p>
            <w:pPr>
              <w:spacing w:before="40" w:after="40" w:line="252" w:lineRule="auto"/>
            </w:pPr>
            <w:r/>
          </w:p>
        </w:tc>
        <w:tc>
          <w:tcPr>
            <w:tcW w:type="dxa" w:w="2232"/>
          </w:tcPr>
          <w:p>
            <w:pPr>
              <w:spacing w:before="40" w:after="40" w:line="252" w:lineRule="auto"/>
            </w:pPr>
            <w:r/>
          </w:p>
        </w:tc>
        <w:tc>
          <w:tcPr>
            <w:tcW w:type="dxa" w:w="1656"/>
          </w:tcPr>
          <w:p>
            <w:pPr>
              <w:spacing w:before="40" w:after="40" w:line="252" w:lineRule="auto"/>
            </w:pPr>
            <w:r/>
          </w:p>
        </w:tc>
        <w:tc>
          <w:tcPr>
            <w:tcW w:type="dxa" w:w="1512"/>
          </w:tcPr>
          <w:p>
            <w:pPr>
              <w:spacing w:before="40" w:after="40" w:line="252" w:lineRule="auto"/>
            </w:pPr>
            <w:r/>
          </w:p>
        </w:tc>
      </w:tr>
      <w:tr>
        <w:trPr>
          <w:trHeight w:val="460"/>
        </w:trPr>
        <w:tc>
          <w:tcPr>
            <w:tcW w:type="dxa" w:w="1728"/>
          </w:tcPr>
          <w:p>
            <w:pPr>
              <w:spacing w:before="40" w:after="40" w:line="252" w:lineRule="auto"/>
            </w:pPr>
            <w:r/>
          </w:p>
        </w:tc>
        <w:tc>
          <w:tcPr>
            <w:tcW w:type="dxa" w:w="2232"/>
          </w:tcPr>
          <w:p>
            <w:pPr>
              <w:spacing w:before="40" w:after="40" w:line="252" w:lineRule="auto"/>
            </w:pPr>
            <w:r/>
          </w:p>
        </w:tc>
        <w:tc>
          <w:tcPr>
            <w:tcW w:type="dxa" w:w="2232"/>
          </w:tcPr>
          <w:p>
            <w:pPr>
              <w:spacing w:before="40" w:after="40" w:line="252" w:lineRule="auto"/>
            </w:pPr>
            <w:r/>
          </w:p>
        </w:tc>
        <w:tc>
          <w:tcPr>
            <w:tcW w:type="dxa" w:w="1656"/>
          </w:tcPr>
          <w:p>
            <w:pPr>
              <w:spacing w:before="40" w:after="40" w:line="252" w:lineRule="auto"/>
            </w:pPr>
            <w:r/>
          </w:p>
        </w:tc>
        <w:tc>
          <w:tcPr>
            <w:tcW w:type="dxa" w:w="1512"/>
          </w:tcPr>
          <w:p>
            <w:pPr>
              <w:spacing w:before="40" w:after="40" w:line="252" w:lineRule="auto"/>
            </w:pPr>
            <w:r/>
          </w:p>
        </w:tc>
      </w:tr>
      <w:tr>
        <w:trPr>
          <w:trHeight w:val="460"/>
        </w:trPr>
        <w:tc>
          <w:tcPr>
            <w:tcW w:type="dxa" w:w="1728"/>
          </w:tcPr>
          <w:p>
            <w:pPr>
              <w:spacing w:before="40" w:after="40" w:line="252" w:lineRule="auto"/>
            </w:pPr>
            <w:r/>
          </w:p>
        </w:tc>
        <w:tc>
          <w:tcPr>
            <w:tcW w:type="dxa" w:w="2232"/>
          </w:tcPr>
          <w:p>
            <w:pPr>
              <w:spacing w:before="40" w:after="40" w:line="252" w:lineRule="auto"/>
            </w:pPr>
            <w:r/>
          </w:p>
        </w:tc>
        <w:tc>
          <w:tcPr>
            <w:tcW w:type="dxa" w:w="2232"/>
          </w:tcPr>
          <w:p>
            <w:pPr>
              <w:spacing w:before="40" w:after="40" w:line="252" w:lineRule="auto"/>
            </w:pPr>
            <w:r/>
          </w:p>
        </w:tc>
        <w:tc>
          <w:tcPr>
            <w:tcW w:type="dxa" w:w="1656"/>
          </w:tcPr>
          <w:p>
            <w:pPr>
              <w:spacing w:before="40" w:after="40" w:line="252" w:lineRule="auto"/>
            </w:pPr>
            <w:r/>
          </w:p>
        </w:tc>
        <w:tc>
          <w:tcPr>
            <w:tcW w:type="dxa" w:w="1512"/>
          </w:tcPr>
          <w:p>
            <w:pPr>
              <w:spacing w:before="40" w:after="40" w:line="252" w:lineRule="auto"/>
            </w:pPr>
            <w:r/>
          </w:p>
        </w:tc>
      </w:tr>
    </w:tbl>
    <w:p>
      <w:pPr>
        <w:spacing w:after="80"/>
      </w:pPr>
    </w:p>
    <w:p>
      <w:pPr>
        <w:pStyle w:val="Heading2"/>
      </w:pPr>
      <w:r>
        <w:t>Worksheet 4. Evaluation staffing and budget</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3456"/>
            <w:shd w:val="clear" w:color="auto" w:fill="E3E9EE"/>
          </w:tcPr>
          <w:p>
            <w:pPr>
              <w:spacing w:before="40" w:after="40" w:line="252" w:lineRule="auto"/>
            </w:pPr>
            <w:r/>
            <w:r>
              <w:rPr>
                <w:rFonts w:ascii="Calibri" w:hAnsi="Calibri"/>
                <w:b/>
                <w:i w:val="0"/>
                <w:color w:val="0F5F63"/>
                <w:sz w:val="19"/>
              </w:rPr>
              <w:t>Line item</w:t>
            </w:r>
          </w:p>
        </w:tc>
        <w:tc>
          <w:tcPr>
            <w:tcW w:type="dxa" w:w="2448"/>
            <w:shd w:val="clear" w:color="auto" w:fill="E3E9EE"/>
          </w:tcPr>
          <w:p>
            <w:pPr>
              <w:spacing w:before="40" w:after="40" w:line="252" w:lineRule="auto"/>
            </w:pPr>
            <w:r/>
            <w:r>
              <w:rPr>
                <w:rFonts w:ascii="Calibri" w:hAnsi="Calibri"/>
                <w:b/>
                <w:i w:val="0"/>
                <w:color w:val="0F5F63"/>
                <w:sz w:val="19"/>
              </w:rPr>
              <w:t>Role or basis</w:t>
            </w:r>
          </w:p>
        </w:tc>
        <w:tc>
          <w:tcPr>
            <w:tcW w:type="dxa" w:w="1872"/>
            <w:shd w:val="clear" w:color="auto" w:fill="E3E9EE"/>
          </w:tcPr>
          <w:p>
            <w:pPr>
              <w:spacing w:before="40" w:after="40" w:line="252" w:lineRule="auto"/>
            </w:pPr>
            <w:r/>
            <w:r>
              <w:rPr>
                <w:rFonts w:ascii="Calibri" w:hAnsi="Calibri"/>
                <w:b/>
                <w:i w:val="0"/>
                <w:color w:val="0F5F63"/>
                <w:sz w:val="19"/>
              </w:rPr>
              <w:t>FTE or units</w:t>
            </w:r>
          </w:p>
        </w:tc>
        <w:tc>
          <w:tcPr>
            <w:tcW w:type="dxa" w:w="1584"/>
            <w:shd w:val="clear" w:color="auto" w:fill="E3E9EE"/>
          </w:tcPr>
          <w:p>
            <w:pPr>
              <w:spacing w:before="40" w:after="40" w:line="252" w:lineRule="auto"/>
            </w:pPr>
            <w:r/>
            <w:r>
              <w:rPr>
                <w:rFonts w:ascii="Calibri" w:hAnsi="Calibri"/>
                <w:b/>
                <w:i w:val="0"/>
                <w:color w:val="0F5F63"/>
                <w:sz w:val="19"/>
              </w:rPr>
              <w:t>Cost</w:t>
            </w:r>
          </w:p>
        </w:tc>
      </w:tr>
      <w:tr>
        <w:tc>
          <w:tcPr>
            <w:tcW w:type="dxa" w:w="3456"/>
            <w:shd w:val="clear" w:color="auto" w:fill="FBFCFD"/>
          </w:tcPr>
          <w:p>
            <w:pPr>
              <w:spacing w:before="40" w:after="40" w:line="252" w:lineRule="auto"/>
            </w:pPr>
            <w:r/>
            <w:r>
              <w:rPr>
                <w:rFonts w:ascii="Calibri" w:hAnsi="Calibri"/>
                <w:b w:val="0"/>
                <w:i/>
                <w:color w:val="4B5A6B"/>
                <w:sz w:val="19"/>
              </w:rPr>
              <w:t>Probe administration and data entry</w:t>
            </w:r>
          </w:p>
        </w:tc>
        <w:tc>
          <w:tcPr>
            <w:tcW w:type="dxa" w:w="2448"/>
            <w:shd w:val="clear" w:color="auto" w:fill="FBFCFD"/>
          </w:tcPr>
          <w:p>
            <w:pPr>
              <w:spacing w:before="40" w:after="40" w:line="252" w:lineRule="auto"/>
            </w:pPr>
            <w:r/>
            <w:r>
              <w:rPr>
                <w:rFonts w:ascii="Calibri" w:hAnsi="Calibri"/>
                <w:b w:val="0"/>
                <w:i/>
                <w:color w:val="4B5A6B"/>
                <w:sz w:val="19"/>
              </w:rPr>
              <w:t>Site coordinator</w:t>
            </w:r>
          </w:p>
        </w:tc>
        <w:tc>
          <w:tcPr>
            <w:tcW w:type="dxa" w:w="1872"/>
            <w:shd w:val="clear" w:color="auto" w:fill="FBFCFD"/>
          </w:tcPr>
          <w:p>
            <w:pPr>
              <w:spacing w:before="40" w:after="40" w:line="252" w:lineRule="auto"/>
            </w:pPr>
            <w:r/>
            <w:r>
              <w:rPr>
                <w:rFonts w:ascii="Calibri" w:hAnsi="Calibri"/>
                <w:b w:val="0"/>
                <w:i/>
                <w:color w:val="4B5A6B"/>
                <w:sz w:val="19"/>
              </w:rPr>
              <w:t>0.05 FTE, 2 years</w:t>
            </w:r>
          </w:p>
        </w:tc>
        <w:tc>
          <w:tcPr>
            <w:tcW w:type="dxa" w:w="1584"/>
            <w:shd w:val="clear" w:color="auto" w:fill="FBFCFD"/>
          </w:tcPr>
          <w:p>
            <w:pPr>
              <w:spacing w:before="40" w:after="40" w:line="252" w:lineRule="auto"/>
            </w:pPr>
            <w:r/>
            <w:r>
              <w:rPr>
                <w:rFonts w:ascii="Calibri" w:hAnsi="Calibri"/>
                <w:b w:val="0"/>
                <w:i/>
                <w:color w:val="4B5A6B"/>
                <w:sz w:val="19"/>
              </w:rPr>
              <w:t>$3,400</w:t>
            </w:r>
          </w:p>
        </w:tc>
      </w:tr>
      <w:tr>
        <w:trPr>
          <w:trHeight w:val="460"/>
        </w:trPr>
        <w:tc>
          <w:tcPr>
            <w:tcW w:type="dxa" w:w="3456"/>
          </w:tcPr>
          <w:p>
            <w:pPr>
              <w:spacing w:before="40" w:after="40" w:line="252" w:lineRule="auto"/>
            </w:pPr>
            <w:r/>
          </w:p>
        </w:tc>
        <w:tc>
          <w:tcPr>
            <w:tcW w:type="dxa" w:w="2448"/>
          </w:tcPr>
          <w:p>
            <w:pPr>
              <w:spacing w:before="40" w:after="40" w:line="252" w:lineRule="auto"/>
            </w:pPr>
            <w:r/>
          </w:p>
        </w:tc>
        <w:tc>
          <w:tcPr>
            <w:tcW w:type="dxa" w:w="1872"/>
          </w:tcPr>
          <w:p>
            <w:pPr>
              <w:spacing w:before="40" w:after="40" w:line="252" w:lineRule="auto"/>
            </w:pPr>
            <w:r/>
          </w:p>
        </w:tc>
        <w:tc>
          <w:tcPr>
            <w:tcW w:type="dxa" w:w="1584"/>
          </w:tcPr>
          <w:p>
            <w:pPr>
              <w:spacing w:before="40" w:after="40" w:line="252" w:lineRule="auto"/>
            </w:pPr>
            <w:r/>
          </w:p>
        </w:tc>
      </w:tr>
      <w:tr>
        <w:trPr>
          <w:trHeight w:val="460"/>
        </w:trPr>
        <w:tc>
          <w:tcPr>
            <w:tcW w:type="dxa" w:w="3456"/>
          </w:tcPr>
          <w:p>
            <w:pPr>
              <w:spacing w:before="40" w:after="40" w:line="252" w:lineRule="auto"/>
            </w:pPr>
            <w:r/>
          </w:p>
        </w:tc>
        <w:tc>
          <w:tcPr>
            <w:tcW w:type="dxa" w:w="2448"/>
          </w:tcPr>
          <w:p>
            <w:pPr>
              <w:spacing w:before="40" w:after="40" w:line="252" w:lineRule="auto"/>
            </w:pPr>
            <w:r/>
          </w:p>
        </w:tc>
        <w:tc>
          <w:tcPr>
            <w:tcW w:type="dxa" w:w="1872"/>
          </w:tcPr>
          <w:p>
            <w:pPr>
              <w:spacing w:before="40" w:after="40" w:line="252" w:lineRule="auto"/>
            </w:pPr>
            <w:r/>
          </w:p>
        </w:tc>
        <w:tc>
          <w:tcPr>
            <w:tcW w:type="dxa" w:w="1584"/>
          </w:tcPr>
          <w:p>
            <w:pPr>
              <w:spacing w:before="40" w:after="40" w:line="252" w:lineRule="auto"/>
            </w:pPr>
            <w:r/>
          </w:p>
        </w:tc>
      </w:tr>
      <w:tr>
        <w:trPr>
          <w:trHeight w:val="460"/>
        </w:trPr>
        <w:tc>
          <w:tcPr>
            <w:tcW w:type="dxa" w:w="3456"/>
          </w:tcPr>
          <w:p>
            <w:pPr>
              <w:spacing w:before="40" w:after="40" w:line="252" w:lineRule="auto"/>
            </w:pPr>
            <w:r/>
          </w:p>
        </w:tc>
        <w:tc>
          <w:tcPr>
            <w:tcW w:type="dxa" w:w="2448"/>
          </w:tcPr>
          <w:p>
            <w:pPr>
              <w:spacing w:before="40" w:after="40" w:line="252" w:lineRule="auto"/>
            </w:pPr>
            <w:r/>
          </w:p>
        </w:tc>
        <w:tc>
          <w:tcPr>
            <w:tcW w:type="dxa" w:w="1872"/>
          </w:tcPr>
          <w:p>
            <w:pPr>
              <w:spacing w:before="40" w:after="40" w:line="252" w:lineRule="auto"/>
            </w:pPr>
            <w:r/>
          </w:p>
        </w:tc>
        <w:tc>
          <w:tcPr>
            <w:tcW w:type="dxa" w:w="1584"/>
          </w:tcPr>
          <w:p>
            <w:pPr>
              <w:spacing w:before="40" w:after="40" w:line="252" w:lineRule="auto"/>
            </w:pPr>
            <w:r/>
          </w:p>
        </w:tc>
      </w:tr>
      <w:tr>
        <w:trPr>
          <w:trHeight w:val="460"/>
        </w:trPr>
        <w:tc>
          <w:tcPr>
            <w:tcW w:type="dxa" w:w="3456"/>
          </w:tcPr>
          <w:p>
            <w:pPr>
              <w:spacing w:before="40" w:after="40" w:line="252" w:lineRule="auto"/>
            </w:pPr>
            <w:r/>
          </w:p>
        </w:tc>
        <w:tc>
          <w:tcPr>
            <w:tcW w:type="dxa" w:w="2448"/>
          </w:tcPr>
          <w:p>
            <w:pPr>
              <w:spacing w:before="40" w:after="40" w:line="252" w:lineRule="auto"/>
            </w:pPr>
            <w:r/>
          </w:p>
        </w:tc>
        <w:tc>
          <w:tcPr>
            <w:tcW w:type="dxa" w:w="1872"/>
          </w:tcPr>
          <w:p>
            <w:pPr>
              <w:spacing w:before="40" w:after="40" w:line="252" w:lineRule="auto"/>
            </w:pPr>
            <w:r/>
          </w:p>
        </w:tc>
        <w:tc>
          <w:tcPr>
            <w:tcW w:type="dxa" w:w="1584"/>
          </w:tcPr>
          <w:p>
            <w:pPr>
              <w:spacing w:before="40" w:after="40" w:line="252" w:lineRule="auto"/>
            </w:pPr>
            <w:r/>
          </w:p>
        </w:tc>
      </w:tr>
      <w:tr>
        <w:trPr>
          <w:trHeight w:val="460"/>
        </w:trPr>
        <w:tc>
          <w:tcPr>
            <w:tcW w:type="dxa" w:w="3456"/>
          </w:tcPr>
          <w:p>
            <w:pPr>
              <w:spacing w:before="40" w:after="40" w:line="252" w:lineRule="auto"/>
            </w:pPr>
            <w:r/>
          </w:p>
        </w:tc>
        <w:tc>
          <w:tcPr>
            <w:tcW w:type="dxa" w:w="2448"/>
          </w:tcPr>
          <w:p>
            <w:pPr>
              <w:spacing w:before="40" w:after="40" w:line="252" w:lineRule="auto"/>
            </w:pPr>
            <w:r/>
          </w:p>
        </w:tc>
        <w:tc>
          <w:tcPr>
            <w:tcW w:type="dxa" w:w="1872"/>
          </w:tcPr>
          <w:p>
            <w:pPr>
              <w:spacing w:before="40" w:after="40" w:line="252" w:lineRule="auto"/>
            </w:pPr>
            <w:r/>
          </w:p>
        </w:tc>
        <w:tc>
          <w:tcPr>
            <w:tcW w:type="dxa" w:w="1584"/>
          </w:tcPr>
          <w:p>
            <w:pPr>
              <w:spacing w:before="40" w:after="40" w:line="252" w:lineRule="auto"/>
            </w:pPr>
            <w:r/>
          </w:p>
        </w:tc>
      </w:tr>
    </w:tbl>
    <w:p>
      <w:pPr>
        <w:spacing w:after="80"/>
      </w:pPr>
    </w:p>
    <w:p>
      <w:pPr>
        <w:pStyle w:val="GCFill"/>
      </w:pPr>
      <w:r>
        <w:t>Total evaluation cost: ______________     Share of total request: ________%</w:t>
      </w:r>
    </w:p>
    <w:p>
      <w:pPr>
        <w:pStyle w:val="Heading2"/>
      </w:pPr>
      <w:r>
        <w:t>Worksheet 5. Reporting and use of findings</w:t>
      </w:r>
    </w:p>
    <w:tbl>
      <w:tblPr>
        <w:tblStyle w:val="TableGrid"/>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592"/>
            <w:shd w:val="clear" w:color="auto" w:fill="E3E9EE"/>
          </w:tcPr>
          <w:p>
            <w:pPr>
              <w:spacing w:before="40" w:after="40" w:line="252" w:lineRule="auto"/>
            </w:pPr>
            <w:r/>
            <w:r>
              <w:rPr>
                <w:rFonts w:ascii="Calibri" w:hAnsi="Calibri"/>
                <w:b/>
                <w:i w:val="0"/>
                <w:color w:val="0F5F63"/>
                <w:sz w:val="19"/>
              </w:rPr>
              <w:t>Event</w:t>
            </w:r>
          </w:p>
        </w:tc>
        <w:tc>
          <w:tcPr>
            <w:tcW w:type="dxa" w:w="2160"/>
            <w:shd w:val="clear" w:color="auto" w:fill="E3E9EE"/>
          </w:tcPr>
          <w:p>
            <w:pPr>
              <w:spacing w:before="40" w:after="40" w:line="252" w:lineRule="auto"/>
            </w:pPr>
            <w:r/>
            <w:r>
              <w:rPr>
                <w:rFonts w:ascii="Calibri" w:hAnsi="Calibri"/>
                <w:b/>
                <w:i w:val="0"/>
                <w:color w:val="0F5F63"/>
                <w:sz w:val="19"/>
              </w:rPr>
              <w:t>Date or cadence</w:t>
            </w:r>
          </w:p>
        </w:tc>
        <w:tc>
          <w:tcPr>
            <w:tcW w:type="dxa" w:w="1872"/>
            <w:shd w:val="clear" w:color="auto" w:fill="E3E9EE"/>
          </w:tcPr>
          <w:p>
            <w:pPr>
              <w:spacing w:before="40" w:after="40" w:line="252" w:lineRule="auto"/>
            </w:pPr>
            <w:r/>
            <w:r>
              <w:rPr>
                <w:rFonts w:ascii="Calibri" w:hAnsi="Calibri"/>
                <w:b/>
                <w:i w:val="0"/>
                <w:color w:val="0F5F63"/>
                <w:sz w:val="19"/>
              </w:rPr>
              <w:t>Audience</w:t>
            </w:r>
          </w:p>
        </w:tc>
        <w:tc>
          <w:tcPr>
            <w:tcW w:type="dxa" w:w="2736"/>
            <w:shd w:val="clear" w:color="auto" w:fill="E3E9EE"/>
          </w:tcPr>
          <w:p>
            <w:pPr>
              <w:spacing w:before="40" w:after="40" w:line="252" w:lineRule="auto"/>
            </w:pPr>
            <w:r/>
            <w:r>
              <w:rPr>
                <w:rFonts w:ascii="Calibri" w:hAnsi="Calibri"/>
                <w:b/>
                <w:i w:val="0"/>
                <w:color w:val="0F5F63"/>
                <w:sz w:val="19"/>
              </w:rPr>
              <w:t>Decision it feeds</w:t>
            </w:r>
          </w:p>
        </w:tc>
      </w:tr>
      <w:tr>
        <w:tc>
          <w:tcPr>
            <w:tcW w:type="dxa" w:w="2592"/>
            <w:shd w:val="clear" w:color="auto" w:fill="FBFCFD"/>
          </w:tcPr>
          <w:p>
            <w:pPr>
              <w:spacing w:before="40" w:after="40" w:line="252" w:lineRule="auto"/>
            </w:pPr>
            <w:r/>
            <w:r>
              <w:rPr>
                <w:rFonts w:ascii="Calibri" w:hAnsi="Calibri"/>
                <w:b w:val="0"/>
                <w:i/>
                <w:color w:val="4B5A6B"/>
                <w:sz w:val="19"/>
              </w:rPr>
              <w:t>Internal review of mid-year data</w:t>
            </w:r>
          </w:p>
        </w:tc>
        <w:tc>
          <w:tcPr>
            <w:tcW w:type="dxa" w:w="2160"/>
            <w:shd w:val="clear" w:color="auto" w:fill="FBFCFD"/>
          </w:tcPr>
          <w:p>
            <w:pPr>
              <w:spacing w:before="40" w:after="40" w:line="252" w:lineRule="auto"/>
            </w:pPr>
            <w:r/>
            <w:r>
              <w:rPr>
                <w:rFonts w:ascii="Calibri" w:hAnsi="Calibri"/>
                <w:b w:val="0"/>
                <w:i/>
                <w:color w:val="4B5A6B"/>
                <w:sz w:val="19"/>
              </w:rPr>
              <w:t>February program meeting</w:t>
            </w:r>
          </w:p>
        </w:tc>
        <w:tc>
          <w:tcPr>
            <w:tcW w:type="dxa" w:w="1872"/>
            <w:shd w:val="clear" w:color="auto" w:fill="FBFCFD"/>
          </w:tcPr>
          <w:p>
            <w:pPr>
              <w:spacing w:before="40" w:after="40" w:line="252" w:lineRule="auto"/>
            </w:pPr>
            <w:r/>
            <w:r>
              <w:rPr>
                <w:rFonts w:ascii="Calibri" w:hAnsi="Calibri"/>
                <w:b w:val="0"/>
                <w:i/>
                <w:color w:val="4B5A6B"/>
                <w:sz w:val="19"/>
              </w:rPr>
              <w:t>Program staff</w:t>
            </w:r>
          </w:p>
        </w:tc>
        <w:tc>
          <w:tcPr>
            <w:tcW w:type="dxa" w:w="2736"/>
            <w:shd w:val="clear" w:color="auto" w:fill="FBFCFD"/>
          </w:tcPr>
          <w:p>
            <w:pPr>
              <w:spacing w:before="40" w:after="40" w:line="252" w:lineRule="auto"/>
            </w:pPr>
            <w:r/>
            <w:r>
              <w:rPr>
                <w:rFonts w:ascii="Calibri" w:hAnsi="Calibri"/>
                <w:b w:val="0"/>
                <w:i/>
                <w:color w:val="4B5A6B"/>
                <w:sz w:val="19"/>
              </w:rPr>
              <w:t>Spring term coaching and session structure</w:t>
            </w:r>
          </w:p>
        </w:tc>
      </w:tr>
      <w:tr>
        <w:trPr>
          <w:trHeight w:val="460"/>
        </w:trPr>
        <w:tc>
          <w:tcPr>
            <w:tcW w:type="dxa" w:w="2592"/>
          </w:tcPr>
          <w:p>
            <w:pPr>
              <w:spacing w:before="40" w:after="40" w:line="252" w:lineRule="auto"/>
            </w:pPr>
            <w:r/>
          </w:p>
        </w:tc>
        <w:tc>
          <w:tcPr>
            <w:tcW w:type="dxa" w:w="2160"/>
          </w:tcPr>
          <w:p>
            <w:pPr>
              <w:spacing w:before="40" w:after="40" w:line="252" w:lineRule="auto"/>
            </w:pPr>
            <w:r/>
          </w:p>
        </w:tc>
        <w:tc>
          <w:tcPr>
            <w:tcW w:type="dxa" w:w="1872"/>
          </w:tcPr>
          <w:p>
            <w:pPr>
              <w:spacing w:before="40" w:after="40" w:line="252" w:lineRule="auto"/>
            </w:pPr>
            <w:r/>
          </w:p>
        </w:tc>
        <w:tc>
          <w:tcPr>
            <w:tcW w:type="dxa" w:w="2736"/>
          </w:tcPr>
          <w:p>
            <w:pPr>
              <w:spacing w:before="40" w:after="40" w:line="252" w:lineRule="auto"/>
            </w:pPr>
            <w:r/>
          </w:p>
        </w:tc>
      </w:tr>
      <w:tr>
        <w:trPr>
          <w:trHeight w:val="460"/>
        </w:trPr>
        <w:tc>
          <w:tcPr>
            <w:tcW w:type="dxa" w:w="2592"/>
          </w:tcPr>
          <w:p>
            <w:pPr>
              <w:spacing w:before="40" w:after="40" w:line="252" w:lineRule="auto"/>
            </w:pPr>
            <w:r/>
          </w:p>
        </w:tc>
        <w:tc>
          <w:tcPr>
            <w:tcW w:type="dxa" w:w="2160"/>
          </w:tcPr>
          <w:p>
            <w:pPr>
              <w:spacing w:before="40" w:after="40" w:line="252" w:lineRule="auto"/>
            </w:pPr>
            <w:r/>
          </w:p>
        </w:tc>
        <w:tc>
          <w:tcPr>
            <w:tcW w:type="dxa" w:w="1872"/>
          </w:tcPr>
          <w:p>
            <w:pPr>
              <w:spacing w:before="40" w:after="40" w:line="252" w:lineRule="auto"/>
            </w:pPr>
            <w:r/>
          </w:p>
        </w:tc>
        <w:tc>
          <w:tcPr>
            <w:tcW w:type="dxa" w:w="2736"/>
          </w:tcPr>
          <w:p>
            <w:pPr>
              <w:spacing w:before="40" w:after="40" w:line="252" w:lineRule="auto"/>
            </w:pPr>
            <w:r/>
          </w:p>
        </w:tc>
      </w:tr>
      <w:tr>
        <w:trPr>
          <w:trHeight w:val="460"/>
        </w:trPr>
        <w:tc>
          <w:tcPr>
            <w:tcW w:type="dxa" w:w="2592"/>
          </w:tcPr>
          <w:p>
            <w:pPr>
              <w:spacing w:before="40" w:after="40" w:line="252" w:lineRule="auto"/>
            </w:pPr>
            <w:r/>
          </w:p>
        </w:tc>
        <w:tc>
          <w:tcPr>
            <w:tcW w:type="dxa" w:w="2160"/>
          </w:tcPr>
          <w:p>
            <w:pPr>
              <w:spacing w:before="40" w:after="40" w:line="252" w:lineRule="auto"/>
            </w:pPr>
            <w:r/>
          </w:p>
        </w:tc>
        <w:tc>
          <w:tcPr>
            <w:tcW w:type="dxa" w:w="1872"/>
          </w:tcPr>
          <w:p>
            <w:pPr>
              <w:spacing w:before="40" w:after="40" w:line="252" w:lineRule="auto"/>
            </w:pPr>
            <w:r/>
          </w:p>
        </w:tc>
        <w:tc>
          <w:tcPr>
            <w:tcW w:type="dxa" w:w="2736"/>
          </w:tcPr>
          <w:p>
            <w:pPr>
              <w:spacing w:before="40" w:after="40" w:line="252" w:lineRule="auto"/>
            </w:pPr>
            <w:r/>
          </w:p>
        </w:tc>
      </w:tr>
      <w:tr>
        <w:trPr>
          <w:trHeight w:val="460"/>
        </w:trPr>
        <w:tc>
          <w:tcPr>
            <w:tcW w:type="dxa" w:w="2592"/>
          </w:tcPr>
          <w:p>
            <w:pPr>
              <w:spacing w:before="40" w:after="40" w:line="252" w:lineRule="auto"/>
            </w:pPr>
            <w:r/>
          </w:p>
        </w:tc>
        <w:tc>
          <w:tcPr>
            <w:tcW w:type="dxa" w:w="2160"/>
          </w:tcPr>
          <w:p>
            <w:pPr>
              <w:spacing w:before="40" w:after="40" w:line="252" w:lineRule="auto"/>
            </w:pPr>
            <w:r/>
          </w:p>
        </w:tc>
        <w:tc>
          <w:tcPr>
            <w:tcW w:type="dxa" w:w="1872"/>
          </w:tcPr>
          <w:p>
            <w:pPr>
              <w:spacing w:before="40" w:after="40" w:line="252" w:lineRule="auto"/>
            </w:pPr>
            <w:r/>
          </w:p>
        </w:tc>
        <w:tc>
          <w:tcPr>
            <w:tcW w:type="dxa" w:w="2736"/>
          </w:tcPr>
          <w:p>
            <w:pPr>
              <w:spacing w:before="40" w:after="40" w:line="252" w:lineRule="auto"/>
            </w:pPr>
            <w:r/>
          </w:p>
        </w:tc>
      </w:tr>
    </w:tbl>
    <w:p>
      <w:pPr>
        <w:spacing w:after="80"/>
      </w:pPr>
    </w:p>
    <w:p>
      <w:r>
        <w:br w:type="page"/>
      </w:r>
    </w:p>
    <w:p>
      <w:pPr>
        <w:pStyle w:val="Heading1"/>
      </w:pPr>
      <w:r>
        <w:t>7. Drafting language you can adapt</w:t>
      </w:r>
    </w:p>
    <w:p>
      <w:pPr>
        <w:pStyle w:val="GCGuidance"/>
      </w:pPr>
      <w:r>
        <w:t>Each pattern below is a sentence skeleton with a finished version underneath it. Use the pattern to get the shape, then write your own version with real names, dates, and numbers. Never submit a sentence that still contains a bracket.</w:t>
      </w:r>
    </w:p>
    <w:p>
      <w:pPr>
        <w:pStyle w:val="Heading3"/>
      </w:pPr>
      <w:r>
        <w:t>Stating an evaluation question</w:t>
      </w:r>
    </w:p>
    <w:p>
      <w:pPr>
        <w:pStyle w:val="GCFill"/>
      </w:pPr>
      <w:r>
        <w:t>Pattern: Did [population] [change] over [time period]?</w:t>
      </w:r>
    </w:p>
    <w:p>
      <w:pPr>
        <w:pStyle w:val="GCExampleLabel"/>
      </w:pPr>
      <w:r>
        <w:t>Completed</w:t>
      </w:r>
    </w:p>
    <w:p>
      <w:pPr>
        <w:pStyle w:val="GCExample"/>
      </w:pPr>
      <w:r>
        <w:t>Did participating third-grade students improve oral reading fluency over the 2027 to 2028 school year?</w:t>
      </w:r>
    </w:p>
    <w:p>
      <w:pPr>
        <w:pStyle w:val="Heading3"/>
      </w:pPr>
      <w:r>
        <w:t>Stating an outcome with an indicator and a target</w:t>
      </w:r>
    </w:p>
    <w:p>
      <w:pPr>
        <w:pStyle w:val="GCFill"/>
      </w:pPr>
      <w:r>
        <w:t>Pattern: [Population] will [change], measured by [indicator] from [instrument]. Target: [number or percentage] by [date].</w:t>
      </w:r>
    </w:p>
    <w:p>
      <w:pPr>
        <w:pStyle w:val="GCExampleLabel"/>
      </w:pPr>
      <w:r>
        <w:t>Completed</w:t>
      </w:r>
    </w:p>
    <w:p>
      <w:pPr>
        <w:pStyle w:val="GCExample"/>
      </w:pPr>
      <w:r>
        <w:t>Enrolled students will improve oral reading fluency, measured by words correct per minute on a curriculum-based fluency probe. Target: 70 percent of enrolled students gain at least 20 words correct per minute from their September baseline by May.</w:t>
      </w:r>
    </w:p>
    <w:p>
      <w:pPr>
        <w:pStyle w:val="Heading3"/>
      </w:pPr>
      <w:r>
        <w:t>Naming the data source and the schedule</w:t>
      </w:r>
    </w:p>
    <w:p>
      <w:pPr>
        <w:pStyle w:val="GCFill"/>
      </w:pPr>
      <w:r>
        <w:t>Pattern: The [role] administers [instrument] to [population] in [date window], and enters results in [system] within [number] business days.</w:t>
      </w:r>
    </w:p>
    <w:p>
      <w:pPr>
        <w:pStyle w:val="GCExampleLabel"/>
      </w:pPr>
      <w:r>
        <w:t>Completed</w:t>
      </w:r>
    </w:p>
    <w:p>
      <w:pPr>
        <w:pStyle w:val="GCExample"/>
      </w:pPr>
      <w:r>
        <w:t>The site coordinator administers a curriculum-based fluency probe to every enrolled student in the first two weeks of September, again in the second week of January, and again in the first two weeks of May, and enters the scores in the program database within three business days.</w:t>
      </w:r>
    </w:p>
    <w:p>
      <w:pPr>
        <w:pStyle w:val="Heading3"/>
      </w:pPr>
      <w:r>
        <w:t>Stating the analysis in plain language</w:t>
      </w:r>
    </w:p>
    <w:p>
      <w:pPr>
        <w:pStyle w:val="GCFill"/>
      </w:pPr>
      <w:r>
        <w:t>Pattern: The [role] compares [follow-up measure] against [baseline] and examines results by [grouping variable].</w:t>
      </w:r>
    </w:p>
    <w:p>
      <w:pPr>
        <w:pStyle w:val="GCExampleLabel"/>
      </w:pPr>
      <w:r>
        <w:t>Completed</w:t>
      </w:r>
    </w:p>
    <w:p>
      <w:pPr>
        <w:pStyle w:val="GCExample"/>
      </w:pPr>
      <w:r>
        <w:t>The program director compares January and May scores against the September baseline and examines gains by attendance band, so that the relationship between dosage and improvement is visible without a comparison group.</w:t>
      </w:r>
    </w:p>
    <w:p>
      <w:pPr>
        <w:pStyle w:val="Heading3"/>
      </w:pPr>
      <w:r>
        <w:t>Assigning responsibility with budgeted time</w:t>
      </w:r>
    </w:p>
    <w:p>
      <w:pPr>
        <w:pStyle w:val="GCFill"/>
      </w:pPr>
      <w:r>
        <w:t>Pattern: [Role], budgeted at [FTE] in this proposal, is responsible for [tasks]. No external evaluator is proposed because [reason], or: an external evaluator is contracted for [scope].</w:t>
      </w:r>
    </w:p>
    <w:p>
      <w:pPr>
        <w:pStyle w:val="GCExampleLabel"/>
      </w:pPr>
      <w:r>
        <w:t>Completed</w:t>
      </w:r>
    </w:p>
    <w:p>
      <w:pPr>
        <w:pStyle w:val="GCExample"/>
      </w:pPr>
      <w:r>
        <w:t>The program director, budgeted at 0.03 FTE in this proposal, is responsible for fidelity observations, analysis, and reporting. No external evaluator is proposed because the measures are routine instruments already in use and the analysis is descriptive.</w:t>
      </w:r>
    </w:p>
    <w:p>
      <w:pPr>
        <w:pStyle w:val="Heading3"/>
      </w:pPr>
      <w:r>
        <w:t>Reporting and internal use</w:t>
      </w:r>
    </w:p>
    <w:p>
      <w:pPr>
        <w:pStyle w:val="GCFill"/>
      </w:pPr>
      <w:r>
        <w:t>Pattern: Staff review findings at [internal review point]. Results are submitted to [Funder name] in [report] due [date], using the indicator names and targets stated above.</w:t>
      </w:r>
    </w:p>
    <w:p>
      <w:pPr>
        <w:pStyle w:val="GCExampleLabel"/>
      </w:pPr>
      <w:r>
        <w:t>Completed</w:t>
      </w:r>
    </w:p>
    <w:p>
      <w:pPr>
        <w:pStyle w:val="GCExample"/>
      </w:pPr>
      <w:r>
        <w:t>Staff review mid-year findings at the February program meeting, and the program director submits results to [Funder name] in the annual report due each June, using the indicator names and targets stated above so the two documents can be read side by side.</w:t>
      </w:r>
    </w:p>
    <w:p>
      <w:pPr>
        <w:pStyle w:val="Heading3"/>
      </w:pPr>
      <w:r>
        <w:t>The contingency sentence</w:t>
      </w:r>
    </w:p>
    <w:p>
      <w:pPr>
        <w:pStyle w:val="GCFill"/>
      </w:pPr>
      <w:r>
        <w:t>Pattern: If [indicator] falls below [threshold] at [checkpoint], the team will examine [first thing], [second thing], and [third thing], and will report what it found and what it changed.</w:t>
      </w:r>
    </w:p>
    <w:p>
      <w:pPr>
        <w:pStyle w:val="GCExampleLabel"/>
      </w:pPr>
      <w:r>
        <w:t>Completed</w:t>
      </w:r>
    </w:p>
    <w:p>
      <w:pPr>
        <w:pStyle w:val="GCExample"/>
      </w:pPr>
      <w:r>
        <w:t>If fewer than half of students have reached the 20 wcpm gain at the January check, the team will examine attendance among the students furthest behind, tutor fidelity to all five criteria, and the fit of the tutoring model to this year's enrolled students, and will report what it found and what it changed.</w:t>
      </w:r>
    </w:p>
    <w:p>
      <w:r>
        <w:br w:type="page"/>
      </w:r>
    </w:p>
    <w:p>
      <w:pPr>
        <w:pStyle w:val="Heading1"/>
      </w:pPr>
      <w:r>
        <w:t>8. Budgeting and staffing the evaluation</w:t>
      </w:r>
    </w:p>
    <w:p>
      <w:r>
        <w:t>Evaluation costs belong in the proposal budget as their own line, because unfunded measurement rarely survives a busy program year. Keep the line proportional to the award. A modest project can allocate a slice of a program coordinator's time and still produce a defensible plan.</w:t>
      </w:r>
    </w:p>
    <w:p>
      <w:r>
        <w:t>Justify the line in the budget narrative using the same terms the evaluation plan uses, so a reader comparing the two sections finds them describing the same work rather than two versions of it.</w:t>
      </w:r>
    </w:p>
    <w:p>
      <w:pPr>
        <w:pStyle w:val="Heading2"/>
      </w:pPr>
      <w:r>
        <w:t>Line items to consider</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3024"/>
            <w:shd w:val="clear" w:color="auto" w:fill="E3E9EE"/>
          </w:tcPr>
          <w:p>
            <w:pPr>
              <w:spacing w:before="40" w:after="40" w:line="252" w:lineRule="auto"/>
            </w:pPr>
            <w:r/>
            <w:r>
              <w:rPr>
                <w:rFonts w:ascii="Calibri" w:hAnsi="Calibri"/>
                <w:b/>
                <w:i w:val="0"/>
                <w:color w:val="0F5F63"/>
                <w:sz w:val="19"/>
              </w:rPr>
              <w:t>Line item</w:t>
            </w:r>
          </w:p>
        </w:tc>
        <w:tc>
          <w:tcPr>
            <w:tcW w:type="dxa" w:w="3024"/>
            <w:shd w:val="clear" w:color="auto" w:fill="E3E9EE"/>
          </w:tcPr>
          <w:p>
            <w:pPr>
              <w:spacing w:before="40" w:after="40" w:line="252" w:lineRule="auto"/>
            </w:pPr>
            <w:r/>
            <w:r>
              <w:rPr>
                <w:rFonts w:ascii="Calibri" w:hAnsi="Calibri"/>
                <w:b/>
                <w:i w:val="0"/>
                <w:color w:val="0F5F63"/>
                <w:sz w:val="19"/>
              </w:rPr>
              <w:t>When to include it</w:t>
            </w:r>
          </w:p>
        </w:tc>
        <w:tc>
          <w:tcPr>
            <w:tcW w:type="dxa" w:w="3312"/>
            <w:shd w:val="clear" w:color="auto" w:fill="E3E9EE"/>
          </w:tcPr>
          <w:p>
            <w:pPr>
              <w:spacing w:before="40" w:after="40" w:line="252" w:lineRule="auto"/>
            </w:pPr>
            <w:r/>
            <w:r>
              <w:rPr>
                <w:rFonts w:ascii="Calibri" w:hAnsi="Calibri"/>
                <w:b/>
                <w:i w:val="0"/>
                <w:color w:val="0F5F63"/>
                <w:sz w:val="19"/>
              </w:rPr>
              <w:t>How to justify it</w:t>
            </w:r>
          </w:p>
        </w:tc>
      </w:tr>
      <w:tr>
        <w:tc>
          <w:tcPr>
            <w:tcW w:type="dxa" w:w="3024"/>
          </w:tcPr>
          <w:p>
            <w:pPr>
              <w:spacing w:before="40" w:after="40" w:line="252" w:lineRule="auto"/>
            </w:pPr>
            <w:r/>
            <w:r>
              <w:rPr>
                <w:rFonts w:ascii="Calibri" w:hAnsi="Calibri"/>
                <w:b w:val="0"/>
                <w:i w:val="0"/>
                <w:color w:val="1F2A37"/>
                <w:sz w:val="19"/>
              </w:rPr>
              <w:t>Staff time for data collection and entry</w:t>
            </w:r>
          </w:p>
        </w:tc>
        <w:tc>
          <w:tcPr>
            <w:tcW w:type="dxa" w:w="3024"/>
          </w:tcPr>
          <w:p>
            <w:pPr>
              <w:spacing w:before="40" w:after="40" w:line="252" w:lineRule="auto"/>
            </w:pPr>
            <w:r/>
            <w:r>
              <w:rPr>
                <w:rFonts w:ascii="Calibri" w:hAnsi="Calibri"/>
                <w:b w:val="0"/>
                <w:i w:val="0"/>
                <w:color w:val="1F2A37"/>
                <w:sz w:val="19"/>
              </w:rPr>
              <w:t>Almost always</w:t>
            </w:r>
          </w:p>
        </w:tc>
        <w:tc>
          <w:tcPr>
            <w:tcW w:type="dxa" w:w="3312"/>
          </w:tcPr>
          <w:p>
            <w:pPr>
              <w:spacing w:before="40" w:after="40" w:line="252" w:lineRule="auto"/>
            </w:pPr>
            <w:r/>
            <w:r>
              <w:rPr>
                <w:rFonts w:ascii="Calibri" w:hAnsi="Calibri"/>
                <w:b w:val="0"/>
                <w:i w:val="0"/>
                <w:color w:val="1F2A37"/>
                <w:sz w:val="19"/>
              </w:rPr>
              <w:t>Name the role, the FTE fraction, and the tasks the time covers</w:t>
            </w:r>
          </w:p>
        </w:tc>
      </w:tr>
      <w:tr>
        <w:tc>
          <w:tcPr>
            <w:tcW w:type="dxa" w:w="3024"/>
          </w:tcPr>
          <w:p>
            <w:pPr>
              <w:spacing w:before="40" w:after="40" w:line="252" w:lineRule="auto"/>
            </w:pPr>
            <w:r/>
            <w:r>
              <w:rPr>
                <w:rFonts w:ascii="Calibri" w:hAnsi="Calibri"/>
                <w:b w:val="0"/>
                <w:i w:val="0"/>
                <w:color w:val="1F2A37"/>
                <w:sz w:val="19"/>
              </w:rPr>
              <w:t>Staff or contractor time for analysis and reporting</w:t>
            </w:r>
          </w:p>
        </w:tc>
        <w:tc>
          <w:tcPr>
            <w:tcW w:type="dxa" w:w="3024"/>
          </w:tcPr>
          <w:p>
            <w:pPr>
              <w:spacing w:before="40" w:after="40" w:line="252" w:lineRule="auto"/>
            </w:pPr>
            <w:r/>
            <w:r>
              <w:rPr>
                <w:rFonts w:ascii="Calibri" w:hAnsi="Calibri"/>
                <w:b w:val="0"/>
                <w:i w:val="0"/>
                <w:color w:val="1F2A37"/>
                <w:sz w:val="19"/>
              </w:rPr>
              <w:t>Almost always</w:t>
            </w:r>
          </w:p>
        </w:tc>
        <w:tc>
          <w:tcPr>
            <w:tcW w:type="dxa" w:w="3312"/>
          </w:tcPr>
          <w:p>
            <w:pPr>
              <w:spacing w:before="40" w:after="40" w:line="252" w:lineRule="auto"/>
            </w:pPr>
            <w:r/>
            <w:r>
              <w:rPr>
                <w:rFonts w:ascii="Calibri" w:hAnsi="Calibri"/>
                <w:b w:val="0"/>
                <w:i w:val="0"/>
                <w:color w:val="1F2A37"/>
                <w:sz w:val="19"/>
              </w:rPr>
              <w:t>Tie the hours to the reporting dates named in the plan</w:t>
            </w:r>
          </w:p>
        </w:tc>
      </w:tr>
      <w:tr>
        <w:tc>
          <w:tcPr>
            <w:tcW w:type="dxa" w:w="3024"/>
          </w:tcPr>
          <w:p>
            <w:pPr>
              <w:spacing w:before="40" w:after="40" w:line="252" w:lineRule="auto"/>
            </w:pPr>
            <w:r/>
            <w:r>
              <w:rPr>
                <w:rFonts w:ascii="Calibri" w:hAnsi="Calibri"/>
                <w:b w:val="0"/>
                <w:i w:val="0"/>
                <w:color w:val="1F2A37"/>
                <w:sz w:val="19"/>
              </w:rPr>
              <w:t>Survey or assessment licensing</w:t>
            </w:r>
          </w:p>
        </w:tc>
        <w:tc>
          <w:tcPr>
            <w:tcW w:type="dxa" w:w="3024"/>
          </w:tcPr>
          <w:p>
            <w:pPr>
              <w:spacing w:before="40" w:after="40" w:line="252" w:lineRule="auto"/>
            </w:pPr>
            <w:r/>
            <w:r>
              <w:rPr>
                <w:rFonts w:ascii="Calibri" w:hAnsi="Calibri"/>
                <w:b w:val="0"/>
                <w:i w:val="0"/>
                <w:color w:val="1F2A37"/>
                <w:sz w:val="19"/>
              </w:rPr>
              <w:t>When using a published instrument</w:t>
            </w:r>
          </w:p>
        </w:tc>
        <w:tc>
          <w:tcPr>
            <w:tcW w:type="dxa" w:w="3312"/>
          </w:tcPr>
          <w:p>
            <w:pPr>
              <w:spacing w:before="40" w:after="40" w:line="252" w:lineRule="auto"/>
            </w:pPr>
            <w:r/>
            <w:r>
              <w:rPr>
                <w:rFonts w:ascii="Calibri" w:hAnsi="Calibri"/>
                <w:b w:val="0"/>
                <w:i w:val="0"/>
                <w:color w:val="1F2A37"/>
                <w:sz w:val="19"/>
              </w:rPr>
              <w:t>Give the instrument name and the per-administration cost</w:t>
            </w:r>
          </w:p>
        </w:tc>
      </w:tr>
      <w:tr>
        <w:tc>
          <w:tcPr>
            <w:tcW w:type="dxa" w:w="3024"/>
          </w:tcPr>
          <w:p>
            <w:pPr>
              <w:spacing w:before="40" w:after="40" w:line="252" w:lineRule="auto"/>
            </w:pPr>
            <w:r/>
            <w:r>
              <w:rPr>
                <w:rFonts w:ascii="Calibri" w:hAnsi="Calibri"/>
                <w:b w:val="0"/>
                <w:i w:val="0"/>
                <w:color w:val="1F2A37"/>
                <w:sz w:val="19"/>
              </w:rPr>
              <w:t>External evaluator contract</w:t>
            </w:r>
          </w:p>
        </w:tc>
        <w:tc>
          <w:tcPr>
            <w:tcW w:type="dxa" w:w="3024"/>
          </w:tcPr>
          <w:p>
            <w:pPr>
              <w:spacing w:before="40" w:after="40" w:line="252" w:lineRule="auto"/>
            </w:pPr>
            <w:r/>
            <w:r>
              <w:rPr>
                <w:rFonts w:ascii="Calibri" w:hAnsi="Calibri"/>
                <w:b w:val="0"/>
                <w:i w:val="0"/>
                <w:color w:val="1F2A37"/>
                <w:sz w:val="19"/>
              </w:rPr>
              <w:t>When the funder requires one or the design needs independence</w:t>
            </w:r>
          </w:p>
        </w:tc>
        <w:tc>
          <w:tcPr>
            <w:tcW w:type="dxa" w:w="3312"/>
          </w:tcPr>
          <w:p>
            <w:pPr>
              <w:spacing w:before="40" w:after="40" w:line="252" w:lineRule="auto"/>
            </w:pPr>
            <w:r/>
            <w:r>
              <w:rPr>
                <w:rFonts w:ascii="Calibri" w:hAnsi="Calibri"/>
                <w:b w:val="0"/>
                <w:i w:val="0"/>
                <w:color w:val="1F2A37"/>
                <w:sz w:val="19"/>
              </w:rPr>
              <w:t>Quote the scope of work, not only a lump sum</w:t>
            </w:r>
          </w:p>
        </w:tc>
      </w:tr>
      <w:tr>
        <w:tc>
          <w:tcPr>
            <w:tcW w:type="dxa" w:w="3024"/>
          </w:tcPr>
          <w:p>
            <w:pPr>
              <w:spacing w:before="40" w:after="40" w:line="252" w:lineRule="auto"/>
            </w:pPr>
            <w:r/>
            <w:r>
              <w:rPr>
                <w:rFonts w:ascii="Calibri" w:hAnsi="Calibri"/>
                <w:b w:val="0"/>
                <w:i w:val="0"/>
                <w:color w:val="1F2A37"/>
                <w:sz w:val="19"/>
              </w:rPr>
              <w:t>Participant incentives</w:t>
            </w:r>
          </w:p>
        </w:tc>
        <w:tc>
          <w:tcPr>
            <w:tcW w:type="dxa" w:w="3024"/>
          </w:tcPr>
          <w:p>
            <w:pPr>
              <w:spacing w:before="40" w:after="40" w:line="252" w:lineRule="auto"/>
            </w:pPr>
            <w:r/>
            <w:r>
              <w:rPr>
                <w:rFonts w:ascii="Calibri" w:hAnsi="Calibri"/>
                <w:b w:val="0"/>
                <w:i w:val="0"/>
                <w:color w:val="1F2A37"/>
                <w:sz w:val="19"/>
              </w:rPr>
              <w:t>When response rates depend on them</w:t>
            </w:r>
          </w:p>
        </w:tc>
        <w:tc>
          <w:tcPr>
            <w:tcW w:type="dxa" w:w="3312"/>
          </w:tcPr>
          <w:p>
            <w:pPr>
              <w:spacing w:before="40" w:after="40" w:line="252" w:lineRule="auto"/>
            </w:pPr>
            <w:r/>
            <w:r>
              <w:rPr>
                <w:rFonts w:ascii="Calibri" w:hAnsi="Calibri"/>
                <w:b w:val="0"/>
                <w:i w:val="0"/>
                <w:color w:val="1F2A37"/>
                <w:sz w:val="19"/>
              </w:rPr>
              <w:t>On federal awards, see the participant support note below</w:t>
            </w:r>
          </w:p>
        </w:tc>
      </w:tr>
      <w:tr>
        <w:tc>
          <w:tcPr>
            <w:tcW w:type="dxa" w:w="3024"/>
          </w:tcPr>
          <w:p>
            <w:pPr>
              <w:spacing w:before="40" w:after="40" w:line="252" w:lineRule="auto"/>
            </w:pPr>
            <w:r/>
            <w:r>
              <w:rPr>
                <w:rFonts w:ascii="Calibri" w:hAnsi="Calibri"/>
                <w:b w:val="0"/>
                <w:i w:val="0"/>
                <w:color w:val="1F2A37"/>
                <w:sz w:val="19"/>
              </w:rPr>
              <w:t>Translation and interpretation</w:t>
            </w:r>
          </w:p>
        </w:tc>
        <w:tc>
          <w:tcPr>
            <w:tcW w:type="dxa" w:w="3024"/>
          </w:tcPr>
          <w:p>
            <w:pPr>
              <w:spacing w:before="40" w:after="40" w:line="252" w:lineRule="auto"/>
            </w:pPr>
            <w:r/>
            <w:r>
              <w:rPr>
                <w:rFonts w:ascii="Calibri" w:hAnsi="Calibri"/>
                <w:b w:val="0"/>
                <w:i w:val="0"/>
                <w:color w:val="1F2A37"/>
                <w:sz w:val="19"/>
              </w:rPr>
              <w:t>When participants need it</w:t>
            </w:r>
          </w:p>
        </w:tc>
        <w:tc>
          <w:tcPr>
            <w:tcW w:type="dxa" w:w="3312"/>
          </w:tcPr>
          <w:p>
            <w:pPr>
              <w:spacing w:before="40" w:after="40" w:line="252" w:lineRule="auto"/>
            </w:pPr>
            <w:r/>
            <w:r>
              <w:rPr>
                <w:rFonts w:ascii="Calibri" w:hAnsi="Calibri"/>
                <w:b w:val="0"/>
                <w:i w:val="0"/>
                <w:color w:val="1F2A37"/>
                <w:sz w:val="19"/>
              </w:rPr>
              <w:t>Treat it as a data quality cost, because unreachable respondents bias results</w:t>
            </w:r>
          </w:p>
        </w:tc>
      </w:tr>
      <w:tr>
        <w:tc>
          <w:tcPr>
            <w:tcW w:type="dxa" w:w="3024"/>
          </w:tcPr>
          <w:p>
            <w:pPr>
              <w:spacing w:before="40" w:after="40" w:line="252" w:lineRule="auto"/>
            </w:pPr>
            <w:r/>
            <w:r>
              <w:rPr>
                <w:rFonts w:ascii="Calibri" w:hAnsi="Calibri"/>
                <w:b w:val="0"/>
                <w:i w:val="0"/>
                <w:color w:val="1F2A37"/>
                <w:sz w:val="19"/>
              </w:rPr>
              <w:t>Data system or database share</w:t>
            </w:r>
          </w:p>
        </w:tc>
        <w:tc>
          <w:tcPr>
            <w:tcW w:type="dxa" w:w="3024"/>
          </w:tcPr>
          <w:p>
            <w:pPr>
              <w:spacing w:before="40" w:after="40" w:line="252" w:lineRule="auto"/>
            </w:pPr>
            <w:r/>
            <w:r>
              <w:rPr>
                <w:rFonts w:ascii="Calibri" w:hAnsi="Calibri"/>
                <w:b w:val="0"/>
                <w:i w:val="0"/>
                <w:color w:val="1F2A37"/>
                <w:sz w:val="19"/>
              </w:rPr>
              <w:t>When an existing system holds evaluation data</w:t>
            </w:r>
          </w:p>
        </w:tc>
        <w:tc>
          <w:tcPr>
            <w:tcW w:type="dxa" w:w="3312"/>
          </w:tcPr>
          <w:p>
            <w:pPr>
              <w:spacing w:before="40" w:after="40" w:line="252" w:lineRule="auto"/>
            </w:pPr>
            <w:r/>
            <w:r>
              <w:rPr>
                <w:rFonts w:ascii="Calibri" w:hAnsi="Calibri"/>
                <w:b w:val="0"/>
                <w:i w:val="0"/>
                <w:color w:val="1F2A37"/>
                <w:sz w:val="19"/>
              </w:rPr>
              <w:t>Allocate a defensible percentage and state how you calculated it</w:t>
            </w:r>
          </w:p>
        </w:tc>
      </w:tr>
      <w:tr>
        <w:tc>
          <w:tcPr>
            <w:tcW w:type="dxa" w:w="3024"/>
          </w:tcPr>
          <w:p>
            <w:pPr>
              <w:spacing w:before="40" w:after="40" w:line="252" w:lineRule="auto"/>
            </w:pPr>
            <w:r/>
            <w:r>
              <w:rPr>
                <w:rFonts w:ascii="Calibri" w:hAnsi="Calibri"/>
                <w:b w:val="0"/>
                <w:i w:val="0"/>
                <w:color w:val="1F2A37"/>
                <w:sz w:val="19"/>
              </w:rPr>
              <w:t>Travel for site observation</w:t>
            </w:r>
          </w:p>
        </w:tc>
        <w:tc>
          <w:tcPr>
            <w:tcW w:type="dxa" w:w="3024"/>
          </w:tcPr>
          <w:p>
            <w:pPr>
              <w:spacing w:before="40" w:after="40" w:line="252" w:lineRule="auto"/>
            </w:pPr>
            <w:r/>
            <w:r>
              <w:rPr>
                <w:rFonts w:ascii="Calibri" w:hAnsi="Calibri"/>
                <w:b w:val="0"/>
                <w:i w:val="0"/>
                <w:color w:val="1F2A37"/>
                <w:sz w:val="19"/>
              </w:rPr>
              <w:t>Multi-site programs only</w:t>
            </w:r>
          </w:p>
        </w:tc>
        <w:tc>
          <w:tcPr>
            <w:tcW w:type="dxa" w:w="3312"/>
          </w:tcPr>
          <w:p>
            <w:pPr>
              <w:spacing w:before="40" w:after="40" w:line="252" w:lineRule="auto"/>
            </w:pPr>
            <w:r/>
            <w:r>
              <w:rPr>
                <w:rFonts w:ascii="Calibri" w:hAnsi="Calibri"/>
                <w:b w:val="0"/>
                <w:i w:val="0"/>
                <w:color w:val="1F2A37"/>
                <w:sz w:val="19"/>
              </w:rPr>
              <w:t>Mileage at the organization's standard rate, with the number of visits</w:t>
            </w:r>
          </w:p>
        </w:tc>
      </w:tr>
    </w:tbl>
    <w:p>
      <w:pPr>
        <w:spacing w:after="80"/>
      </w:pPr>
    </w:p>
    <w:p>
      <w:pPr>
        <w:pStyle w:val="Heading2"/>
      </w:pPr>
      <w:r>
        <w:t>A note on federal awards</w:t>
      </w:r>
    </w:p>
    <w:p>
      <w:r>
        <w:t>On a federal award, 2 CFR 200.403 sets the test every cost has to pass. A cost must be necessary and reasonable for performance of the award and allocable to it, conform to any limits set in the cost principles or in the award itself, and follow policies applied uniformly to federally financed and other activities of the organization (eCFR, accessed September 10, 2026; the current cost principles were published at 89 FR 30136 on April 22, 2024). The funding notice and the award terms sit on top of that general test, so read both before you budget an external evaluator.</w:t>
      </w:r>
    </w:p>
    <w:p>
      <w:r>
        <w:t>Payments to the people being studied need a second look. 2 CFR 200.456 makes participant support costs allowable and requires the classification to be documented in the recipient's written policies and procedures and treated consistently across every federal award held (eCFR, accessed September 10, 2026). If your organization has no such policy, write one before an incentive line goes into a federal budget.</w:t>
      </w:r>
    </w:p>
    <w:p>
      <w:pPr>
        <w:pStyle w:val="GCCaption"/>
      </w:pPr>
      <w:r>
        <w:t>Regulatory citations are provided for orientation and were accurate as accessed on the date shown. Verify the current text of any cited section, the notice of funding opportunity, and your award terms before relying on them. This document is not legal or accounting advice.</w:t>
      </w:r>
    </w:p>
    <w:p>
      <w:pPr>
        <w:pStyle w:val="Heading1"/>
      </w:pPr>
      <w:r>
        <w:t>9. Common mistakes and their fixes</w:t>
      </w:r>
    </w:p>
    <w:p>
      <w:pPr>
        <w:pStyle w:val="GCGuidance"/>
      </w:pPr>
      <w:r>
        <w:t>The mistake that costs the most points is measuring activity instead of change. The rest come down to vagueness and to promising work nobody is paid to do.</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2736"/>
            <w:shd w:val="clear" w:color="auto" w:fill="E3E9EE"/>
          </w:tcPr>
          <w:p>
            <w:pPr>
              <w:spacing w:before="40" w:after="40" w:line="252" w:lineRule="auto"/>
            </w:pPr>
            <w:r/>
            <w:r>
              <w:rPr>
                <w:rFonts w:ascii="Calibri" w:hAnsi="Calibri"/>
                <w:b/>
                <w:i w:val="0"/>
                <w:color w:val="0F5F63"/>
                <w:sz w:val="19"/>
              </w:rPr>
              <w:t>Mistake</w:t>
            </w:r>
          </w:p>
        </w:tc>
        <w:tc>
          <w:tcPr>
            <w:tcW w:type="dxa" w:w="3168"/>
            <w:shd w:val="clear" w:color="auto" w:fill="E3E9EE"/>
          </w:tcPr>
          <w:p>
            <w:pPr>
              <w:spacing w:before="40" w:after="40" w:line="252" w:lineRule="auto"/>
            </w:pPr>
            <w:r/>
            <w:r>
              <w:rPr>
                <w:rFonts w:ascii="Calibri" w:hAnsi="Calibri"/>
                <w:b/>
                <w:i w:val="0"/>
                <w:color w:val="0F5F63"/>
                <w:sz w:val="19"/>
              </w:rPr>
              <w:t>Why it costs points</w:t>
            </w:r>
          </w:p>
        </w:tc>
        <w:tc>
          <w:tcPr>
            <w:tcW w:type="dxa" w:w="3456"/>
            <w:shd w:val="clear" w:color="auto" w:fill="E3E9EE"/>
          </w:tcPr>
          <w:p>
            <w:pPr>
              <w:spacing w:before="40" w:after="40" w:line="252" w:lineRule="auto"/>
            </w:pPr>
            <w:r/>
            <w:r>
              <w:rPr>
                <w:rFonts w:ascii="Calibri" w:hAnsi="Calibri"/>
                <w:b/>
                <w:i w:val="0"/>
                <w:color w:val="0F5F63"/>
                <w:sz w:val="19"/>
              </w:rPr>
              <w:t>Fix</w:t>
            </w:r>
          </w:p>
        </w:tc>
      </w:tr>
      <w:tr>
        <w:tc>
          <w:tcPr>
            <w:tcW w:type="dxa" w:w="2736"/>
          </w:tcPr>
          <w:p>
            <w:pPr>
              <w:spacing w:before="40" w:after="40" w:line="252" w:lineRule="auto"/>
            </w:pPr>
            <w:r/>
            <w:r>
              <w:rPr>
                <w:rFonts w:ascii="Calibri" w:hAnsi="Calibri"/>
                <w:b w:val="0"/>
                <w:i w:val="0"/>
                <w:color w:val="1F2A37"/>
                <w:sz w:val="19"/>
              </w:rPr>
              <w:t>Counting only outputs</w:t>
            </w:r>
          </w:p>
        </w:tc>
        <w:tc>
          <w:tcPr>
            <w:tcW w:type="dxa" w:w="3168"/>
          </w:tcPr>
          <w:p>
            <w:pPr>
              <w:spacing w:before="40" w:after="40" w:line="252" w:lineRule="auto"/>
            </w:pPr>
            <w:r/>
            <w:r>
              <w:rPr>
                <w:rFonts w:ascii="Calibri" w:hAnsi="Calibri"/>
                <w:b w:val="0"/>
                <w:i w:val="0"/>
                <w:color w:val="1F2A37"/>
                <w:sz w:val="19"/>
              </w:rPr>
              <w:t>Attendance does not show benefit</w:t>
            </w:r>
          </w:p>
        </w:tc>
        <w:tc>
          <w:tcPr>
            <w:tcW w:type="dxa" w:w="3456"/>
          </w:tcPr>
          <w:p>
            <w:pPr>
              <w:spacing w:before="40" w:after="40" w:line="252" w:lineRule="auto"/>
            </w:pPr>
            <w:r/>
            <w:r>
              <w:rPr>
                <w:rFonts w:ascii="Calibri" w:hAnsi="Calibri"/>
                <w:b w:val="0"/>
                <w:i w:val="0"/>
                <w:color w:val="1F2A37"/>
                <w:sz w:val="19"/>
              </w:rPr>
              <w:t>Add one outcome indicator per objective</w:t>
            </w:r>
          </w:p>
        </w:tc>
      </w:tr>
      <w:tr>
        <w:tc>
          <w:tcPr>
            <w:tcW w:type="dxa" w:w="2736"/>
          </w:tcPr>
          <w:p>
            <w:pPr>
              <w:spacing w:before="40" w:after="40" w:line="252" w:lineRule="auto"/>
            </w:pPr>
            <w:r/>
            <w:r>
              <w:rPr>
                <w:rFonts w:ascii="Calibri" w:hAnsi="Calibri"/>
                <w:b w:val="0"/>
                <w:i w:val="0"/>
                <w:color w:val="1F2A37"/>
                <w:sz w:val="19"/>
              </w:rPr>
              <w:t>No baseline</w:t>
            </w:r>
          </w:p>
        </w:tc>
        <w:tc>
          <w:tcPr>
            <w:tcW w:type="dxa" w:w="3168"/>
          </w:tcPr>
          <w:p>
            <w:pPr>
              <w:spacing w:before="40" w:after="40" w:line="252" w:lineRule="auto"/>
            </w:pPr>
            <w:r/>
            <w:r>
              <w:rPr>
                <w:rFonts w:ascii="Calibri" w:hAnsi="Calibri"/>
                <w:b w:val="0"/>
                <w:i w:val="0"/>
                <w:color w:val="1F2A37"/>
                <w:sz w:val="19"/>
              </w:rPr>
              <w:t>Change cannot be demonstrated</w:t>
            </w:r>
          </w:p>
        </w:tc>
        <w:tc>
          <w:tcPr>
            <w:tcW w:type="dxa" w:w="3456"/>
          </w:tcPr>
          <w:p>
            <w:pPr>
              <w:spacing w:before="40" w:after="40" w:line="252" w:lineRule="auto"/>
            </w:pPr>
            <w:r/>
            <w:r>
              <w:rPr>
                <w:rFonts w:ascii="Calibri" w:hAnsi="Calibri"/>
                <w:b w:val="0"/>
                <w:i w:val="0"/>
                <w:color w:val="1F2A37"/>
                <w:sz w:val="19"/>
              </w:rPr>
              <w:t>Add a pre-measure before services start</w:t>
            </w:r>
          </w:p>
        </w:tc>
      </w:tr>
      <w:tr>
        <w:tc>
          <w:tcPr>
            <w:tcW w:type="dxa" w:w="2736"/>
          </w:tcPr>
          <w:p>
            <w:pPr>
              <w:spacing w:before="40" w:after="40" w:line="252" w:lineRule="auto"/>
            </w:pPr>
            <w:r/>
            <w:r>
              <w:rPr>
                <w:rFonts w:ascii="Calibri" w:hAnsi="Calibri"/>
                <w:b w:val="0"/>
                <w:i w:val="0"/>
                <w:color w:val="1F2A37"/>
                <w:sz w:val="19"/>
              </w:rPr>
              <w:t>Vague instruments</w:t>
            </w:r>
          </w:p>
        </w:tc>
        <w:tc>
          <w:tcPr>
            <w:tcW w:type="dxa" w:w="3168"/>
          </w:tcPr>
          <w:p>
            <w:pPr>
              <w:spacing w:before="40" w:after="40" w:line="252" w:lineRule="auto"/>
            </w:pPr>
            <w:r/>
            <w:r>
              <w:rPr>
                <w:rFonts w:ascii="Calibri" w:hAnsi="Calibri"/>
                <w:b w:val="0"/>
                <w:i w:val="0"/>
                <w:color w:val="1F2A37"/>
                <w:sz w:val="19"/>
              </w:rPr>
              <w:t>The reviewer cannot picture the data</w:t>
            </w:r>
          </w:p>
        </w:tc>
        <w:tc>
          <w:tcPr>
            <w:tcW w:type="dxa" w:w="3456"/>
          </w:tcPr>
          <w:p>
            <w:pPr>
              <w:spacing w:before="40" w:after="40" w:line="252" w:lineRule="auto"/>
            </w:pPr>
            <w:r/>
            <w:r>
              <w:rPr>
                <w:rFonts w:ascii="Calibri" w:hAnsi="Calibri"/>
                <w:b w:val="0"/>
                <w:i w:val="0"/>
                <w:color w:val="1F2A37"/>
                <w:sz w:val="19"/>
              </w:rPr>
              <w:t>Name the survey, probe, or record</w:t>
            </w:r>
          </w:p>
        </w:tc>
      </w:tr>
      <w:tr>
        <w:tc>
          <w:tcPr>
            <w:tcW w:type="dxa" w:w="2736"/>
          </w:tcPr>
          <w:p>
            <w:pPr>
              <w:spacing w:before="40" w:after="40" w:line="252" w:lineRule="auto"/>
            </w:pPr>
            <w:r/>
            <w:r>
              <w:rPr>
                <w:rFonts w:ascii="Calibri" w:hAnsi="Calibri"/>
                <w:b w:val="0"/>
                <w:i w:val="0"/>
                <w:color w:val="1F2A37"/>
                <w:sz w:val="19"/>
              </w:rPr>
              <w:t>Targets with no number</w:t>
            </w:r>
          </w:p>
        </w:tc>
        <w:tc>
          <w:tcPr>
            <w:tcW w:type="dxa" w:w="3168"/>
          </w:tcPr>
          <w:p>
            <w:pPr>
              <w:spacing w:before="40" w:after="40" w:line="252" w:lineRule="auto"/>
            </w:pPr>
            <w:r/>
            <w:r>
              <w:rPr>
                <w:rFonts w:ascii="Calibri" w:hAnsi="Calibri"/>
                <w:b w:val="0"/>
                <w:i w:val="0"/>
                <w:color w:val="1F2A37"/>
                <w:sz w:val="19"/>
              </w:rPr>
              <w:t>Nothing can be judged met or missed</w:t>
            </w:r>
          </w:p>
        </w:tc>
        <w:tc>
          <w:tcPr>
            <w:tcW w:type="dxa" w:w="3456"/>
          </w:tcPr>
          <w:p>
            <w:pPr>
              <w:spacing w:before="40" w:after="40" w:line="252" w:lineRule="auto"/>
            </w:pPr>
            <w:r/>
            <w:r>
              <w:rPr>
                <w:rFonts w:ascii="Calibri" w:hAnsi="Calibri"/>
                <w:b w:val="0"/>
                <w:i w:val="0"/>
                <w:color w:val="1F2A37"/>
                <w:sz w:val="19"/>
              </w:rPr>
              <w:t>State a threshold you would accept as success</w:t>
            </w:r>
          </w:p>
        </w:tc>
      </w:tr>
      <w:tr>
        <w:tc>
          <w:tcPr>
            <w:tcW w:type="dxa" w:w="2736"/>
          </w:tcPr>
          <w:p>
            <w:pPr>
              <w:spacing w:before="40" w:after="40" w:line="252" w:lineRule="auto"/>
            </w:pPr>
            <w:r/>
            <w:r>
              <w:rPr>
                <w:rFonts w:ascii="Calibri" w:hAnsi="Calibri"/>
                <w:b w:val="0"/>
                <w:i w:val="0"/>
                <w:color w:val="1F2A37"/>
                <w:sz w:val="19"/>
              </w:rPr>
              <w:t>Evaluation with no budget line</w:t>
            </w:r>
          </w:p>
        </w:tc>
        <w:tc>
          <w:tcPr>
            <w:tcW w:type="dxa" w:w="3168"/>
          </w:tcPr>
          <w:p>
            <w:pPr>
              <w:spacing w:before="40" w:after="40" w:line="252" w:lineRule="auto"/>
            </w:pPr>
            <w:r/>
            <w:r>
              <w:rPr>
                <w:rFonts w:ascii="Calibri" w:hAnsi="Calibri"/>
                <w:b w:val="0"/>
                <w:i w:val="0"/>
                <w:color w:val="1F2A37"/>
                <w:sz w:val="19"/>
              </w:rPr>
              <w:t>Signals it will not happen</w:t>
            </w:r>
          </w:p>
        </w:tc>
        <w:tc>
          <w:tcPr>
            <w:tcW w:type="dxa" w:w="3456"/>
          </w:tcPr>
          <w:p>
            <w:pPr>
              <w:spacing w:before="40" w:after="40" w:line="252" w:lineRule="auto"/>
            </w:pPr>
            <w:r/>
            <w:r>
              <w:rPr>
                <w:rFonts w:ascii="Calibri" w:hAnsi="Calibri"/>
                <w:b w:val="0"/>
                <w:i w:val="0"/>
                <w:color w:val="1F2A37"/>
                <w:sz w:val="19"/>
              </w:rPr>
              <w:t>Fund the hours, however few</w:t>
            </w:r>
          </w:p>
        </w:tc>
      </w:tr>
      <w:tr>
        <w:tc>
          <w:tcPr>
            <w:tcW w:type="dxa" w:w="2736"/>
          </w:tcPr>
          <w:p>
            <w:pPr>
              <w:spacing w:before="40" w:after="40" w:line="252" w:lineRule="auto"/>
            </w:pPr>
            <w:r/>
            <w:r>
              <w:rPr>
                <w:rFonts w:ascii="Calibri" w:hAnsi="Calibri"/>
                <w:b w:val="0"/>
                <w:i w:val="0"/>
                <w:color w:val="1F2A37"/>
                <w:sz w:val="19"/>
              </w:rPr>
              <w:t>Methods too large for the team</w:t>
            </w:r>
          </w:p>
        </w:tc>
        <w:tc>
          <w:tcPr>
            <w:tcW w:type="dxa" w:w="3168"/>
          </w:tcPr>
          <w:p>
            <w:pPr>
              <w:spacing w:before="40" w:after="40" w:line="252" w:lineRule="auto"/>
            </w:pPr>
            <w:r/>
            <w:r>
              <w:rPr>
                <w:rFonts w:ascii="Calibri" w:hAnsi="Calibri"/>
                <w:b w:val="0"/>
                <w:i w:val="0"/>
                <w:color w:val="1F2A37"/>
                <w:sz w:val="19"/>
              </w:rPr>
              <w:t>Raises a feasibility concern</w:t>
            </w:r>
          </w:p>
        </w:tc>
        <w:tc>
          <w:tcPr>
            <w:tcW w:type="dxa" w:w="3456"/>
          </w:tcPr>
          <w:p>
            <w:pPr>
              <w:spacing w:before="40" w:after="40" w:line="252" w:lineRule="auto"/>
            </w:pPr>
            <w:r/>
            <w:r>
              <w:rPr>
                <w:rFonts w:ascii="Calibri" w:hAnsi="Calibri"/>
                <w:b w:val="0"/>
                <w:i w:val="0"/>
                <w:color w:val="1F2A37"/>
                <w:sz w:val="19"/>
              </w:rPr>
              <w:t>Drop to a simpler method you can staff, and say why</w:t>
            </w:r>
          </w:p>
        </w:tc>
      </w:tr>
      <w:tr>
        <w:tc>
          <w:tcPr>
            <w:tcW w:type="dxa" w:w="2736"/>
          </w:tcPr>
          <w:p>
            <w:pPr>
              <w:spacing w:before="40" w:after="40" w:line="252" w:lineRule="auto"/>
            </w:pPr>
            <w:r/>
            <w:r>
              <w:rPr>
                <w:rFonts w:ascii="Calibri" w:hAnsi="Calibri"/>
                <w:b w:val="0"/>
                <w:i w:val="0"/>
                <w:color w:val="1F2A37"/>
                <w:sz w:val="19"/>
              </w:rPr>
              <w:t>Results reported only at the end</w:t>
            </w:r>
          </w:p>
        </w:tc>
        <w:tc>
          <w:tcPr>
            <w:tcW w:type="dxa" w:w="3168"/>
          </w:tcPr>
          <w:p>
            <w:pPr>
              <w:spacing w:before="40" w:after="40" w:line="252" w:lineRule="auto"/>
            </w:pPr>
            <w:r/>
            <w:r>
              <w:rPr>
                <w:rFonts w:ascii="Calibri" w:hAnsi="Calibri"/>
                <w:b w:val="0"/>
                <w:i w:val="0"/>
                <w:color w:val="1F2A37"/>
                <w:sz w:val="19"/>
              </w:rPr>
              <w:t>No learning during the grant</w:t>
            </w:r>
          </w:p>
        </w:tc>
        <w:tc>
          <w:tcPr>
            <w:tcW w:type="dxa" w:w="3456"/>
          </w:tcPr>
          <w:p>
            <w:pPr>
              <w:spacing w:before="40" w:after="40" w:line="252" w:lineRule="auto"/>
            </w:pPr>
            <w:r/>
            <w:r>
              <w:rPr>
                <w:rFonts w:ascii="Calibri" w:hAnsi="Calibri"/>
                <w:b w:val="0"/>
                <w:i w:val="0"/>
                <w:color w:val="1F2A37"/>
                <w:sz w:val="19"/>
              </w:rPr>
              <w:t>Add a mid-period internal review</w:t>
            </w:r>
          </w:p>
        </w:tc>
      </w:tr>
      <w:tr>
        <w:tc>
          <w:tcPr>
            <w:tcW w:type="dxa" w:w="2736"/>
          </w:tcPr>
          <w:p>
            <w:pPr>
              <w:spacing w:before="40" w:after="40" w:line="252" w:lineRule="auto"/>
            </w:pPr>
            <w:r/>
            <w:r>
              <w:rPr>
                <w:rFonts w:ascii="Calibri" w:hAnsi="Calibri"/>
                <w:b w:val="0"/>
                <w:i w:val="0"/>
                <w:color w:val="1F2A37"/>
                <w:sz w:val="19"/>
              </w:rPr>
              <w:t>Indicators that do not match the objectives</w:t>
            </w:r>
          </w:p>
        </w:tc>
        <w:tc>
          <w:tcPr>
            <w:tcW w:type="dxa" w:w="3168"/>
          </w:tcPr>
          <w:p>
            <w:pPr>
              <w:spacing w:before="40" w:after="40" w:line="252" w:lineRule="auto"/>
            </w:pPr>
            <w:r/>
            <w:r>
              <w:rPr>
                <w:rFonts w:ascii="Calibri" w:hAnsi="Calibri"/>
                <w:b w:val="0"/>
                <w:i w:val="0"/>
                <w:color w:val="1F2A37"/>
                <w:sz w:val="19"/>
              </w:rPr>
              <w:t>The reviewer cannot tell what was promised</w:t>
            </w:r>
          </w:p>
        </w:tc>
        <w:tc>
          <w:tcPr>
            <w:tcW w:type="dxa" w:w="3456"/>
          </w:tcPr>
          <w:p>
            <w:pPr>
              <w:spacing w:before="40" w:after="40" w:line="252" w:lineRule="auto"/>
            </w:pPr>
            <w:r/>
            <w:r>
              <w:rPr>
                <w:rFonts w:ascii="Calibri" w:hAnsi="Calibri"/>
                <w:b w:val="0"/>
                <w:i w:val="0"/>
                <w:color w:val="1F2A37"/>
                <w:sz w:val="19"/>
              </w:rPr>
              <w:t>Count objectives, count indicators, and make the numbers match</w:t>
            </w:r>
          </w:p>
        </w:tc>
      </w:tr>
      <w:tr>
        <w:tc>
          <w:tcPr>
            <w:tcW w:type="dxa" w:w="2736"/>
          </w:tcPr>
          <w:p>
            <w:pPr>
              <w:spacing w:before="40" w:after="40" w:line="252" w:lineRule="auto"/>
            </w:pPr>
            <w:r/>
            <w:r>
              <w:rPr>
                <w:rFonts w:ascii="Calibri" w:hAnsi="Calibri"/>
                <w:b w:val="0"/>
                <w:i w:val="0"/>
                <w:color w:val="1F2A37"/>
                <w:sz w:val="19"/>
              </w:rPr>
              <w:t>Percentages with no denominator</w:t>
            </w:r>
          </w:p>
        </w:tc>
        <w:tc>
          <w:tcPr>
            <w:tcW w:type="dxa" w:w="3168"/>
          </w:tcPr>
          <w:p>
            <w:pPr>
              <w:spacing w:before="40" w:after="40" w:line="252" w:lineRule="auto"/>
            </w:pPr>
            <w:r/>
            <w:r>
              <w:rPr>
                <w:rFonts w:ascii="Calibri" w:hAnsi="Calibri"/>
                <w:b w:val="0"/>
                <w:i w:val="0"/>
                <w:color w:val="1F2A37"/>
                <w:sz w:val="19"/>
              </w:rPr>
              <w:t>The number cannot be interpreted</w:t>
            </w:r>
          </w:p>
        </w:tc>
        <w:tc>
          <w:tcPr>
            <w:tcW w:type="dxa" w:w="3456"/>
          </w:tcPr>
          <w:p>
            <w:pPr>
              <w:spacing w:before="40" w:after="40" w:line="252" w:lineRule="auto"/>
            </w:pPr>
            <w:r/>
            <w:r>
              <w:rPr>
                <w:rFonts w:ascii="Calibri" w:hAnsi="Calibri"/>
                <w:b w:val="0"/>
                <w:i w:val="0"/>
                <w:color w:val="1F2A37"/>
                <w:sz w:val="19"/>
              </w:rPr>
              <w:t>State how many people the share was calculated from</w:t>
            </w:r>
          </w:p>
        </w:tc>
      </w:tr>
    </w:tbl>
    <w:p>
      <w:pPr>
        <w:spacing w:after="80"/>
      </w:pPr>
    </w:p>
    <w:p>
      <w:pPr>
        <w:pStyle w:val="Heading1"/>
      </w:pPr>
      <w:r>
        <w:t>10. Pre-submission check</w:t>
      </w:r>
    </w:p>
    <w:p>
      <w:pPr>
        <w:pStyle w:val="GCGuidance"/>
      </w:pPr>
      <w:r>
        <w:t>Read the finished section against the proposal it sits in, not on its own. The failures worth catching at this stage are mismatches with another section rather than errors inside the plan.</w:t>
      </w:r>
    </w:p>
    <w:p>
      <w:pPr>
        <w:pStyle w:val="ListNumber"/>
      </w:pPr>
      <w:r>
        <w:t>Count the objectives, then count the indicators. The two numbers match, and each pair is obvious without explanation.</w:t>
      </w:r>
    </w:p>
    <w:p>
      <w:pPr>
        <w:pStyle w:val="ListNumber"/>
      </w:pPr>
      <w:r>
        <w:t>Every indicator names an instrument, record, or system rather than a category of feedback.</w:t>
      </w:r>
    </w:p>
    <w:p>
      <w:pPr>
        <w:pStyle w:val="ListNumber"/>
      </w:pPr>
      <w:r>
        <w:t>Every target carries a number and a date. "Improved outcomes" is not a target.</w:t>
      </w:r>
    </w:p>
    <w:p>
      <w:pPr>
        <w:pStyle w:val="ListNumber"/>
      </w:pPr>
      <w:r>
        <w:t>A baseline is collected before or at the very start of services.</w:t>
      </w:r>
    </w:p>
    <w:p>
      <w:pPr>
        <w:pStyle w:val="ListNumber"/>
      </w:pPr>
      <w:r>
        <w:t>At least one measure repeats, so the report can show movement rather than a single number.</w:t>
      </w:r>
    </w:p>
    <w:p>
      <w:pPr>
        <w:pStyle w:val="ListNumber"/>
      </w:pPr>
      <w:r>
        <w:t>The responsible party is named by role, and that role appears in the staffing section.</w:t>
      </w:r>
    </w:p>
    <w:p>
      <w:pPr>
        <w:pStyle w:val="ListNumber"/>
      </w:pPr>
      <w:r>
        <w:t>Open the budget and find the evaluation hours. If they are not there, add them or cut the method that needed them.</w:t>
      </w:r>
    </w:p>
    <w:p>
      <w:pPr>
        <w:pStyle w:val="ListNumber"/>
      </w:pPr>
      <w:r>
        <w:t>The budget narrative uses the same words as the evaluation plan, so the two read as one piece of work.</w:t>
      </w:r>
    </w:p>
    <w:p>
      <w:pPr>
        <w:pStyle w:val="ListNumber"/>
      </w:pPr>
      <w:r>
        <w:t>The reporting dates match the reporting schedule the funder asked for.</w:t>
      </w:r>
    </w:p>
    <w:p>
      <w:pPr>
        <w:pStyle w:val="ListNumber"/>
      </w:pPr>
      <w:r>
        <w:t>There is an internal review point inside the grant period, not only at the end.</w:t>
      </w:r>
    </w:p>
    <w:p>
      <w:pPr>
        <w:pStyle w:val="ListNumber"/>
      </w:pPr>
      <w:r>
        <w:t>The plan says what happens if a target is missed.</w:t>
      </w:r>
    </w:p>
    <w:p>
      <w:pPr>
        <w:pStyle w:val="ListNumber"/>
      </w:pPr>
      <w:r>
        <w:t>Nothing is promised that depends on data access you do not yet hold.</w:t>
      </w:r>
    </w:p>
    <w:p>
      <w:pPr>
        <w:pStyle w:val="ListNumber"/>
      </w:pPr>
      <w:r>
        <w:t>Read the section out loud. Anywhere you have to explain what a sentence means, rewrite the sentence.</w:t>
      </w:r>
    </w:p>
    <w:p>
      <w:r>
        <w:t>Check nine catches a problem that gets expensive later: an internal review calendar that does not line up with the funder's reporting deadlines, so the team learns something useful in March and cannot report it until the following June.</w:t>
      </w:r>
    </w:p>
    <w:p>
      <w:pPr>
        <w:pStyle w:val="Heading1"/>
      </w:pPr>
      <w:r>
        <w:t>11. Vocabulary crib sheet</w:t>
      </w:r>
    </w:p>
    <w:tbl>
      <w:tblPr>
        <w:tblStyle w:val="TableGrid"/>
        <w:tblW w:type="auto" w:w="0"/>
        <w:jc w:val="left"/>
        <w:tblLayout w:type="fixed"/>
        <w:tblLook w:firstColumn="1" w:firstRow="1" w:lastColumn="0" w:lastRow="0" w:noHBand="0" w:noVBand="1" w:val="04A0"/>
      </w:tblPr>
      <w:tblGrid>
        <w:gridCol w:w="3120"/>
        <w:gridCol w:w="3120"/>
        <w:gridCol w:w="3120"/>
      </w:tblGrid>
      <w:tr>
        <w:trPr>
          <w:tblHeader w:val="true"/>
        </w:trPr>
        <w:tc>
          <w:tcPr>
            <w:tcW w:type="dxa" w:w="2160"/>
            <w:shd w:val="clear" w:color="auto" w:fill="E3E9EE"/>
          </w:tcPr>
          <w:p>
            <w:pPr>
              <w:spacing w:before="40" w:after="40" w:line="252" w:lineRule="auto"/>
            </w:pPr>
            <w:r/>
            <w:r>
              <w:rPr>
                <w:rFonts w:ascii="Calibri" w:hAnsi="Calibri"/>
                <w:b/>
                <w:i w:val="0"/>
                <w:color w:val="0F5F63"/>
                <w:sz w:val="19"/>
              </w:rPr>
              <w:t>Term</w:t>
            </w:r>
          </w:p>
        </w:tc>
        <w:tc>
          <w:tcPr>
            <w:tcW w:type="dxa" w:w="3600"/>
            <w:shd w:val="clear" w:color="auto" w:fill="E3E9EE"/>
          </w:tcPr>
          <w:p>
            <w:pPr>
              <w:spacing w:before="40" w:after="40" w:line="252" w:lineRule="auto"/>
            </w:pPr>
            <w:r/>
            <w:r>
              <w:rPr>
                <w:rFonts w:ascii="Calibri" w:hAnsi="Calibri"/>
                <w:b/>
                <w:i w:val="0"/>
                <w:color w:val="0F5F63"/>
                <w:sz w:val="19"/>
              </w:rPr>
              <w:t>Plain meaning</w:t>
            </w:r>
          </w:p>
        </w:tc>
        <w:tc>
          <w:tcPr>
            <w:tcW w:type="dxa" w:w="3600"/>
            <w:shd w:val="clear" w:color="auto" w:fill="E3E9EE"/>
          </w:tcPr>
          <w:p>
            <w:pPr>
              <w:spacing w:before="40" w:after="40" w:line="252" w:lineRule="auto"/>
            </w:pPr>
            <w:r/>
            <w:r>
              <w:rPr>
                <w:rFonts w:ascii="Calibri" w:hAnsi="Calibri"/>
                <w:b/>
                <w:i w:val="0"/>
                <w:color w:val="0F5F63"/>
                <w:sz w:val="19"/>
              </w:rPr>
              <w:t>Example from this file</w:t>
            </w:r>
          </w:p>
        </w:tc>
      </w:tr>
      <w:tr>
        <w:tc>
          <w:tcPr>
            <w:tcW w:type="dxa" w:w="2160"/>
          </w:tcPr>
          <w:p>
            <w:pPr>
              <w:spacing w:before="40" w:after="40" w:line="252" w:lineRule="auto"/>
            </w:pPr>
            <w:r/>
            <w:r>
              <w:rPr>
                <w:rFonts w:ascii="Calibri" w:hAnsi="Calibri"/>
                <w:b/>
                <w:i w:val="0"/>
                <w:color w:val="1F2A37"/>
                <w:sz w:val="19"/>
              </w:rPr>
              <w:t>Output</w:t>
            </w:r>
          </w:p>
        </w:tc>
        <w:tc>
          <w:tcPr>
            <w:tcW w:type="dxa" w:w="3600"/>
          </w:tcPr>
          <w:p>
            <w:pPr>
              <w:spacing w:before="40" w:after="40" w:line="252" w:lineRule="auto"/>
            </w:pPr>
            <w:r/>
            <w:r>
              <w:rPr>
                <w:rFonts w:ascii="Calibri" w:hAnsi="Calibri"/>
                <w:b w:val="0"/>
                <w:i w:val="0"/>
                <w:color w:val="1F2A37"/>
                <w:sz w:val="19"/>
              </w:rPr>
              <w:t>What the program produced</w:t>
            </w:r>
          </w:p>
        </w:tc>
        <w:tc>
          <w:tcPr>
            <w:tcW w:type="dxa" w:w="3600"/>
          </w:tcPr>
          <w:p>
            <w:pPr>
              <w:spacing w:before="40" w:after="40" w:line="252" w:lineRule="auto"/>
            </w:pPr>
            <w:r/>
            <w:r>
              <w:rPr>
                <w:rFonts w:ascii="Calibri" w:hAnsi="Calibri"/>
                <w:b w:val="0"/>
                <w:i w:val="0"/>
                <w:color w:val="1F2A37"/>
                <w:sz w:val="19"/>
              </w:rPr>
              <w:t>30 tutoring sessions delivered to 40 students</w:t>
            </w:r>
          </w:p>
        </w:tc>
      </w:tr>
      <w:tr>
        <w:tc>
          <w:tcPr>
            <w:tcW w:type="dxa" w:w="2160"/>
          </w:tcPr>
          <w:p>
            <w:pPr>
              <w:spacing w:before="40" w:after="40" w:line="252" w:lineRule="auto"/>
            </w:pPr>
            <w:r/>
            <w:r>
              <w:rPr>
                <w:rFonts w:ascii="Calibri" w:hAnsi="Calibri"/>
                <w:b/>
                <w:i w:val="0"/>
                <w:color w:val="1F2A37"/>
                <w:sz w:val="19"/>
              </w:rPr>
              <w:t>Outcome</w:t>
            </w:r>
          </w:p>
        </w:tc>
        <w:tc>
          <w:tcPr>
            <w:tcW w:type="dxa" w:w="3600"/>
          </w:tcPr>
          <w:p>
            <w:pPr>
              <w:spacing w:before="40" w:after="40" w:line="252" w:lineRule="auto"/>
            </w:pPr>
            <w:r/>
            <w:r>
              <w:rPr>
                <w:rFonts w:ascii="Calibri" w:hAnsi="Calibri"/>
                <w:b w:val="0"/>
                <w:i w:val="0"/>
                <w:color w:val="1F2A37"/>
                <w:sz w:val="19"/>
              </w:rPr>
              <w:t>The change that happened for participants</w:t>
            </w:r>
          </w:p>
        </w:tc>
        <w:tc>
          <w:tcPr>
            <w:tcW w:type="dxa" w:w="3600"/>
          </w:tcPr>
          <w:p>
            <w:pPr>
              <w:spacing w:before="40" w:after="40" w:line="252" w:lineRule="auto"/>
            </w:pPr>
            <w:r/>
            <w:r>
              <w:rPr>
                <w:rFonts w:ascii="Calibri" w:hAnsi="Calibri"/>
                <w:b w:val="0"/>
                <w:i w:val="0"/>
                <w:color w:val="1F2A37"/>
                <w:sz w:val="19"/>
              </w:rPr>
              <w:t>Students read more words correct per minute</w:t>
            </w:r>
          </w:p>
        </w:tc>
      </w:tr>
      <w:tr>
        <w:tc>
          <w:tcPr>
            <w:tcW w:type="dxa" w:w="2160"/>
          </w:tcPr>
          <w:p>
            <w:pPr>
              <w:spacing w:before="40" w:after="40" w:line="252" w:lineRule="auto"/>
            </w:pPr>
            <w:r/>
            <w:r>
              <w:rPr>
                <w:rFonts w:ascii="Calibri" w:hAnsi="Calibri"/>
                <w:b/>
                <w:i w:val="0"/>
                <w:color w:val="1F2A37"/>
                <w:sz w:val="19"/>
              </w:rPr>
              <w:t>Indicator</w:t>
            </w:r>
          </w:p>
        </w:tc>
        <w:tc>
          <w:tcPr>
            <w:tcW w:type="dxa" w:w="3600"/>
          </w:tcPr>
          <w:p>
            <w:pPr>
              <w:spacing w:before="40" w:after="40" w:line="252" w:lineRule="auto"/>
            </w:pPr>
            <w:r/>
            <w:r>
              <w:rPr>
                <w:rFonts w:ascii="Calibri" w:hAnsi="Calibri"/>
                <w:b w:val="0"/>
                <w:i w:val="0"/>
                <w:color w:val="1F2A37"/>
                <w:sz w:val="19"/>
              </w:rPr>
              <w:t>The countable signal that the outcome occurred</w:t>
            </w:r>
          </w:p>
        </w:tc>
        <w:tc>
          <w:tcPr>
            <w:tcW w:type="dxa" w:w="3600"/>
          </w:tcPr>
          <w:p>
            <w:pPr>
              <w:spacing w:before="40" w:after="40" w:line="252" w:lineRule="auto"/>
            </w:pPr>
            <w:r/>
            <w:r>
              <w:rPr>
                <w:rFonts w:ascii="Calibri" w:hAnsi="Calibri"/>
                <w:b w:val="0"/>
                <w:i w:val="0"/>
                <w:color w:val="1F2A37"/>
                <w:sz w:val="19"/>
              </w:rPr>
              <w:t>Words correct per minute</w:t>
            </w:r>
          </w:p>
        </w:tc>
      </w:tr>
      <w:tr>
        <w:tc>
          <w:tcPr>
            <w:tcW w:type="dxa" w:w="2160"/>
          </w:tcPr>
          <w:p>
            <w:pPr>
              <w:spacing w:before="40" w:after="40" w:line="252" w:lineRule="auto"/>
            </w:pPr>
            <w:r/>
            <w:r>
              <w:rPr>
                <w:rFonts w:ascii="Calibri" w:hAnsi="Calibri"/>
                <w:b/>
                <w:i w:val="0"/>
                <w:color w:val="1F2A37"/>
                <w:sz w:val="19"/>
              </w:rPr>
              <w:t>Target</w:t>
            </w:r>
          </w:p>
        </w:tc>
        <w:tc>
          <w:tcPr>
            <w:tcW w:type="dxa" w:w="3600"/>
          </w:tcPr>
          <w:p>
            <w:pPr>
              <w:spacing w:before="40" w:after="40" w:line="252" w:lineRule="auto"/>
            </w:pPr>
            <w:r/>
            <w:r>
              <w:rPr>
                <w:rFonts w:ascii="Calibri" w:hAnsi="Calibri"/>
                <w:b w:val="0"/>
                <w:i w:val="0"/>
                <w:color w:val="1F2A37"/>
                <w:sz w:val="19"/>
              </w:rPr>
              <w:t>The threshold you would accept as success</w:t>
            </w:r>
          </w:p>
        </w:tc>
        <w:tc>
          <w:tcPr>
            <w:tcW w:type="dxa" w:w="3600"/>
          </w:tcPr>
          <w:p>
            <w:pPr>
              <w:spacing w:before="40" w:after="40" w:line="252" w:lineRule="auto"/>
            </w:pPr>
            <w:r/>
            <w:r>
              <w:rPr>
                <w:rFonts w:ascii="Calibri" w:hAnsi="Calibri"/>
                <w:b w:val="0"/>
                <w:i w:val="0"/>
                <w:color w:val="1F2A37"/>
                <w:sz w:val="19"/>
              </w:rPr>
              <w:t>70% of students gain at least 20 wcpm</w:t>
            </w:r>
          </w:p>
        </w:tc>
      </w:tr>
      <w:tr>
        <w:tc>
          <w:tcPr>
            <w:tcW w:type="dxa" w:w="2160"/>
          </w:tcPr>
          <w:p>
            <w:pPr>
              <w:spacing w:before="40" w:after="40" w:line="252" w:lineRule="auto"/>
            </w:pPr>
            <w:r/>
            <w:r>
              <w:rPr>
                <w:rFonts w:ascii="Calibri" w:hAnsi="Calibri"/>
                <w:b/>
                <w:i w:val="0"/>
                <w:color w:val="1F2A37"/>
                <w:sz w:val="19"/>
              </w:rPr>
              <w:t>Baseline</w:t>
            </w:r>
          </w:p>
        </w:tc>
        <w:tc>
          <w:tcPr>
            <w:tcW w:type="dxa" w:w="3600"/>
          </w:tcPr>
          <w:p>
            <w:pPr>
              <w:spacing w:before="40" w:after="40" w:line="252" w:lineRule="auto"/>
            </w:pPr>
            <w:r/>
            <w:r>
              <w:rPr>
                <w:rFonts w:ascii="Calibri" w:hAnsi="Calibri"/>
                <w:b w:val="0"/>
                <w:i w:val="0"/>
                <w:color w:val="1F2A37"/>
                <w:sz w:val="19"/>
              </w:rPr>
              <w:t>The measure taken before or at the start</w:t>
            </w:r>
          </w:p>
        </w:tc>
        <w:tc>
          <w:tcPr>
            <w:tcW w:type="dxa" w:w="3600"/>
          </w:tcPr>
          <w:p>
            <w:pPr>
              <w:spacing w:before="40" w:after="40" w:line="252" w:lineRule="auto"/>
            </w:pPr>
            <w:r/>
            <w:r>
              <w:rPr>
                <w:rFonts w:ascii="Calibri" w:hAnsi="Calibri"/>
                <w:b w:val="0"/>
                <w:i w:val="0"/>
                <w:color w:val="1F2A37"/>
                <w:sz w:val="19"/>
              </w:rPr>
              <w:t>September probe scores</w:t>
            </w:r>
          </w:p>
        </w:tc>
      </w:tr>
      <w:tr>
        <w:tc>
          <w:tcPr>
            <w:tcW w:type="dxa" w:w="2160"/>
          </w:tcPr>
          <w:p>
            <w:pPr>
              <w:spacing w:before="40" w:after="40" w:line="252" w:lineRule="auto"/>
            </w:pPr>
            <w:r/>
            <w:r>
              <w:rPr>
                <w:rFonts w:ascii="Calibri" w:hAnsi="Calibri"/>
                <w:b/>
                <w:i w:val="0"/>
                <w:color w:val="1F2A37"/>
                <w:sz w:val="19"/>
              </w:rPr>
              <w:t>Data collection</w:t>
            </w:r>
          </w:p>
        </w:tc>
        <w:tc>
          <w:tcPr>
            <w:tcW w:type="dxa" w:w="3600"/>
          </w:tcPr>
          <w:p>
            <w:pPr>
              <w:spacing w:before="40" w:after="40" w:line="252" w:lineRule="auto"/>
            </w:pPr>
            <w:r/>
            <w:r>
              <w:rPr>
                <w:rFonts w:ascii="Calibri" w:hAnsi="Calibri"/>
                <w:b w:val="0"/>
                <w:i w:val="0"/>
                <w:color w:val="1F2A37"/>
                <w:sz w:val="19"/>
              </w:rPr>
              <w:t>The act of getting the number, with instrument and timing</w:t>
            </w:r>
          </w:p>
        </w:tc>
        <w:tc>
          <w:tcPr>
            <w:tcW w:type="dxa" w:w="3600"/>
          </w:tcPr>
          <w:p>
            <w:pPr>
              <w:spacing w:before="40" w:after="40" w:line="252" w:lineRule="auto"/>
            </w:pPr>
            <w:r/>
            <w:r>
              <w:rPr>
                <w:rFonts w:ascii="Calibri" w:hAnsi="Calibri"/>
                <w:b w:val="0"/>
                <w:i w:val="0"/>
                <w:color w:val="1F2A37"/>
                <w:sz w:val="19"/>
              </w:rPr>
              <w:t>Probe administered in the first two weeks of September</w:t>
            </w:r>
          </w:p>
        </w:tc>
      </w:tr>
      <w:tr>
        <w:tc>
          <w:tcPr>
            <w:tcW w:type="dxa" w:w="2160"/>
          </w:tcPr>
          <w:p>
            <w:pPr>
              <w:spacing w:before="40" w:after="40" w:line="252" w:lineRule="auto"/>
            </w:pPr>
            <w:r/>
            <w:r>
              <w:rPr>
                <w:rFonts w:ascii="Calibri" w:hAnsi="Calibri"/>
                <w:b/>
                <w:i w:val="0"/>
                <w:color w:val="1F2A37"/>
                <w:sz w:val="19"/>
              </w:rPr>
              <w:t>Formative evaluation</w:t>
            </w:r>
          </w:p>
        </w:tc>
        <w:tc>
          <w:tcPr>
            <w:tcW w:type="dxa" w:w="3600"/>
          </w:tcPr>
          <w:p>
            <w:pPr>
              <w:spacing w:before="40" w:after="40" w:line="252" w:lineRule="auto"/>
            </w:pPr>
            <w:r/>
            <w:r>
              <w:rPr>
                <w:rFonts w:ascii="Calibri" w:hAnsi="Calibri"/>
                <w:b w:val="0"/>
                <w:i w:val="0"/>
                <w:color w:val="1F2A37"/>
                <w:sz w:val="19"/>
              </w:rPr>
              <w:t>Measurement during the project, used to adjust it</w:t>
            </w:r>
          </w:p>
        </w:tc>
        <w:tc>
          <w:tcPr>
            <w:tcW w:type="dxa" w:w="3600"/>
          </w:tcPr>
          <w:p>
            <w:pPr>
              <w:spacing w:before="40" w:after="40" w:line="252" w:lineRule="auto"/>
            </w:pPr>
            <w:r/>
            <w:r>
              <w:rPr>
                <w:rFonts w:ascii="Calibri" w:hAnsi="Calibri"/>
                <w:b w:val="0"/>
                <w:i w:val="0"/>
                <w:color w:val="1F2A37"/>
                <w:sz w:val="19"/>
              </w:rPr>
              <w:t>The February review of January scores</w:t>
            </w:r>
          </w:p>
        </w:tc>
      </w:tr>
      <w:tr>
        <w:tc>
          <w:tcPr>
            <w:tcW w:type="dxa" w:w="2160"/>
          </w:tcPr>
          <w:p>
            <w:pPr>
              <w:spacing w:before="40" w:after="40" w:line="252" w:lineRule="auto"/>
            </w:pPr>
            <w:r/>
            <w:r>
              <w:rPr>
                <w:rFonts w:ascii="Calibri" w:hAnsi="Calibri"/>
                <w:b/>
                <w:i w:val="0"/>
                <w:color w:val="1F2A37"/>
                <w:sz w:val="19"/>
              </w:rPr>
              <w:t>Summative evaluation</w:t>
            </w:r>
          </w:p>
        </w:tc>
        <w:tc>
          <w:tcPr>
            <w:tcW w:type="dxa" w:w="3600"/>
          </w:tcPr>
          <w:p>
            <w:pPr>
              <w:spacing w:before="40" w:after="40" w:line="252" w:lineRule="auto"/>
            </w:pPr>
            <w:r/>
            <w:r>
              <w:rPr>
                <w:rFonts w:ascii="Calibri" w:hAnsi="Calibri"/>
                <w:b w:val="0"/>
                <w:i w:val="0"/>
                <w:color w:val="1F2A37"/>
                <w:sz w:val="19"/>
              </w:rPr>
              <w:t>Measurement at or near the end, used to judge results</w:t>
            </w:r>
          </w:p>
        </w:tc>
        <w:tc>
          <w:tcPr>
            <w:tcW w:type="dxa" w:w="3600"/>
          </w:tcPr>
          <w:p>
            <w:pPr>
              <w:spacing w:before="40" w:after="40" w:line="252" w:lineRule="auto"/>
            </w:pPr>
            <w:r/>
            <w:r>
              <w:rPr>
                <w:rFonts w:ascii="Calibri" w:hAnsi="Calibri"/>
                <w:b w:val="0"/>
                <w:i w:val="0"/>
                <w:color w:val="1F2A37"/>
                <w:sz w:val="19"/>
              </w:rPr>
              <w:t>The September to May comparison in the June report</w:t>
            </w:r>
          </w:p>
        </w:tc>
      </w:tr>
      <w:tr>
        <w:tc>
          <w:tcPr>
            <w:tcW w:type="dxa" w:w="2160"/>
          </w:tcPr>
          <w:p>
            <w:pPr>
              <w:spacing w:before="40" w:after="40" w:line="252" w:lineRule="auto"/>
            </w:pPr>
            <w:r/>
            <w:r>
              <w:rPr>
                <w:rFonts w:ascii="Calibri" w:hAnsi="Calibri"/>
                <w:b/>
                <w:i w:val="0"/>
                <w:color w:val="1F2A37"/>
                <w:sz w:val="19"/>
              </w:rPr>
              <w:t>Dosage</w:t>
            </w:r>
          </w:p>
        </w:tc>
        <w:tc>
          <w:tcPr>
            <w:tcW w:type="dxa" w:w="3600"/>
          </w:tcPr>
          <w:p>
            <w:pPr>
              <w:spacing w:before="40" w:after="40" w:line="252" w:lineRule="auto"/>
            </w:pPr>
            <w:r/>
            <w:r>
              <w:rPr>
                <w:rFonts w:ascii="Calibri" w:hAnsi="Calibri"/>
                <w:b w:val="0"/>
                <w:i w:val="0"/>
                <w:color w:val="1F2A37"/>
                <w:sz w:val="19"/>
              </w:rPr>
              <w:t>How much service a participant actually received</w:t>
            </w:r>
          </w:p>
        </w:tc>
        <w:tc>
          <w:tcPr>
            <w:tcW w:type="dxa" w:w="3600"/>
          </w:tcPr>
          <w:p>
            <w:pPr>
              <w:spacing w:before="40" w:after="40" w:line="252" w:lineRule="auto"/>
            </w:pPr>
            <w:r/>
            <w:r>
              <w:rPr>
                <w:rFonts w:ascii="Calibri" w:hAnsi="Calibri"/>
                <w:b w:val="0"/>
                <w:i w:val="0"/>
                <w:color w:val="1F2A37"/>
                <w:sz w:val="19"/>
              </w:rPr>
              <w:t>Sessions attended out of 30 offered</w:t>
            </w:r>
          </w:p>
        </w:tc>
      </w:tr>
      <w:tr>
        <w:tc>
          <w:tcPr>
            <w:tcW w:type="dxa" w:w="2160"/>
          </w:tcPr>
          <w:p>
            <w:pPr>
              <w:spacing w:before="40" w:after="40" w:line="252" w:lineRule="auto"/>
            </w:pPr>
            <w:r/>
            <w:r>
              <w:rPr>
                <w:rFonts w:ascii="Calibri" w:hAnsi="Calibri"/>
                <w:b/>
                <w:i w:val="0"/>
                <w:color w:val="1F2A37"/>
                <w:sz w:val="19"/>
              </w:rPr>
              <w:t>Fidelity</w:t>
            </w:r>
          </w:p>
        </w:tc>
        <w:tc>
          <w:tcPr>
            <w:tcW w:type="dxa" w:w="3600"/>
          </w:tcPr>
          <w:p>
            <w:pPr>
              <w:spacing w:before="40" w:after="40" w:line="252" w:lineRule="auto"/>
            </w:pPr>
            <w:r/>
            <w:r>
              <w:rPr>
                <w:rFonts w:ascii="Calibri" w:hAnsi="Calibri"/>
                <w:b w:val="0"/>
                <w:i w:val="0"/>
                <w:color w:val="1F2A37"/>
                <w:sz w:val="19"/>
              </w:rPr>
              <w:t>Whether the program was delivered as designed</w:t>
            </w:r>
          </w:p>
        </w:tc>
        <w:tc>
          <w:tcPr>
            <w:tcW w:type="dxa" w:w="3600"/>
          </w:tcPr>
          <w:p>
            <w:pPr>
              <w:spacing w:before="40" w:after="40" w:line="252" w:lineRule="auto"/>
            </w:pPr>
            <w:r/>
            <w:r>
              <w:rPr>
                <w:rFonts w:ascii="Calibri" w:hAnsi="Calibri"/>
                <w:b w:val="0"/>
                <w:i w:val="0"/>
                <w:color w:val="1F2A37"/>
                <w:sz w:val="19"/>
              </w:rPr>
              <w:t>Share of observed sessions meeting all five criteria</w:t>
            </w:r>
          </w:p>
        </w:tc>
      </w:tr>
      <w:tr>
        <w:tc>
          <w:tcPr>
            <w:tcW w:type="dxa" w:w="2160"/>
          </w:tcPr>
          <w:p>
            <w:pPr>
              <w:spacing w:before="40" w:after="40" w:line="252" w:lineRule="auto"/>
            </w:pPr>
            <w:r/>
            <w:r>
              <w:rPr>
                <w:rFonts w:ascii="Calibri" w:hAnsi="Calibri"/>
                <w:b/>
                <w:i w:val="0"/>
                <w:color w:val="1F2A37"/>
                <w:sz w:val="19"/>
              </w:rPr>
              <w:t>Denominator</w:t>
            </w:r>
          </w:p>
        </w:tc>
        <w:tc>
          <w:tcPr>
            <w:tcW w:type="dxa" w:w="3600"/>
          </w:tcPr>
          <w:p>
            <w:pPr>
              <w:spacing w:before="40" w:after="40" w:line="252" w:lineRule="auto"/>
            </w:pPr>
            <w:r/>
            <w:r>
              <w:rPr>
                <w:rFonts w:ascii="Calibri" w:hAnsi="Calibri"/>
                <w:b w:val="0"/>
                <w:i w:val="0"/>
                <w:color w:val="1F2A37"/>
                <w:sz w:val="19"/>
              </w:rPr>
              <w:t>The group a percentage is calculated from</w:t>
            </w:r>
          </w:p>
        </w:tc>
        <w:tc>
          <w:tcPr>
            <w:tcW w:type="dxa" w:w="3600"/>
          </w:tcPr>
          <w:p>
            <w:pPr>
              <w:spacing w:before="40" w:after="40" w:line="252" w:lineRule="auto"/>
            </w:pPr>
            <w:r/>
            <w:r>
              <w:rPr>
                <w:rFonts w:ascii="Calibri" w:hAnsi="Calibri"/>
                <w:b w:val="0"/>
                <w:i w:val="0"/>
                <w:color w:val="1F2A37"/>
                <w:sz w:val="19"/>
              </w:rPr>
              <w:t>Completers reached by phone, not everyone enrolled</w:t>
            </w:r>
          </w:p>
        </w:tc>
      </w:tr>
    </w:tbl>
    <w:p>
      <w:pPr>
        <w:spacing w:after="80"/>
      </w:pPr>
    </w:p>
    <w:p>
      <w:pPr>
        <w:pStyle w:val="Heading1"/>
      </w:pPr>
      <w:r>
        <w:t>12. Where this fits with the rest of the proposal</w:t>
      </w:r>
    </w:p>
    <w:p>
      <w:r>
        <w:t>The evaluation plan is downstream of the objectives and upstream of nothing, which is why it gets written late and rushed. Lock the objectives first. Every part of this file is derived from their wording, and a plan built on vague objectives will be vague no matter how carefully you fill in the tables.</w:t>
      </w:r>
    </w:p>
    <w:p>
      <w:r>
        <w:t>Three cross-checks are worth doing at the end. The objectives section and the indicator table should have the same count. The budget should contain the hours the plan spends. The staffing section should describe a person with room in the week for the work. When those three agree, the section is finished.</w:t>
      </w:r>
    </w:p>
    <w:p>
      <w:r>
        <w:t>More templates, worked examples, and grant management tools: grantcue.com/blog</w:t>
      </w:r>
    </w:p>
    <w:p>
      <w:pPr>
        <w:pStyle w:val="GCMeta"/>
      </w:pPr>
      <w:r>
        <w:t>GrantCue - grantcue.com/blog/evaluation-plan-for-grant-proposal</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Calibri" w:hAnsi="Calibri"/>
        <w:color w:val="777F8A"/>
        <w:sz w:val="17"/>
      </w:rPr>
    </w:r>
    <w:r>
      <w:rPr>
        <w:rFonts w:ascii="Calibri" w:hAnsi="Calibri"/>
        <w:color w:val="777F8A"/>
        <w:sz w:val="17"/>
      </w:rPr>
      <w:t>[Your organization name]  |  Evaluation plan version: [date]</w:t>
      <w:tab/>
      <w:t xml:space="preserve">Page </w:t>
    </w:r>
    <w:r>
      <w:rPr>
        <w:rFonts w:ascii="Calibri" w:hAnsi="Calibri"/>
        <w:color w:val="777F8A"/>
        <w:sz w:val="17"/>
      </w:rPr>
      <w:fldChar w:fldCharType="begin"/>
    </w:r>
    <w:r>
      <w:rPr>
        <w:rFonts w:ascii="Calibri" w:hAnsi="Calibri"/>
        <w:color w:val="777F8A"/>
        <w:sz w:val="17"/>
      </w:rPr>
      <w:instrText xml:space="preserve"> PAGE </w:instrText>
    </w:r>
    <w:r>
      <w:rPr>
        <w:rFonts w:ascii="Calibri" w:hAnsi="Calibri"/>
        <w:color w:val="777F8A"/>
        <w:sz w:val="17"/>
      </w:rPr>
      <w:fldChar w:fldCharType="separate"/>
    </w:r>
    <w:r>
      <w:rPr>
        <w:rFonts w:ascii="Calibri" w:hAnsi="Calibri"/>
        <w:color w:val="777F8A"/>
        <w:sz w:val="17"/>
      </w:rPr>
      <w:t>1</w:t>
    </w:r>
    <w:r>
      <w:rPr>
        <w:rFonts w:ascii="Calibri" w:hAnsi="Calibri"/>
        <w:color w:val="777F8A"/>
        <w:sz w:val="17"/>
      </w:rPr>
      <w:fldChar w:fldCharType="end"/>
    </w:r>
  </w:p>
  <w:p>
    <w:pPr>
      <w:spacing w:before="0" w:after="0"/>
    </w:pPr>
    <w:r>
      <w:rPr>
        <w:rFonts w:ascii="Calibri" w:hAnsi="Calibri"/>
        <w:b/>
        <w:color w:val="0F5F63"/>
        <w:sz w:val="17"/>
      </w:rPr>
      <w:t>GrantCue - grantcue.com/blog/evaluation-plan-for-grant-proposal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Theme="majorHAnsi" w:eastAsiaTheme="majorEastAsia" w:hAnsiTheme="majorHAnsi" w:cstheme="majorBidi" w:ascii="Calibri" w:hAnsi="Calibri"/>
      <w:b/>
      <w:bCs/>
      <w:color w:val="0F5F63"/>
      <w:sz w:val="34"/>
      <w:szCs w:val="28"/>
    </w:rPr>
  </w:style>
  <w:style w:type="paragraph" w:styleId="Heading2">
    <w:name w:val="heading 2"/>
    <w:basedOn w:val="Normal"/>
    <w:next w:val="Normal"/>
    <w:link w:val="Heading2Char"/>
    <w:uiPriority w:val="9"/>
    <w:unhideWhenUsed/>
    <w:qFormat/>
    <w:rsid w:val="00FC693F"/>
    <w:pPr>
      <w:keepNext/>
      <w:keepLines/>
      <w:spacing w:before="260" w:after="80"/>
      <w:outlineLvl w:val="1"/>
    </w:pPr>
    <w:rPr>
      <w:rFonts w:asciiTheme="majorHAnsi" w:eastAsiaTheme="majorEastAsia" w:hAnsiTheme="majorHAnsi" w:cstheme="majorBidi" w:ascii="Calibri" w:hAnsi="Calibri"/>
      <w:b/>
      <w:bCs/>
      <w:color w:val="1F2A37"/>
      <w:sz w:val="25"/>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Calibri" w:hAnsi="Calibri"/>
      <w:b/>
      <w:bCs/>
      <w:color w:val="4B5A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Calibri" w:hAnsi="Calibri"/>
      <w:b/>
      <w:color w:val="0F5F6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contextualSpacing/>
    </w:pPr>
    <w:rPr>
      <w:rFonts w:ascii="Calibri" w:hAnsi="Calibri"/>
      <w:color w:val="1F2A3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9" w:lineRule="auto"/>
      <w:contextualSpacing/>
    </w:pPr>
    <w:rPr>
      <w:rFonts w:ascii="Calibri" w:hAnsi="Calibri"/>
      <w:color w:val="1F2A3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qFormat/>
    <w:pPr>
      <w:keepNext w:val="0"/>
      <w:spacing w:before="0" w:after="40" w:line="269" w:lineRule="auto"/>
    </w:pPr>
    <w:rPr>
      <w:rFonts w:ascii="Calibri" w:hAnsi="Calibri"/>
      <w:b w:val="0"/>
      <w:i w:val="0"/>
      <w:color w:val="4B5A6B"/>
      <w:sz w:val="26"/>
    </w:rPr>
  </w:style>
  <w:style w:type="paragraph" w:customStyle="1" w:styleId="GCMeta">
    <w:name w:val="GC Meta"/>
    <w:basedOn w:val="Normal"/>
    <w:qFormat/>
    <w:pPr>
      <w:keepNext w:val="0"/>
      <w:spacing w:before="0" w:after="280" w:line="269" w:lineRule="auto"/>
    </w:pPr>
    <w:rPr>
      <w:rFonts w:ascii="Calibri" w:hAnsi="Calibri"/>
      <w:b w:val="0"/>
      <w:i w:val="0"/>
      <w:color w:val="777F8A"/>
      <w:sz w:val="19"/>
    </w:rPr>
  </w:style>
  <w:style w:type="paragraph" w:customStyle="1" w:styleId="GCGuidance">
    <w:name w:val="GC Guidance"/>
    <w:basedOn w:val="Normal"/>
    <w:qFormat/>
    <w:pPr>
      <w:keepNext w:val="0"/>
      <w:spacing w:before="0" w:after="160" w:line="269" w:lineRule="auto"/>
    </w:pPr>
    <w:rPr>
      <w:rFonts w:ascii="Calibri" w:hAnsi="Calibri"/>
      <w:b w:val="0"/>
      <w:i/>
      <w:color w:val="4B5A6B"/>
      <w:sz w:val="21"/>
    </w:rPr>
  </w:style>
  <w:style w:type="paragraph" w:customStyle="1" w:styleId="GCSectionMeta">
    <w:name w:val="GC SectionMeta"/>
    <w:basedOn w:val="Normal"/>
    <w:qFormat/>
    <w:pPr>
      <w:keepNext w:val="0"/>
      <w:spacing w:before="0" w:after="160" w:line="269" w:lineRule="auto"/>
    </w:pPr>
    <w:rPr>
      <w:rFonts w:ascii="Calibri" w:hAnsi="Calibri"/>
      <w:b/>
      <w:i w:val="0"/>
      <w:color w:val="0F5F63"/>
      <w:sz w:val="19"/>
    </w:rPr>
  </w:style>
  <w:style w:type="paragraph" w:customStyle="1" w:styleId="GCExample">
    <w:name w:val="GC Example"/>
    <w:basedOn w:val="Normal"/>
    <w:qFormat/>
    <w:pPr>
      <w:keepNext w:val="0"/>
      <w:spacing w:before="0" w:after="120" w:line="269" w:lineRule="auto"/>
    </w:pPr>
    <w:rPr>
      <w:rFonts w:ascii="Calibri" w:hAnsi="Calibri"/>
      <w:b w:val="0"/>
      <w:i w:val="0"/>
      <w:color w:val="1F2A37"/>
      <w:sz w:val="20"/>
    </w:rPr>
  </w:style>
  <w:style w:type="paragraph" w:customStyle="1" w:styleId="GCExampleLabel">
    <w:name w:val="GC ExampleLabel"/>
    <w:basedOn w:val="Normal"/>
    <w:qFormat/>
    <w:pPr>
      <w:keepNext/>
      <w:spacing w:before="0" w:after="80" w:line="269" w:lineRule="auto"/>
    </w:pPr>
    <w:rPr>
      <w:rFonts w:ascii="Calibri" w:hAnsi="Calibri"/>
      <w:b/>
      <w:i w:val="0"/>
      <w:color w:val="0F5F63"/>
      <w:sz w:val="18"/>
    </w:rPr>
  </w:style>
  <w:style w:type="paragraph" w:customStyle="1" w:styleId="GCFill">
    <w:name w:val="GC Fill"/>
    <w:basedOn w:val="Normal"/>
    <w:qFormat/>
    <w:pPr>
      <w:keepNext w:val="0"/>
      <w:spacing w:before="40" w:after="280" w:line="269" w:lineRule="auto"/>
    </w:pPr>
    <w:rPr>
      <w:rFonts w:ascii="Calibri" w:hAnsi="Calibri"/>
      <w:b w:val="0"/>
      <w:i/>
      <w:color w:val="777F8A"/>
      <w:sz w:val="21"/>
    </w:rPr>
  </w:style>
  <w:style w:type="paragraph" w:customStyle="1" w:styleId="GCCaption">
    <w:name w:val="GC Caption"/>
    <w:basedOn w:val="Normal"/>
    <w:qFormat/>
    <w:pPr>
      <w:keepNext w:val="0"/>
      <w:spacing w:before="40" w:after="240" w:line="269" w:lineRule="auto"/>
    </w:pPr>
    <w:rPr>
      <w:rFonts w:ascii="Calibri" w:hAnsi="Calibri"/>
      <w:b w:val="0"/>
      <w:i/>
      <w:color w:val="777F8A"/>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